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D4E" w:rsidRPr="00A85C34" w:rsidRDefault="00667D4E" w:rsidP="00667D4E">
      <w:pPr>
        <w:pStyle w:val="Normal3"/>
        <w:ind w:left="3168" w:hanging="3168"/>
        <w:rPr>
          <w:rFonts w:eastAsia="宋体"/>
        </w:rPr>
      </w:pPr>
      <w:r w:rsidRPr="00A85C34">
        <w:rPr>
          <w:szCs w:val="28"/>
        </w:rPr>
        <w:t>FAC</w:t>
      </w:r>
      <w:r>
        <w:rPr>
          <w:szCs w:val="28"/>
        </w:rPr>
        <w:t>C</w:t>
      </w:r>
      <w:r w:rsidRPr="00A85C34">
        <w:rPr>
          <w:szCs w:val="28"/>
        </w:rPr>
        <w:t xml:space="preserve"> Nos. </w:t>
      </w:r>
      <w:r>
        <w:rPr>
          <w:szCs w:val="28"/>
        </w:rPr>
        <w:t>1</w:t>
      </w:r>
      <w:r w:rsidRPr="00A85C34">
        <w:rPr>
          <w:szCs w:val="28"/>
        </w:rPr>
        <w:t xml:space="preserve">1 &amp; </w:t>
      </w:r>
      <w:r>
        <w:rPr>
          <w:szCs w:val="28"/>
        </w:rPr>
        <w:t>18</w:t>
      </w:r>
      <w:r w:rsidRPr="00A85C34">
        <w:rPr>
          <w:szCs w:val="28"/>
        </w:rPr>
        <w:t xml:space="preserve"> of 201</w:t>
      </w:r>
      <w:r>
        <w:rPr>
          <w:szCs w:val="28"/>
        </w:rPr>
        <w:t>6</w:t>
      </w:r>
    </w:p>
    <w:p w:rsidR="00667D4E" w:rsidRPr="00A85C34" w:rsidRDefault="00667D4E" w:rsidP="00667D4E">
      <w:pPr>
        <w:pStyle w:val="Normal3"/>
        <w:rPr>
          <w:rFonts w:eastAsia="宋体"/>
        </w:rPr>
      </w:pPr>
    </w:p>
    <w:p w:rsidR="00667D4E" w:rsidRPr="00A85C34" w:rsidRDefault="00667D4E" w:rsidP="00667D4E">
      <w:pPr>
        <w:pStyle w:val="Heading3"/>
        <w:spacing w:before="0" w:after="0"/>
        <w:ind w:right="-43"/>
        <w:jc w:val="right"/>
        <w:rPr>
          <w:rFonts w:ascii="Times New Roman" w:eastAsia="PMingLiU" w:hAnsi="Times New Roman"/>
          <w:b w:val="0"/>
          <w:color w:val="000000"/>
          <w:sz w:val="28"/>
          <w:szCs w:val="28"/>
          <w:lang w:eastAsia="zh-CN"/>
        </w:rPr>
      </w:pPr>
      <w:r w:rsidRPr="00A85C34">
        <w:rPr>
          <w:rFonts w:ascii="Times New Roman" w:hAnsi="Times New Roman"/>
          <w:b w:val="0"/>
          <w:sz w:val="28"/>
          <w:szCs w:val="28"/>
          <w:lang w:eastAsia="zh-CN"/>
        </w:rPr>
        <w:t>FAC</w:t>
      </w:r>
      <w:r>
        <w:rPr>
          <w:rFonts w:ascii="Times New Roman" w:hAnsi="Times New Roman"/>
          <w:b w:val="0"/>
          <w:sz w:val="28"/>
          <w:szCs w:val="28"/>
          <w:lang w:eastAsia="zh-CN"/>
        </w:rPr>
        <w:t>C</w:t>
      </w:r>
      <w:r w:rsidRPr="00A85C34">
        <w:rPr>
          <w:rFonts w:ascii="Times New Roman" w:hAnsi="Times New Roman"/>
          <w:b w:val="0"/>
          <w:sz w:val="28"/>
          <w:szCs w:val="28"/>
          <w:lang w:eastAsia="zh-CN"/>
        </w:rPr>
        <w:t xml:space="preserve"> No. </w:t>
      </w:r>
      <w:r>
        <w:rPr>
          <w:rFonts w:ascii="Times New Roman" w:hAnsi="Times New Roman"/>
          <w:b w:val="0"/>
          <w:sz w:val="28"/>
          <w:szCs w:val="28"/>
          <w:lang w:eastAsia="zh-CN"/>
        </w:rPr>
        <w:t>1</w:t>
      </w:r>
      <w:r w:rsidRPr="00A85C34">
        <w:rPr>
          <w:rFonts w:ascii="Times New Roman" w:hAnsi="Times New Roman"/>
          <w:b w:val="0"/>
          <w:sz w:val="28"/>
          <w:szCs w:val="28"/>
          <w:lang w:eastAsia="zh-CN"/>
        </w:rPr>
        <w:t>1 of 201</w:t>
      </w:r>
      <w:r>
        <w:rPr>
          <w:rFonts w:ascii="Times New Roman" w:hAnsi="Times New Roman"/>
          <w:b w:val="0"/>
          <w:sz w:val="28"/>
          <w:szCs w:val="28"/>
          <w:lang w:eastAsia="zh-CN"/>
        </w:rPr>
        <w:t>6</w:t>
      </w:r>
    </w:p>
    <w:p w:rsidR="00667D4E" w:rsidRPr="003015D9" w:rsidRDefault="00667D4E" w:rsidP="00667D4E">
      <w:pPr>
        <w:pStyle w:val="Normal3"/>
        <w:rPr>
          <w:lang w:eastAsia="zh-TW"/>
        </w:rPr>
      </w:pPr>
    </w:p>
    <w:p w:rsidR="00667D4E" w:rsidRPr="00425E7B" w:rsidRDefault="00667D4E" w:rsidP="00667D4E">
      <w:pPr>
        <w:pStyle w:val="NormalMF"/>
        <w:rPr>
          <w:sz w:val="30"/>
          <w:szCs w:val="28"/>
        </w:rPr>
      </w:pPr>
      <w:r w:rsidRPr="00425E7B">
        <w:rPr>
          <w:sz w:val="30"/>
          <w:szCs w:val="28"/>
        </w:rPr>
        <w:t>IN THE COURT OF FINAL APPEAL OF THE</w:t>
      </w:r>
    </w:p>
    <w:p w:rsidR="00667D4E" w:rsidRPr="00425E7B" w:rsidRDefault="00667D4E" w:rsidP="00667D4E">
      <w:pPr>
        <w:pStyle w:val="NormalMF"/>
        <w:rPr>
          <w:sz w:val="30"/>
          <w:szCs w:val="28"/>
        </w:rPr>
      </w:pPr>
      <w:r w:rsidRPr="00425E7B">
        <w:rPr>
          <w:sz w:val="30"/>
          <w:szCs w:val="28"/>
        </w:rPr>
        <w:t>HONG KONG SPECIAL ADMINISTRATIVE REGION</w:t>
      </w:r>
    </w:p>
    <w:p w:rsidR="00667D4E" w:rsidRPr="003015D9" w:rsidRDefault="00667D4E" w:rsidP="00667D4E">
      <w:pPr>
        <w:pStyle w:val="NormalMF"/>
        <w:rPr>
          <w:sz w:val="28"/>
          <w:szCs w:val="28"/>
        </w:rPr>
      </w:pPr>
    </w:p>
    <w:p w:rsidR="00667D4E" w:rsidRPr="003015D9" w:rsidRDefault="00667D4E" w:rsidP="00667D4E">
      <w:pPr>
        <w:pStyle w:val="MF"/>
        <w:rPr>
          <w:b/>
          <w:bCs/>
          <w:szCs w:val="28"/>
        </w:rPr>
      </w:pPr>
      <w:r>
        <w:rPr>
          <w:rFonts w:eastAsia="宋体" w:hint="eastAsia"/>
          <w:b/>
          <w:bCs/>
          <w:szCs w:val="28"/>
        </w:rPr>
        <w:t>Final Appeal</w:t>
      </w:r>
      <w:r w:rsidRPr="003015D9">
        <w:rPr>
          <w:b/>
          <w:bCs/>
          <w:szCs w:val="28"/>
        </w:rPr>
        <w:t xml:space="preserve"> NO. </w:t>
      </w:r>
      <w:r>
        <w:rPr>
          <w:rFonts w:eastAsia="宋体" w:hint="eastAsia"/>
          <w:b/>
          <w:bCs/>
          <w:szCs w:val="28"/>
        </w:rPr>
        <w:t>1</w:t>
      </w:r>
      <w:r>
        <w:rPr>
          <w:rFonts w:eastAsia="宋体"/>
          <w:b/>
          <w:bCs/>
          <w:szCs w:val="28"/>
        </w:rPr>
        <w:t>1</w:t>
      </w:r>
      <w:r w:rsidRPr="003015D9">
        <w:rPr>
          <w:b/>
          <w:bCs/>
          <w:szCs w:val="28"/>
        </w:rPr>
        <w:t xml:space="preserve"> OF 201</w:t>
      </w:r>
      <w:r>
        <w:rPr>
          <w:rFonts w:eastAsia="宋体"/>
          <w:b/>
          <w:bCs/>
          <w:szCs w:val="28"/>
        </w:rPr>
        <w:t>6</w:t>
      </w:r>
      <w:r w:rsidRPr="003015D9">
        <w:rPr>
          <w:b/>
          <w:bCs/>
          <w:szCs w:val="28"/>
        </w:rPr>
        <w:t xml:space="preserve"> (</w:t>
      </w:r>
      <w:r>
        <w:rPr>
          <w:rFonts w:eastAsia="宋体" w:hint="eastAsia"/>
          <w:b/>
          <w:bCs/>
          <w:szCs w:val="28"/>
        </w:rPr>
        <w:t>CRIMINAL</w:t>
      </w:r>
      <w:r w:rsidRPr="003015D9">
        <w:rPr>
          <w:b/>
          <w:bCs/>
          <w:szCs w:val="28"/>
        </w:rPr>
        <w:t>)</w:t>
      </w:r>
    </w:p>
    <w:p w:rsidR="00667D4E" w:rsidRPr="003015D9" w:rsidRDefault="00667D4E" w:rsidP="00667D4E">
      <w:pPr>
        <w:pStyle w:val="MF"/>
        <w:rPr>
          <w:szCs w:val="28"/>
        </w:rPr>
      </w:pPr>
      <w:r w:rsidRPr="003015D9">
        <w:rPr>
          <w:szCs w:val="28"/>
        </w:rPr>
        <w:t>(ON APPEAL</w:t>
      </w:r>
      <w:r>
        <w:rPr>
          <w:rFonts w:eastAsia="宋体" w:hint="eastAsia"/>
          <w:szCs w:val="28"/>
        </w:rPr>
        <w:t xml:space="preserve"> </w:t>
      </w:r>
      <w:r w:rsidRPr="003015D9">
        <w:rPr>
          <w:szCs w:val="28"/>
        </w:rPr>
        <w:t xml:space="preserve">FROM </w:t>
      </w:r>
      <w:r>
        <w:rPr>
          <w:rFonts w:eastAsia="宋体" w:hint="eastAsia"/>
          <w:szCs w:val="28"/>
        </w:rPr>
        <w:t>CACC</w:t>
      </w:r>
      <w:r w:rsidRPr="003015D9">
        <w:rPr>
          <w:szCs w:val="28"/>
        </w:rPr>
        <w:t xml:space="preserve"> No</w:t>
      </w:r>
      <w:r>
        <w:rPr>
          <w:szCs w:val="28"/>
        </w:rPr>
        <w:t>S</w:t>
      </w:r>
      <w:r w:rsidRPr="003015D9">
        <w:rPr>
          <w:szCs w:val="28"/>
        </w:rPr>
        <w:t xml:space="preserve">. </w:t>
      </w:r>
      <w:r>
        <w:rPr>
          <w:rFonts w:eastAsia="宋体" w:hint="eastAsia"/>
          <w:szCs w:val="28"/>
        </w:rPr>
        <w:t>1</w:t>
      </w:r>
      <w:r>
        <w:rPr>
          <w:rFonts w:eastAsia="宋体"/>
          <w:szCs w:val="28"/>
        </w:rPr>
        <w:t>03</w:t>
      </w:r>
      <w:r>
        <w:rPr>
          <w:rFonts w:eastAsia="宋体" w:hint="eastAsia"/>
          <w:szCs w:val="28"/>
        </w:rPr>
        <w:t xml:space="preserve"> </w:t>
      </w:r>
      <w:r>
        <w:rPr>
          <w:rFonts w:hint="eastAsia"/>
          <w:szCs w:val="28"/>
          <w:lang w:eastAsia="zh-TW"/>
        </w:rPr>
        <w:t>oF 20</w:t>
      </w:r>
      <w:r>
        <w:rPr>
          <w:rFonts w:eastAsia="宋体" w:hint="eastAsia"/>
          <w:szCs w:val="28"/>
        </w:rPr>
        <w:t>1</w:t>
      </w:r>
      <w:r>
        <w:rPr>
          <w:rFonts w:eastAsia="宋体"/>
          <w:szCs w:val="28"/>
        </w:rPr>
        <w:t>2 and 183 of 2014</w:t>
      </w:r>
      <w:r w:rsidRPr="003015D9">
        <w:rPr>
          <w:szCs w:val="28"/>
        </w:rPr>
        <w:t>)</w:t>
      </w:r>
    </w:p>
    <w:p w:rsidR="00667D4E" w:rsidRDefault="00667D4E" w:rsidP="00667D4E">
      <w:pPr>
        <w:pStyle w:val="MF"/>
        <w:rPr>
          <w:szCs w:val="28"/>
          <w:lang w:eastAsia="zh-TW"/>
        </w:rPr>
      </w:pPr>
      <w:r w:rsidRPr="003015D9">
        <w:rPr>
          <w:szCs w:val="28"/>
        </w:rPr>
        <w:t>_______________________</w:t>
      </w:r>
    </w:p>
    <w:p w:rsidR="00667D4E" w:rsidRPr="00DB3A5C" w:rsidRDefault="00667D4E" w:rsidP="00667D4E">
      <w:pPr>
        <w:pStyle w:val="MF"/>
        <w:rPr>
          <w:rFonts w:eastAsia="宋体"/>
          <w:szCs w:val="28"/>
        </w:rPr>
      </w:pPr>
    </w:p>
    <w:p w:rsidR="00667D4E" w:rsidRPr="003015D9" w:rsidRDefault="00667D4E" w:rsidP="00667D4E">
      <w:pPr>
        <w:pStyle w:val="Normal1"/>
        <w:rPr>
          <w:lang w:eastAsia="zh-TW"/>
        </w:rPr>
      </w:pPr>
      <w:r w:rsidRPr="003015D9">
        <w:t>B</w:t>
      </w:r>
      <w:r>
        <w:rPr>
          <w:rFonts w:eastAsia="宋体" w:hint="eastAsia"/>
        </w:rPr>
        <w:t>ETWEEN</w:t>
      </w:r>
    </w:p>
    <w:p w:rsidR="00667D4E" w:rsidRPr="00224479" w:rsidRDefault="00667D4E" w:rsidP="00667D4E">
      <w:pPr>
        <w:pStyle w:val="Normal1"/>
        <w:rPr>
          <w:sz w:val="18"/>
          <w:szCs w:val="18"/>
        </w:rPr>
      </w:pPr>
    </w:p>
    <w:tbl>
      <w:tblPr>
        <w:tblW w:w="9198" w:type="dxa"/>
        <w:tblLayout w:type="fixed"/>
        <w:tblLook w:val="0000" w:firstRow="0" w:lastRow="0" w:firstColumn="0" w:lastColumn="0" w:noHBand="0" w:noVBand="0"/>
      </w:tblPr>
      <w:tblGrid>
        <w:gridCol w:w="6629"/>
        <w:gridCol w:w="319"/>
        <w:gridCol w:w="2232"/>
        <w:gridCol w:w="18"/>
      </w:tblGrid>
      <w:tr w:rsidR="00667D4E" w:rsidRPr="003015D9" w:rsidTr="00284B4B">
        <w:trPr>
          <w:cantSplit/>
          <w:trHeight w:val="806"/>
        </w:trPr>
        <w:tc>
          <w:tcPr>
            <w:tcW w:w="6948" w:type="dxa"/>
            <w:gridSpan w:val="2"/>
          </w:tcPr>
          <w:p w:rsidR="00667D4E" w:rsidRPr="006C59B6" w:rsidRDefault="00667D4E" w:rsidP="00284B4B">
            <w:pPr>
              <w:pStyle w:val="Normal2"/>
              <w:tabs>
                <w:tab w:val="clear" w:pos="4320"/>
                <w:tab w:val="clear" w:pos="9000"/>
                <w:tab w:val="left" w:pos="0"/>
              </w:tabs>
              <w:ind w:right="32"/>
              <w:jc w:val="center"/>
              <w:textAlignment w:val="auto"/>
              <w:rPr>
                <w:rFonts w:eastAsia="宋体"/>
              </w:rPr>
            </w:pPr>
            <w:r>
              <w:rPr>
                <w:rFonts w:eastAsia="宋体" w:hint="eastAsia"/>
              </w:rPr>
              <w:t xml:space="preserve">                  </w:t>
            </w:r>
            <w:r>
              <w:rPr>
                <w:rFonts w:eastAsia="宋体"/>
              </w:rPr>
              <w:t>SECRETARY FOR JUSTICE</w:t>
            </w:r>
          </w:p>
        </w:tc>
        <w:tc>
          <w:tcPr>
            <w:tcW w:w="2250" w:type="dxa"/>
            <w:gridSpan w:val="2"/>
          </w:tcPr>
          <w:p w:rsidR="00667D4E" w:rsidRPr="00A43DA5" w:rsidRDefault="00667D4E" w:rsidP="00284B4B">
            <w:pPr>
              <w:jc w:val="right"/>
              <w:rPr>
                <w:b/>
              </w:rPr>
            </w:pPr>
            <w:r>
              <w:rPr>
                <w:b/>
                <w:lang w:eastAsia="zh-CN"/>
              </w:rPr>
              <w:t>Respondent</w:t>
            </w:r>
          </w:p>
        </w:tc>
      </w:tr>
      <w:tr w:rsidR="00667D4E" w:rsidRPr="003015D9" w:rsidTr="00284B4B">
        <w:trPr>
          <w:cantSplit/>
          <w:trHeight w:val="718"/>
        </w:trPr>
        <w:tc>
          <w:tcPr>
            <w:tcW w:w="6948" w:type="dxa"/>
            <w:gridSpan w:val="2"/>
          </w:tcPr>
          <w:p w:rsidR="00667D4E" w:rsidRPr="003015D9" w:rsidRDefault="00667D4E" w:rsidP="00284B4B">
            <w:pPr>
              <w:tabs>
                <w:tab w:val="left" w:pos="0"/>
              </w:tabs>
              <w:spacing w:after="240"/>
              <w:ind w:right="34"/>
              <w:jc w:val="center"/>
              <w:rPr>
                <w:b/>
                <w:sz w:val="16"/>
              </w:rPr>
            </w:pPr>
            <w:r>
              <w:rPr>
                <w:rFonts w:hint="eastAsia"/>
                <w:b/>
              </w:rPr>
              <w:t xml:space="preserve">         </w:t>
            </w:r>
            <w:r>
              <w:rPr>
                <w:rFonts w:hint="eastAsia"/>
                <w:b/>
                <w:lang w:eastAsia="zh-CN"/>
              </w:rPr>
              <w:t xml:space="preserve">        </w:t>
            </w:r>
            <w:r w:rsidRPr="003015D9">
              <w:rPr>
                <w:b/>
              </w:rPr>
              <w:t>and</w:t>
            </w:r>
          </w:p>
        </w:tc>
        <w:tc>
          <w:tcPr>
            <w:tcW w:w="2250" w:type="dxa"/>
            <w:gridSpan w:val="2"/>
          </w:tcPr>
          <w:p w:rsidR="00667D4E" w:rsidRPr="003015D9" w:rsidRDefault="00667D4E" w:rsidP="00284B4B"/>
        </w:tc>
      </w:tr>
      <w:tr w:rsidR="00667D4E" w:rsidRPr="003015D9" w:rsidTr="00284B4B">
        <w:trPr>
          <w:cantSplit/>
          <w:trHeight w:val="565"/>
        </w:trPr>
        <w:tc>
          <w:tcPr>
            <w:tcW w:w="6948" w:type="dxa"/>
            <w:gridSpan w:val="2"/>
          </w:tcPr>
          <w:p w:rsidR="00667D4E" w:rsidRPr="00726155" w:rsidRDefault="00667D4E" w:rsidP="00284B4B">
            <w:pPr>
              <w:pStyle w:val="BlockText"/>
              <w:tabs>
                <w:tab w:val="left" w:pos="0"/>
              </w:tabs>
              <w:spacing w:after="0"/>
              <w:ind w:left="0" w:right="32" w:firstLine="0"/>
              <w:jc w:val="center"/>
              <w:rPr>
                <w:rFonts w:eastAsia="PMingLiU"/>
                <w:lang w:eastAsia="zh-TW"/>
              </w:rPr>
            </w:pPr>
            <w:r>
              <w:rPr>
                <w:rFonts w:eastAsia="宋体" w:hint="eastAsia"/>
              </w:rPr>
              <w:t xml:space="preserve">                   </w:t>
            </w:r>
            <w:r w:rsidR="000C27F3">
              <w:rPr>
                <w:bCs/>
                <w:caps/>
              </w:rPr>
              <w:t xml:space="preserve">CHAN CHI WAN STEPHEN </w:t>
            </w:r>
            <w:r w:rsidRPr="00726155">
              <w:rPr>
                <w:bCs/>
                <w:caps/>
              </w:rPr>
              <w:t>(</w:t>
            </w:r>
            <w:r w:rsidRPr="000C27F3">
              <w:rPr>
                <w:rFonts w:ascii="宋体" w:eastAsia="宋体" w:hAnsi="宋体"/>
                <w:bCs/>
                <w:caps/>
              </w:rPr>
              <w:t>陳志雲</w:t>
            </w:r>
            <w:r w:rsidRPr="00726155">
              <w:rPr>
                <w:bCs/>
                <w:caps/>
              </w:rPr>
              <w:t>)</w:t>
            </w:r>
            <w:r>
              <w:rPr>
                <w:bCs/>
                <w:caps/>
              </w:rPr>
              <w:t xml:space="preserve"> </w:t>
            </w:r>
            <w:r>
              <w:t>(D1</w:t>
            </w:r>
            <w:r w:rsidRPr="00726155">
              <w:t>)</w:t>
            </w:r>
          </w:p>
        </w:tc>
        <w:tc>
          <w:tcPr>
            <w:tcW w:w="2250" w:type="dxa"/>
            <w:gridSpan w:val="2"/>
          </w:tcPr>
          <w:p w:rsidR="00667D4E" w:rsidRPr="00A43DA5" w:rsidRDefault="00667D4E" w:rsidP="00284B4B">
            <w:pPr>
              <w:jc w:val="right"/>
              <w:rPr>
                <w:b/>
              </w:rPr>
            </w:pPr>
            <w:r>
              <w:rPr>
                <w:b/>
                <w:lang w:eastAsia="zh-CN"/>
              </w:rPr>
              <w:t>Appellan</w:t>
            </w:r>
            <w:r w:rsidRPr="00A43DA5">
              <w:rPr>
                <w:rFonts w:hint="eastAsia"/>
                <w:b/>
              </w:rPr>
              <w:t xml:space="preserve">t </w:t>
            </w:r>
          </w:p>
        </w:tc>
      </w:tr>
      <w:tr w:rsidR="00667D4E" w:rsidRPr="003015D9" w:rsidTr="00284B4B">
        <w:trPr>
          <w:gridAfter w:val="1"/>
          <w:wAfter w:w="18" w:type="dxa"/>
          <w:cantSplit/>
          <w:trHeight w:val="353"/>
        </w:trPr>
        <w:tc>
          <w:tcPr>
            <w:tcW w:w="6629" w:type="dxa"/>
          </w:tcPr>
          <w:p w:rsidR="00667D4E" w:rsidRPr="005361E9" w:rsidRDefault="00667D4E" w:rsidP="00284B4B">
            <w:pPr>
              <w:pStyle w:val="BlockText"/>
              <w:tabs>
                <w:tab w:val="left" w:pos="0"/>
              </w:tabs>
              <w:spacing w:after="0"/>
              <w:ind w:left="0" w:right="32" w:firstLine="0"/>
              <w:rPr>
                <w:rFonts w:eastAsia="宋体"/>
                <w:caps/>
                <w:sz w:val="20"/>
                <w:szCs w:val="20"/>
              </w:rPr>
            </w:pPr>
          </w:p>
        </w:tc>
        <w:tc>
          <w:tcPr>
            <w:tcW w:w="2551" w:type="dxa"/>
            <w:gridSpan w:val="2"/>
          </w:tcPr>
          <w:p w:rsidR="00667D4E" w:rsidRPr="003015D9" w:rsidRDefault="00667D4E" w:rsidP="00284B4B">
            <w:pPr>
              <w:jc w:val="right"/>
              <w:rPr>
                <w:b/>
                <w:sz w:val="20"/>
                <w:szCs w:val="20"/>
                <w:lang w:eastAsia="zh-TW"/>
              </w:rPr>
            </w:pPr>
          </w:p>
        </w:tc>
      </w:tr>
    </w:tbl>
    <w:p w:rsidR="00667D4E" w:rsidRDefault="00667D4E" w:rsidP="00667D4E">
      <w:pPr>
        <w:pStyle w:val="MF"/>
        <w:rPr>
          <w:lang w:eastAsia="zh-TW"/>
        </w:rPr>
      </w:pPr>
      <w:r w:rsidRPr="003015D9">
        <w:t>_______________________</w:t>
      </w:r>
    </w:p>
    <w:p w:rsidR="00667D4E" w:rsidRPr="00F33682" w:rsidRDefault="00667D4E" w:rsidP="00667D4E">
      <w:pPr>
        <w:jc w:val="center"/>
        <w:rPr>
          <w:color w:val="000000"/>
          <w:lang w:eastAsia="zh-CN"/>
        </w:rPr>
      </w:pPr>
    </w:p>
    <w:p w:rsidR="00667D4E" w:rsidRPr="00350978" w:rsidRDefault="00667D4E" w:rsidP="00667D4E">
      <w:pPr>
        <w:pStyle w:val="Heading3"/>
        <w:spacing w:before="0" w:after="0"/>
        <w:ind w:right="-43"/>
        <w:jc w:val="right"/>
        <w:rPr>
          <w:rFonts w:ascii="Times New Roman" w:hAnsi="Times New Roman"/>
          <w:b w:val="0"/>
          <w:color w:val="000000"/>
          <w:sz w:val="28"/>
          <w:szCs w:val="28"/>
          <w:lang w:eastAsia="zh-CN"/>
        </w:rPr>
      </w:pPr>
      <w:r w:rsidRPr="007B04D3">
        <w:rPr>
          <w:rFonts w:ascii="Times New Roman" w:hAnsi="Times New Roman"/>
          <w:b w:val="0"/>
          <w:color w:val="000000"/>
          <w:sz w:val="28"/>
          <w:szCs w:val="28"/>
        </w:rPr>
        <w:t>FA</w:t>
      </w:r>
      <w:r w:rsidRPr="007B04D3">
        <w:rPr>
          <w:rFonts w:ascii="Times New Roman" w:hAnsi="Times New Roman"/>
          <w:b w:val="0"/>
          <w:color w:val="000000"/>
          <w:sz w:val="28"/>
          <w:szCs w:val="28"/>
          <w:lang w:eastAsia="zh-CN"/>
        </w:rPr>
        <w:t>C</w:t>
      </w:r>
      <w:r w:rsidRPr="007B04D3">
        <w:rPr>
          <w:rFonts w:ascii="Times New Roman" w:eastAsia="PMingLiU" w:hAnsi="Times New Roman"/>
          <w:b w:val="0"/>
          <w:color w:val="000000"/>
          <w:sz w:val="28"/>
          <w:szCs w:val="28"/>
          <w:lang w:eastAsia="zh-TW"/>
        </w:rPr>
        <w:t>C</w:t>
      </w:r>
      <w:r w:rsidRPr="007B04D3">
        <w:rPr>
          <w:rFonts w:ascii="Times New Roman" w:hAnsi="Times New Roman"/>
          <w:b w:val="0"/>
          <w:color w:val="000000"/>
          <w:sz w:val="28"/>
          <w:szCs w:val="28"/>
        </w:rPr>
        <w:t xml:space="preserve"> No</w:t>
      </w:r>
      <w:r w:rsidRPr="007B04D3">
        <w:rPr>
          <w:rFonts w:ascii="Times New Roman" w:hAnsi="Times New Roman"/>
          <w:b w:val="0"/>
          <w:color w:val="000000"/>
          <w:sz w:val="28"/>
          <w:szCs w:val="28"/>
          <w:lang w:eastAsia="zh-CN"/>
        </w:rPr>
        <w:t xml:space="preserve">. </w:t>
      </w:r>
      <w:r>
        <w:rPr>
          <w:rFonts w:ascii="Times New Roman" w:hAnsi="Times New Roman"/>
          <w:b w:val="0"/>
          <w:color w:val="000000"/>
          <w:sz w:val="28"/>
          <w:szCs w:val="28"/>
          <w:lang w:eastAsia="zh-CN"/>
        </w:rPr>
        <w:t>18</w:t>
      </w:r>
      <w:r w:rsidRPr="007B04D3">
        <w:rPr>
          <w:rFonts w:ascii="Times New Roman" w:hAnsi="Times New Roman"/>
          <w:b w:val="0"/>
          <w:color w:val="000000"/>
          <w:sz w:val="28"/>
          <w:szCs w:val="28"/>
        </w:rPr>
        <w:t xml:space="preserve"> of 201</w:t>
      </w:r>
      <w:r>
        <w:rPr>
          <w:rFonts w:ascii="Times New Roman" w:hAnsi="Times New Roman" w:hint="eastAsia"/>
          <w:b w:val="0"/>
          <w:color w:val="000000"/>
          <w:sz w:val="28"/>
          <w:szCs w:val="28"/>
          <w:lang w:eastAsia="zh-CN"/>
        </w:rPr>
        <w:t>6</w:t>
      </w:r>
    </w:p>
    <w:p w:rsidR="00667D4E" w:rsidRPr="007B04D3" w:rsidRDefault="00667D4E" w:rsidP="00667D4E">
      <w:pPr>
        <w:rPr>
          <w:lang w:eastAsia="zh-CN"/>
        </w:rPr>
      </w:pPr>
    </w:p>
    <w:p w:rsidR="00667D4E" w:rsidRPr="007B04D3" w:rsidRDefault="00667D4E" w:rsidP="00667D4E">
      <w:pPr>
        <w:pStyle w:val="NormalMF"/>
        <w:rPr>
          <w:sz w:val="30"/>
          <w:szCs w:val="28"/>
        </w:rPr>
      </w:pPr>
      <w:r w:rsidRPr="007B04D3">
        <w:rPr>
          <w:sz w:val="30"/>
          <w:szCs w:val="28"/>
        </w:rPr>
        <w:t>IN THE COURT OF FINAL APPEAL OF THE</w:t>
      </w:r>
    </w:p>
    <w:p w:rsidR="00667D4E" w:rsidRPr="007B04D3" w:rsidRDefault="00667D4E" w:rsidP="00667D4E">
      <w:pPr>
        <w:pStyle w:val="NormalMF"/>
        <w:rPr>
          <w:sz w:val="30"/>
          <w:szCs w:val="28"/>
        </w:rPr>
      </w:pPr>
      <w:r w:rsidRPr="007B04D3">
        <w:rPr>
          <w:sz w:val="30"/>
          <w:szCs w:val="28"/>
        </w:rPr>
        <w:t>HONG KONG SPECIAL ADMINISTRATIVE REGION</w:t>
      </w:r>
    </w:p>
    <w:p w:rsidR="00667D4E" w:rsidRPr="003015D9" w:rsidRDefault="00667D4E" w:rsidP="00667D4E">
      <w:pPr>
        <w:pStyle w:val="NormalMF"/>
        <w:rPr>
          <w:sz w:val="28"/>
          <w:szCs w:val="28"/>
        </w:rPr>
      </w:pPr>
    </w:p>
    <w:p w:rsidR="00667D4E" w:rsidRPr="003015D9" w:rsidRDefault="00667D4E" w:rsidP="00667D4E">
      <w:pPr>
        <w:pStyle w:val="MF"/>
        <w:rPr>
          <w:b/>
          <w:bCs/>
          <w:szCs w:val="28"/>
        </w:rPr>
      </w:pPr>
      <w:r>
        <w:rPr>
          <w:rFonts w:eastAsia="宋体" w:hint="eastAsia"/>
          <w:b/>
          <w:bCs/>
          <w:szCs w:val="28"/>
        </w:rPr>
        <w:t>Final Appeal</w:t>
      </w:r>
      <w:r w:rsidRPr="003015D9">
        <w:rPr>
          <w:b/>
          <w:bCs/>
          <w:szCs w:val="28"/>
        </w:rPr>
        <w:t xml:space="preserve"> NO. </w:t>
      </w:r>
      <w:r>
        <w:rPr>
          <w:rFonts w:eastAsia="宋体"/>
          <w:b/>
          <w:bCs/>
          <w:szCs w:val="28"/>
        </w:rPr>
        <w:t>18</w:t>
      </w:r>
      <w:r w:rsidRPr="003015D9">
        <w:rPr>
          <w:b/>
          <w:bCs/>
          <w:szCs w:val="28"/>
        </w:rPr>
        <w:t xml:space="preserve"> OF 201</w:t>
      </w:r>
      <w:r>
        <w:rPr>
          <w:rFonts w:eastAsia="宋体"/>
          <w:b/>
          <w:bCs/>
          <w:szCs w:val="28"/>
        </w:rPr>
        <w:t>6</w:t>
      </w:r>
      <w:r w:rsidRPr="003015D9">
        <w:rPr>
          <w:b/>
          <w:bCs/>
          <w:szCs w:val="28"/>
        </w:rPr>
        <w:t xml:space="preserve"> (C</w:t>
      </w:r>
      <w:r>
        <w:rPr>
          <w:rFonts w:hint="eastAsia"/>
          <w:b/>
          <w:bCs/>
          <w:szCs w:val="28"/>
          <w:lang w:eastAsia="zh-TW"/>
        </w:rPr>
        <w:t>RIMINAL</w:t>
      </w:r>
      <w:r w:rsidRPr="003015D9">
        <w:rPr>
          <w:b/>
          <w:bCs/>
          <w:szCs w:val="28"/>
        </w:rPr>
        <w:t>)</w:t>
      </w:r>
    </w:p>
    <w:p w:rsidR="00667D4E" w:rsidRDefault="00667D4E" w:rsidP="00667D4E">
      <w:pPr>
        <w:pStyle w:val="MF"/>
        <w:rPr>
          <w:rFonts w:eastAsia="宋体"/>
          <w:szCs w:val="28"/>
        </w:rPr>
      </w:pPr>
      <w:r w:rsidRPr="00346A81">
        <w:rPr>
          <w:szCs w:val="28"/>
        </w:rPr>
        <w:t>(ON APPEAL</w:t>
      </w:r>
      <w:r w:rsidRPr="00346A81">
        <w:rPr>
          <w:rFonts w:eastAsia="宋体"/>
          <w:szCs w:val="28"/>
        </w:rPr>
        <w:t xml:space="preserve"> </w:t>
      </w:r>
      <w:r w:rsidRPr="00346A81">
        <w:rPr>
          <w:szCs w:val="28"/>
        </w:rPr>
        <w:t xml:space="preserve">FROM </w:t>
      </w:r>
      <w:r w:rsidRPr="00346A81">
        <w:rPr>
          <w:szCs w:val="28"/>
          <w:lang w:eastAsia="zh-TW"/>
        </w:rPr>
        <w:t>CACC</w:t>
      </w:r>
      <w:r w:rsidRPr="00346A81">
        <w:rPr>
          <w:szCs w:val="28"/>
        </w:rPr>
        <w:t xml:space="preserve"> </w:t>
      </w:r>
      <w:r w:rsidRPr="003015D9">
        <w:rPr>
          <w:szCs w:val="28"/>
        </w:rPr>
        <w:t>No</w:t>
      </w:r>
      <w:r>
        <w:rPr>
          <w:szCs w:val="28"/>
        </w:rPr>
        <w:t>S</w:t>
      </w:r>
      <w:r w:rsidRPr="003015D9">
        <w:rPr>
          <w:szCs w:val="28"/>
        </w:rPr>
        <w:t xml:space="preserve">. </w:t>
      </w:r>
      <w:r>
        <w:rPr>
          <w:rFonts w:eastAsia="宋体" w:hint="eastAsia"/>
          <w:szCs w:val="28"/>
        </w:rPr>
        <w:t>1</w:t>
      </w:r>
      <w:r>
        <w:rPr>
          <w:rFonts w:eastAsia="宋体"/>
          <w:szCs w:val="28"/>
        </w:rPr>
        <w:t>03</w:t>
      </w:r>
      <w:r>
        <w:rPr>
          <w:rFonts w:eastAsia="宋体" w:hint="eastAsia"/>
          <w:szCs w:val="28"/>
        </w:rPr>
        <w:t xml:space="preserve"> </w:t>
      </w:r>
      <w:r>
        <w:rPr>
          <w:rFonts w:hint="eastAsia"/>
          <w:szCs w:val="28"/>
          <w:lang w:eastAsia="zh-TW"/>
        </w:rPr>
        <w:t>oF 20</w:t>
      </w:r>
      <w:r>
        <w:rPr>
          <w:rFonts w:eastAsia="宋体" w:hint="eastAsia"/>
          <w:szCs w:val="28"/>
        </w:rPr>
        <w:t>1</w:t>
      </w:r>
      <w:r>
        <w:rPr>
          <w:rFonts w:eastAsia="宋体"/>
          <w:szCs w:val="28"/>
        </w:rPr>
        <w:t>2 and 183 of 2014</w:t>
      </w:r>
      <w:r w:rsidRPr="00346A81">
        <w:rPr>
          <w:szCs w:val="28"/>
        </w:rPr>
        <w:t>)</w:t>
      </w:r>
    </w:p>
    <w:p w:rsidR="00667D4E" w:rsidRDefault="00667D4E" w:rsidP="00667D4E">
      <w:pPr>
        <w:pStyle w:val="MF"/>
        <w:rPr>
          <w:szCs w:val="28"/>
          <w:lang w:eastAsia="zh-TW"/>
        </w:rPr>
      </w:pPr>
      <w:r w:rsidRPr="003015D9">
        <w:rPr>
          <w:szCs w:val="28"/>
        </w:rPr>
        <w:t>_______________________</w:t>
      </w:r>
    </w:p>
    <w:p w:rsidR="00667D4E" w:rsidRPr="007B04D3" w:rsidRDefault="00667D4E" w:rsidP="00667D4E">
      <w:pPr>
        <w:pStyle w:val="MF"/>
        <w:rPr>
          <w:rFonts w:eastAsia="宋体"/>
          <w:szCs w:val="28"/>
        </w:rPr>
      </w:pPr>
    </w:p>
    <w:p w:rsidR="00667D4E" w:rsidRPr="003015D9" w:rsidRDefault="00667D4E" w:rsidP="00667D4E">
      <w:pPr>
        <w:tabs>
          <w:tab w:val="left" w:pos="5040"/>
        </w:tabs>
        <w:rPr>
          <w:lang w:eastAsia="zh-TW"/>
        </w:rPr>
      </w:pPr>
      <w:r w:rsidRPr="003015D9">
        <w:t>B</w:t>
      </w:r>
      <w:r>
        <w:rPr>
          <w:rFonts w:hint="eastAsia"/>
        </w:rPr>
        <w:t>ETWEEN</w:t>
      </w:r>
    </w:p>
    <w:p w:rsidR="00667D4E" w:rsidRDefault="00667D4E" w:rsidP="00667D4E">
      <w:pPr>
        <w:rPr>
          <w:color w:val="000000"/>
          <w:lang w:eastAsia="zh-TW"/>
        </w:rPr>
      </w:pPr>
    </w:p>
    <w:tbl>
      <w:tblPr>
        <w:tblW w:w="9198" w:type="dxa"/>
        <w:tblLayout w:type="fixed"/>
        <w:tblLook w:val="0000" w:firstRow="0" w:lastRow="0" w:firstColumn="0" w:lastColumn="0" w:noHBand="0" w:noVBand="0"/>
      </w:tblPr>
      <w:tblGrid>
        <w:gridCol w:w="6948"/>
        <w:gridCol w:w="2250"/>
      </w:tblGrid>
      <w:tr w:rsidR="00667D4E" w:rsidRPr="00103340" w:rsidTr="00284B4B">
        <w:trPr>
          <w:cantSplit/>
        </w:trPr>
        <w:tc>
          <w:tcPr>
            <w:tcW w:w="6948" w:type="dxa"/>
          </w:tcPr>
          <w:p w:rsidR="00667D4E" w:rsidRPr="00726155" w:rsidRDefault="00667D4E" w:rsidP="00284B4B">
            <w:pPr>
              <w:ind w:left="1350"/>
              <w:jc w:val="center"/>
              <w:rPr>
                <w:b/>
                <w:bCs/>
                <w:color w:val="000000"/>
              </w:rPr>
            </w:pPr>
            <w:r w:rsidRPr="00726155">
              <w:rPr>
                <w:b/>
              </w:rPr>
              <w:t>SECRETARY FOR JUSTICE</w:t>
            </w:r>
          </w:p>
        </w:tc>
        <w:tc>
          <w:tcPr>
            <w:tcW w:w="2250" w:type="dxa"/>
          </w:tcPr>
          <w:p w:rsidR="00667D4E" w:rsidRPr="007406AB" w:rsidRDefault="00667D4E" w:rsidP="00284B4B">
            <w:pPr>
              <w:jc w:val="right"/>
              <w:rPr>
                <w:b/>
                <w:color w:val="000000"/>
              </w:rPr>
            </w:pPr>
            <w:r w:rsidRPr="007406AB">
              <w:rPr>
                <w:b/>
                <w:color w:val="000000"/>
              </w:rPr>
              <w:t>Respondent</w:t>
            </w:r>
          </w:p>
          <w:p w:rsidR="00667D4E" w:rsidRPr="00224479" w:rsidRDefault="00667D4E" w:rsidP="00284B4B">
            <w:pPr>
              <w:jc w:val="right"/>
              <w:rPr>
                <w:color w:val="000000"/>
                <w:lang w:eastAsia="zh-TW"/>
              </w:rPr>
            </w:pPr>
          </w:p>
        </w:tc>
      </w:tr>
      <w:tr w:rsidR="00667D4E" w:rsidRPr="00103340" w:rsidTr="00284B4B">
        <w:trPr>
          <w:cantSplit/>
        </w:trPr>
        <w:tc>
          <w:tcPr>
            <w:tcW w:w="6948" w:type="dxa"/>
          </w:tcPr>
          <w:p w:rsidR="00667D4E" w:rsidRPr="00103340" w:rsidRDefault="00667D4E" w:rsidP="00284B4B">
            <w:pPr>
              <w:ind w:left="426"/>
              <w:jc w:val="center"/>
              <w:rPr>
                <w:b/>
                <w:color w:val="000000"/>
                <w:lang w:eastAsia="zh-TW"/>
              </w:rPr>
            </w:pPr>
            <w:r>
              <w:rPr>
                <w:rFonts w:hint="eastAsia"/>
                <w:b/>
                <w:color w:val="000000"/>
              </w:rPr>
              <w:t xml:space="preserve"> </w:t>
            </w:r>
            <w:r>
              <w:rPr>
                <w:rFonts w:hint="eastAsia"/>
                <w:b/>
                <w:color w:val="000000"/>
                <w:lang w:eastAsia="zh-CN"/>
              </w:rPr>
              <w:t xml:space="preserve">         </w:t>
            </w:r>
            <w:r>
              <w:rPr>
                <w:b/>
                <w:color w:val="000000"/>
              </w:rPr>
              <w:t>an</w:t>
            </w:r>
            <w:r>
              <w:rPr>
                <w:rFonts w:hint="eastAsia"/>
                <w:b/>
                <w:color w:val="000000"/>
                <w:lang w:eastAsia="zh-TW"/>
              </w:rPr>
              <w:t>d</w:t>
            </w:r>
          </w:p>
          <w:p w:rsidR="00667D4E" w:rsidRPr="00103340" w:rsidRDefault="00667D4E" w:rsidP="00284B4B">
            <w:pPr>
              <w:ind w:left="426"/>
              <w:jc w:val="center"/>
              <w:rPr>
                <w:b/>
                <w:color w:val="000000"/>
              </w:rPr>
            </w:pPr>
          </w:p>
        </w:tc>
        <w:tc>
          <w:tcPr>
            <w:tcW w:w="2250" w:type="dxa"/>
          </w:tcPr>
          <w:p w:rsidR="00667D4E" w:rsidRPr="00103340" w:rsidRDefault="00667D4E" w:rsidP="00284B4B">
            <w:pPr>
              <w:jc w:val="right"/>
              <w:rPr>
                <w:b/>
                <w:color w:val="000000"/>
              </w:rPr>
            </w:pPr>
          </w:p>
        </w:tc>
      </w:tr>
      <w:tr w:rsidR="00667D4E" w:rsidRPr="005361E9" w:rsidTr="00284B4B">
        <w:trPr>
          <w:cantSplit/>
          <w:trHeight w:val="565"/>
        </w:trPr>
        <w:tc>
          <w:tcPr>
            <w:tcW w:w="6948" w:type="dxa"/>
          </w:tcPr>
          <w:p w:rsidR="00667D4E" w:rsidRPr="00726155" w:rsidRDefault="00667D4E" w:rsidP="00284B4B">
            <w:pPr>
              <w:pStyle w:val="BlockText"/>
              <w:tabs>
                <w:tab w:val="left" w:pos="0"/>
              </w:tabs>
              <w:spacing w:after="0"/>
              <w:ind w:left="0" w:right="32" w:firstLine="0"/>
              <w:jc w:val="center"/>
              <w:rPr>
                <w:rFonts w:eastAsia="宋体"/>
              </w:rPr>
            </w:pPr>
            <w:r>
              <w:rPr>
                <w:rFonts w:eastAsia="宋体" w:hint="eastAsia"/>
              </w:rPr>
              <w:t xml:space="preserve">                        </w:t>
            </w:r>
            <w:r w:rsidRPr="00726155">
              <w:t>TSENG PEI KUN</w:t>
            </w:r>
            <w:r w:rsidR="000C27F3">
              <w:t xml:space="preserve"> </w:t>
            </w:r>
            <w:r w:rsidRPr="00726155">
              <w:rPr>
                <w:rFonts w:eastAsia="PMingLiU"/>
                <w:lang w:eastAsia="zh-TW"/>
              </w:rPr>
              <w:t>(</w:t>
            </w:r>
            <w:r w:rsidRPr="000C27F3">
              <w:rPr>
                <w:rFonts w:asciiTheme="majorEastAsia" w:eastAsiaTheme="majorEastAsia" w:hAnsiTheme="majorEastAsia"/>
              </w:rPr>
              <w:t>叢培崑</w:t>
            </w:r>
            <w:r w:rsidRPr="00726155">
              <w:rPr>
                <w:rFonts w:eastAsia="PMingLiU"/>
                <w:lang w:eastAsia="zh-TW"/>
              </w:rPr>
              <w:t>)</w:t>
            </w:r>
            <w:r w:rsidRPr="00726155">
              <w:t xml:space="preserve"> (D2)</w:t>
            </w:r>
          </w:p>
        </w:tc>
        <w:tc>
          <w:tcPr>
            <w:tcW w:w="2250" w:type="dxa"/>
          </w:tcPr>
          <w:p w:rsidR="00667D4E" w:rsidRPr="007406AB" w:rsidRDefault="00667D4E" w:rsidP="00284B4B">
            <w:pPr>
              <w:jc w:val="right"/>
              <w:rPr>
                <w:b/>
              </w:rPr>
            </w:pPr>
            <w:r w:rsidRPr="007406AB">
              <w:rPr>
                <w:rFonts w:hint="eastAsia"/>
                <w:b/>
              </w:rPr>
              <w:t xml:space="preserve">Appellant </w:t>
            </w:r>
          </w:p>
        </w:tc>
      </w:tr>
    </w:tbl>
    <w:p w:rsidR="00667D4E" w:rsidRDefault="00667D4E" w:rsidP="00667D4E">
      <w:pPr>
        <w:pStyle w:val="MF"/>
        <w:rPr>
          <w:lang w:eastAsia="zh-TW"/>
        </w:rPr>
      </w:pPr>
      <w:r w:rsidRPr="003015D9">
        <w:t>_______________________</w:t>
      </w:r>
    </w:p>
    <w:p w:rsidR="00667D4E" w:rsidRDefault="00667D4E" w:rsidP="00667D4E">
      <w:pPr>
        <w:jc w:val="center"/>
        <w:rPr>
          <w:color w:val="000000"/>
        </w:rPr>
      </w:pPr>
    </w:p>
    <w:p w:rsidR="00667D4E" w:rsidRDefault="00667D4E" w:rsidP="00667D4E">
      <w:pPr>
        <w:pStyle w:val="coram"/>
        <w:tabs>
          <w:tab w:val="clear" w:pos="2880"/>
          <w:tab w:val="left" w:pos="3261"/>
        </w:tabs>
        <w:spacing w:after="0"/>
        <w:ind w:left="3261" w:right="-327" w:hanging="3261"/>
        <w:jc w:val="both"/>
        <w:rPr>
          <w:rFonts w:eastAsia="宋体"/>
          <w:lang w:eastAsia="zh-CN"/>
        </w:rPr>
      </w:pPr>
    </w:p>
    <w:tbl>
      <w:tblPr>
        <w:tblW w:w="8838" w:type="dxa"/>
        <w:tblInd w:w="108" w:type="dxa"/>
        <w:tblLayout w:type="fixed"/>
        <w:tblLook w:val="0000" w:firstRow="0" w:lastRow="0" w:firstColumn="0" w:lastColumn="0" w:noHBand="0" w:noVBand="0"/>
      </w:tblPr>
      <w:tblGrid>
        <w:gridCol w:w="2700"/>
        <w:gridCol w:w="6138"/>
      </w:tblGrid>
      <w:tr w:rsidR="00667D4E" w:rsidRPr="003850D5" w:rsidTr="00284B4B">
        <w:tc>
          <w:tcPr>
            <w:tcW w:w="2700" w:type="dxa"/>
          </w:tcPr>
          <w:p w:rsidR="0062404C" w:rsidRDefault="0062404C" w:rsidP="00284B4B">
            <w:pPr>
              <w:snapToGrid w:val="0"/>
              <w:rPr>
                <w:bCs/>
                <w:szCs w:val="28"/>
              </w:rPr>
            </w:pPr>
          </w:p>
          <w:p w:rsidR="00667D4E" w:rsidRPr="003850D5" w:rsidRDefault="00667D4E" w:rsidP="00284B4B">
            <w:pPr>
              <w:snapToGrid w:val="0"/>
            </w:pPr>
            <w:r w:rsidRPr="003850D5">
              <w:rPr>
                <w:bCs/>
                <w:szCs w:val="28"/>
              </w:rPr>
              <w:lastRenderedPageBreak/>
              <w:t>Before :</w:t>
            </w:r>
          </w:p>
        </w:tc>
        <w:tc>
          <w:tcPr>
            <w:tcW w:w="6138" w:type="dxa"/>
          </w:tcPr>
          <w:p w:rsidR="0062404C" w:rsidRDefault="0062404C" w:rsidP="00284B4B">
            <w:pPr>
              <w:snapToGrid w:val="0"/>
              <w:jc w:val="both"/>
              <w:rPr>
                <w:bCs/>
                <w:szCs w:val="28"/>
              </w:rPr>
            </w:pPr>
          </w:p>
          <w:p w:rsidR="00667D4E" w:rsidRPr="003850D5" w:rsidRDefault="00667D4E" w:rsidP="00284B4B">
            <w:pPr>
              <w:snapToGrid w:val="0"/>
              <w:jc w:val="both"/>
              <w:rPr>
                <w:bCs/>
                <w:szCs w:val="28"/>
              </w:rPr>
            </w:pPr>
            <w:r w:rsidRPr="003850D5">
              <w:rPr>
                <w:bCs/>
                <w:szCs w:val="28"/>
              </w:rPr>
              <w:lastRenderedPageBreak/>
              <w:t>Mr Justice Ribeiro PJ, Mr Justice Tang PJ</w:t>
            </w:r>
            <w:r w:rsidRPr="003850D5">
              <w:rPr>
                <w:rFonts w:hint="eastAsia"/>
                <w:bCs/>
                <w:szCs w:val="28"/>
              </w:rPr>
              <w:t>,</w:t>
            </w:r>
          </w:p>
          <w:p w:rsidR="00667D4E" w:rsidRPr="003850D5" w:rsidRDefault="00667D4E" w:rsidP="00284B4B">
            <w:pPr>
              <w:snapToGrid w:val="0"/>
              <w:rPr>
                <w:bCs/>
                <w:szCs w:val="28"/>
              </w:rPr>
            </w:pPr>
            <w:r w:rsidRPr="003850D5">
              <w:rPr>
                <w:rFonts w:hint="eastAsia"/>
                <w:bCs/>
                <w:szCs w:val="28"/>
              </w:rPr>
              <w:t xml:space="preserve">Mr </w:t>
            </w:r>
            <w:r w:rsidRPr="003850D5">
              <w:rPr>
                <w:bCs/>
                <w:szCs w:val="28"/>
              </w:rPr>
              <w:t>Justice</w:t>
            </w:r>
            <w:r w:rsidRPr="003850D5">
              <w:rPr>
                <w:rFonts w:hint="eastAsia"/>
                <w:bCs/>
                <w:szCs w:val="28"/>
              </w:rPr>
              <w:t xml:space="preserve"> </w:t>
            </w:r>
            <w:proofErr w:type="spellStart"/>
            <w:r w:rsidRPr="003850D5">
              <w:rPr>
                <w:rFonts w:hint="eastAsia"/>
                <w:bCs/>
                <w:szCs w:val="28"/>
              </w:rPr>
              <w:t>Fok</w:t>
            </w:r>
            <w:proofErr w:type="spellEnd"/>
            <w:r w:rsidRPr="003850D5">
              <w:rPr>
                <w:rFonts w:hint="eastAsia"/>
                <w:bCs/>
                <w:szCs w:val="28"/>
              </w:rPr>
              <w:t xml:space="preserve"> PJ</w:t>
            </w:r>
            <w:r>
              <w:rPr>
                <w:bCs/>
                <w:szCs w:val="28"/>
              </w:rPr>
              <w:t>, Mr Justice Stock NPJ</w:t>
            </w:r>
            <w:r w:rsidRPr="003850D5">
              <w:rPr>
                <w:rFonts w:hint="eastAsia"/>
                <w:bCs/>
                <w:szCs w:val="28"/>
              </w:rPr>
              <w:t xml:space="preserve"> and </w:t>
            </w:r>
          </w:p>
          <w:p w:rsidR="00667D4E" w:rsidRPr="003850D5" w:rsidRDefault="00667D4E" w:rsidP="00284B4B">
            <w:pPr>
              <w:snapToGrid w:val="0"/>
              <w:jc w:val="both"/>
              <w:rPr>
                <w:bCs/>
                <w:szCs w:val="28"/>
              </w:rPr>
            </w:pPr>
            <w:r>
              <w:rPr>
                <w:rFonts w:hint="eastAsia"/>
                <w:lang w:eastAsia="zh-CN"/>
              </w:rPr>
              <w:t xml:space="preserve">Lord Walker of </w:t>
            </w:r>
            <w:proofErr w:type="spellStart"/>
            <w:r>
              <w:rPr>
                <w:rFonts w:hint="eastAsia"/>
                <w:lang w:eastAsia="zh-CN"/>
              </w:rPr>
              <w:t>Gestingthorpe</w:t>
            </w:r>
            <w:proofErr w:type="spellEnd"/>
            <w:r>
              <w:rPr>
                <w:rFonts w:hint="eastAsia"/>
                <w:lang w:eastAsia="zh-CN"/>
              </w:rPr>
              <w:t xml:space="preserve"> NPJ</w:t>
            </w:r>
          </w:p>
          <w:p w:rsidR="00667D4E" w:rsidRPr="003850D5" w:rsidRDefault="00667D4E" w:rsidP="00284B4B">
            <w:pPr>
              <w:snapToGrid w:val="0"/>
              <w:jc w:val="both"/>
            </w:pPr>
          </w:p>
        </w:tc>
      </w:tr>
      <w:tr w:rsidR="00667D4E" w:rsidRPr="003850D5" w:rsidTr="00284B4B">
        <w:tc>
          <w:tcPr>
            <w:tcW w:w="2700" w:type="dxa"/>
          </w:tcPr>
          <w:p w:rsidR="00667D4E" w:rsidRPr="003850D5" w:rsidRDefault="00667D4E" w:rsidP="00284B4B">
            <w:pPr>
              <w:snapToGrid w:val="0"/>
            </w:pPr>
            <w:r w:rsidRPr="003850D5">
              <w:rPr>
                <w:szCs w:val="28"/>
              </w:rPr>
              <w:lastRenderedPageBreak/>
              <w:t xml:space="preserve">Date of </w:t>
            </w:r>
            <w:r w:rsidRPr="003850D5">
              <w:rPr>
                <w:rFonts w:hint="eastAsia"/>
                <w:szCs w:val="28"/>
              </w:rPr>
              <w:t>H</w:t>
            </w:r>
            <w:r w:rsidRPr="003850D5">
              <w:rPr>
                <w:szCs w:val="28"/>
              </w:rPr>
              <w:t>earing:</w:t>
            </w:r>
          </w:p>
        </w:tc>
        <w:tc>
          <w:tcPr>
            <w:tcW w:w="6138" w:type="dxa"/>
          </w:tcPr>
          <w:p w:rsidR="00667D4E" w:rsidRPr="003850D5" w:rsidRDefault="00667D4E" w:rsidP="00284B4B">
            <w:pPr>
              <w:snapToGrid w:val="0"/>
            </w:pPr>
            <w:r>
              <w:rPr>
                <w:lang w:eastAsia="zh-CN"/>
              </w:rPr>
              <w:t>21 February</w:t>
            </w:r>
            <w:r>
              <w:rPr>
                <w:rFonts w:hint="eastAsia"/>
              </w:rPr>
              <w:t xml:space="preserve"> 2017</w:t>
            </w:r>
            <w:r w:rsidRPr="003850D5">
              <w:rPr>
                <w:rFonts w:hint="eastAsia"/>
              </w:rPr>
              <w:t xml:space="preserve"> </w:t>
            </w:r>
          </w:p>
          <w:p w:rsidR="00667D4E" w:rsidRPr="003850D5" w:rsidRDefault="00667D4E" w:rsidP="00284B4B">
            <w:pPr>
              <w:snapToGrid w:val="0"/>
            </w:pPr>
          </w:p>
        </w:tc>
      </w:tr>
      <w:tr w:rsidR="00667D4E" w:rsidRPr="003850D5" w:rsidTr="00284B4B">
        <w:tc>
          <w:tcPr>
            <w:tcW w:w="2700" w:type="dxa"/>
          </w:tcPr>
          <w:p w:rsidR="00667D4E" w:rsidRPr="003850D5" w:rsidRDefault="00667D4E" w:rsidP="00284B4B">
            <w:pPr>
              <w:snapToGrid w:val="0"/>
              <w:rPr>
                <w:color w:val="000000"/>
                <w:szCs w:val="28"/>
              </w:rPr>
            </w:pPr>
            <w:r w:rsidRPr="003850D5">
              <w:rPr>
                <w:color w:val="000000"/>
                <w:szCs w:val="28"/>
              </w:rPr>
              <w:t>Date of Judgment:</w:t>
            </w:r>
            <w:r w:rsidRPr="003850D5">
              <w:rPr>
                <w:rFonts w:hint="eastAsia"/>
                <w:color w:val="000000"/>
                <w:szCs w:val="28"/>
              </w:rPr>
              <w:tab/>
            </w:r>
          </w:p>
        </w:tc>
        <w:tc>
          <w:tcPr>
            <w:tcW w:w="6138" w:type="dxa"/>
          </w:tcPr>
          <w:p w:rsidR="00667D4E" w:rsidRPr="003850D5" w:rsidRDefault="00284B4B" w:rsidP="00284B4B">
            <w:pPr>
              <w:tabs>
                <w:tab w:val="left" w:pos="2160"/>
                <w:tab w:val="left" w:pos="3960"/>
              </w:tabs>
              <w:rPr>
                <w:color w:val="000000"/>
                <w:szCs w:val="28"/>
              </w:rPr>
            </w:pPr>
            <w:r>
              <w:rPr>
                <w:color w:val="000000"/>
                <w:lang w:eastAsia="zh-CN"/>
              </w:rPr>
              <w:t>14 March</w:t>
            </w:r>
            <w:bookmarkStart w:id="0" w:name="_GoBack"/>
            <w:bookmarkEnd w:id="0"/>
            <w:r w:rsidR="00667D4E">
              <w:rPr>
                <w:rFonts w:hint="eastAsia"/>
                <w:color w:val="000000"/>
                <w:lang w:eastAsia="zh-CN"/>
              </w:rPr>
              <w:t xml:space="preserve"> </w:t>
            </w:r>
            <w:r w:rsidR="00667D4E">
              <w:rPr>
                <w:rFonts w:hint="eastAsia"/>
                <w:color w:val="000000"/>
              </w:rPr>
              <w:t>2017</w:t>
            </w:r>
          </w:p>
          <w:p w:rsidR="00667D4E" w:rsidRPr="003850D5" w:rsidRDefault="00667D4E" w:rsidP="00284B4B">
            <w:pPr>
              <w:snapToGrid w:val="0"/>
              <w:rPr>
                <w:color w:val="000000"/>
              </w:rPr>
            </w:pPr>
          </w:p>
        </w:tc>
      </w:tr>
    </w:tbl>
    <w:p w:rsidR="00667D4E" w:rsidRPr="00B930B7" w:rsidRDefault="00667D4E" w:rsidP="00667D4E">
      <w:pPr>
        <w:pStyle w:val="Normal4"/>
        <w:rPr>
          <w:rFonts w:eastAsia="宋体"/>
          <w:b w:val="0"/>
          <w:bCs/>
          <w:lang w:eastAsia="zh-CN"/>
        </w:rPr>
      </w:pPr>
      <w:r w:rsidRPr="00B930B7">
        <w:rPr>
          <w:b w:val="0"/>
          <w:bCs/>
        </w:rPr>
        <w:t>_____________________</w:t>
      </w:r>
      <w:r w:rsidRPr="00B930B7">
        <w:rPr>
          <w:rFonts w:eastAsia="宋体"/>
          <w:b w:val="0"/>
          <w:bCs/>
          <w:lang w:eastAsia="zh-CN"/>
        </w:rPr>
        <w:t>____</w:t>
      </w:r>
    </w:p>
    <w:p w:rsidR="00667D4E" w:rsidRPr="00B930B7" w:rsidRDefault="00667D4E" w:rsidP="00667D4E">
      <w:pPr>
        <w:pStyle w:val="Normal4"/>
      </w:pPr>
    </w:p>
    <w:p w:rsidR="00667D4E" w:rsidRDefault="00667D4E" w:rsidP="00667D4E">
      <w:pPr>
        <w:jc w:val="center"/>
        <w:rPr>
          <w:b/>
          <w:color w:val="000000"/>
        </w:rPr>
      </w:pPr>
      <w:r w:rsidRPr="00FD3C1E">
        <w:rPr>
          <w:b/>
          <w:color w:val="000000"/>
        </w:rPr>
        <w:t>J U D G M E N T</w:t>
      </w:r>
    </w:p>
    <w:p w:rsidR="00667D4E" w:rsidRPr="00B930B7" w:rsidRDefault="00667D4E" w:rsidP="00667D4E">
      <w:pPr>
        <w:pStyle w:val="Bob10"/>
        <w:spacing w:after="0" w:line="240" w:lineRule="auto"/>
      </w:pPr>
      <w:r w:rsidRPr="00B930B7">
        <w:t>_________________________</w:t>
      </w:r>
    </w:p>
    <w:p w:rsidR="0062404C" w:rsidRDefault="0062404C" w:rsidP="0062404C">
      <w:pPr>
        <w:pStyle w:val="Bob1"/>
        <w:numPr>
          <w:ilvl w:val="0"/>
          <w:numId w:val="0"/>
        </w:numPr>
        <w:tabs>
          <w:tab w:val="left" w:pos="1440"/>
        </w:tabs>
        <w:spacing w:after="0"/>
        <w:ind w:hanging="14"/>
        <w:rPr>
          <w:b/>
        </w:rPr>
      </w:pPr>
    </w:p>
    <w:p w:rsidR="00CE0B97" w:rsidRPr="00525C4D" w:rsidRDefault="00CE0B97" w:rsidP="00525C4D">
      <w:pPr>
        <w:pStyle w:val="Bob1"/>
        <w:numPr>
          <w:ilvl w:val="0"/>
          <w:numId w:val="0"/>
        </w:numPr>
        <w:tabs>
          <w:tab w:val="left" w:pos="1440"/>
        </w:tabs>
        <w:ind w:hanging="11"/>
        <w:rPr>
          <w:b/>
        </w:rPr>
      </w:pPr>
      <w:r w:rsidRPr="00525C4D">
        <w:rPr>
          <w:b/>
        </w:rPr>
        <w:t>Mr Justice Ribeiro PJ:</w:t>
      </w:r>
    </w:p>
    <w:p w:rsidR="00CE0B97" w:rsidRPr="00D14F16" w:rsidRDefault="00CE0B97" w:rsidP="00525C4D">
      <w:pPr>
        <w:pStyle w:val="Bob1"/>
        <w:tabs>
          <w:tab w:val="clear" w:pos="720"/>
          <w:tab w:val="left" w:pos="1440"/>
        </w:tabs>
        <w:ind w:left="0" w:firstLine="0"/>
        <w:jc w:val="both"/>
      </w:pPr>
      <w:r w:rsidRPr="00D14F16">
        <w:t>These appeals, which arise out of the same</w:t>
      </w:r>
      <w:r w:rsidR="00E3025F" w:rsidRPr="00D14F16">
        <w:t xml:space="preserve"> transaction</w:t>
      </w:r>
      <w:r w:rsidRPr="00D14F16">
        <w:t xml:space="preserve"> and which have been heard together, raise questions concerning the </w:t>
      </w:r>
      <w:r w:rsidR="00E95F02">
        <w:t xml:space="preserve">elements of the offence created by </w:t>
      </w:r>
      <w:r w:rsidRPr="00D14F16">
        <w:t>section 9 of the Prevention of Bribery Ordinance</w:t>
      </w:r>
      <w:r w:rsidRPr="00D14F16">
        <w:rPr>
          <w:rStyle w:val="FootnoteReference"/>
        </w:rPr>
        <w:footnoteReference w:id="1"/>
      </w:r>
      <w:r w:rsidRPr="00D14F16">
        <w:t xml:space="preserve"> (“</w:t>
      </w:r>
      <w:r w:rsidRPr="00D14F16">
        <w:rPr>
          <w:u w:val="single"/>
        </w:rPr>
        <w:t>POBO</w:t>
      </w:r>
      <w:r w:rsidRPr="00D14F16">
        <w:t>”).</w:t>
      </w:r>
    </w:p>
    <w:p w:rsidR="00CE0B97" w:rsidRPr="00525C4D" w:rsidRDefault="00FE4C66" w:rsidP="00525C4D">
      <w:pPr>
        <w:pStyle w:val="docmapheading"/>
      </w:pPr>
      <w:r w:rsidRPr="00525C4D">
        <w:t>A.</w:t>
      </w:r>
      <w:r w:rsidRPr="00525C4D">
        <w:tab/>
      </w:r>
      <w:r w:rsidR="00CE0B97" w:rsidRPr="00525C4D">
        <w:t xml:space="preserve">The </w:t>
      </w:r>
      <w:r w:rsidR="00E3025F" w:rsidRPr="00525C4D">
        <w:t>relevant events</w:t>
      </w:r>
    </w:p>
    <w:p w:rsidR="00276291" w:rsidRDefault="00CE0B97" w:rsidP="00525C4D">
      <w:pPr>
        <w:pStyle w:val="Bob1"/>
        <w:tabs>
          <w:tab w:val="clear" w:pos="720"/>
          <w:tab w:val="left" w:pos="1440"/>
        </w:tabs>
        <w:ind w:left="0" w:firstLine="0"/>
        <w:jc w:val="both"/>
      </w:pPr>
      <w:r w:rsidRPr="00D14F16">
        <w:t xml:space="preserve">The appellant </w:t>
      </w:r>
      <w:r w:rsidR="00E3025F" w:rsidRPr="00D14F16">
        <w:t>Stephen Chan Chi Wan (“</w:t>
      </w:r>
      <w:r w:rsidR="00E3025F" w:rsidRPr="00D14F16">
        <w:rPr>
          <w:u w:val="single"/>
        </w:rPr>
        <w:t>Chan</w:t>
      </w:r>
      <w:r w:rsidR="00E3025F" w:rsidRPr="00D14F16">
        <w:t xml:space="preserve">”) was at the material time employed as General Manager </w:t>
      </w:r>
      <w:r w:rsidR="006331D5">
        <w:t xml:space="preserve">(Broadcasting) </w:t>
      </w:r>
      <w:r w:rsidR="00E3025F" w:rsidRPr="00D14F16">
        <w:t>by Television Broadcasts Ltd (“</w:t>
      </w:r>
      <w:r w:rsidR="00E3025F" w:rsidRPr="00D14F16">
        <w:rPr>
          <w:u w:val="single"/>
        </w:rPr>
        <w:t>TVB</w:t>
      </w:r>
      <w:r w:rsidR="00E3025F" w:rsidRPr="00D14F16">
        <w:t xml:space="preserve">”) under a contract </w:t>
      </w:r>
      <w:r w:rsidR="00477C81">
        <w:t xml:space="preserve">designed </w:t>
      </w:r>
      <w:r w:rsidR="00E3025F" w:rsidRPr="00D14F16">
        <w:t xml:space="preserve">for administrative personnel.  He was not </w:t>
      </w:r>
      <w:r w:rsidR="00C6235F">
        <w:t xml:space="preserve">required </w:t>
      </w:r>
      <w:r w:rsidR="00E3025F" w:rsidRPr="00D14F16">
        <w:t xml:space="preserve">to appear in front of the cameras but had </w:t>
      </w:r>
      <w:r w:rsidR="00805DB9" w:rsidRPr="00D14F16">
        <w:t xml:space="preserve">voluntarily </w:t>
      </w:r>
      <w:r w:rsidR="00E3025F" w:rsidRPr="00D14F16">
        <w:t>hosted a talk show screened on a TVB pay channel</w:t>
      </w:r>
      <w:r w:rsidR="00805DB9" w:rsidRPr="00D14F16">
        <w:t xml:space="preserve"> where he interviewed various celebrities, receiving no additional remuneration for so doing.  </w:t>
      </w:r>
    </w:p>
    <w:p w:rsidR="00CE0B97" w:rsidRDefault="00826C43" w:rsidP="00525C4D">
      <w:pPr>
        <w:pStyle w:val="Bob1"/>
        <w:tabs>
          <w:tab w:val="clear" w:pos="720"/>
          <w:tab w:val="left" w:pos="1440"/>
        </w:tabs>
        <w:ind w:left="0" w:firstLine="0"/>
        <w:jc w:val="both"/>
      </w:pPr>
      <w:r w:rsidRPr="00D14F16">
        <w:t>The show</w:t>
      </w:r>
      <w:r w:rsidR="00805DB9" w:rsidRPr="00D14F16">
        <w:t xml:space="preserve"> has been referred to as the “Be My Guest” show but its Chinese</w:t>
      </w:r>
      <w:r w:rsidRPr="00D14F16">
        <w:t xml:space="preserve"> name</w:t>
      </w:r>
      <w:r w:rsidR="00805DB9" w:rsidRPr="00D14F16">
        <w:t xml:space="preserve"> </w:t>
      </w:r>
      <w:r w:rsidR="006331D5">
        <w:t>“</w:t>
      </w:r>
      <w:r w:rsidR="00805DB9" w:rsidRPr="00D14F16">
        <w:t>志雲飯局</w:t>
      </w:r>
      <w:r w:rsidR="006331D5">
        <w:t>”</w:t>
      </w:r>
      <w:r w:rsidR="00805DB9" w:rsidRPr="00D14F16">
        <w:t xml:space="preserve"> translates literally as </w:t>
      </w:r>
      <w:r w:rsidRPr="00D14F16">
        <w:t>“</w:t>
      </w:r>
      <w:r w:rsidR="00805DB9" w:rsidRPr="00D14F16">
        <w:t xml:space="preserve">Chi </w:t>
      </w:r>
      <w:proofErr w:type="spellStart"/>
      <w:r w:rsidR="00805DB9" w:rsidRPr="00D14F16">
        <w:t>Wan’s</w:t>
      </w:r>
      <w:proofErr w:type="spellEnd"/>
      <w:r w:rsidR="00805DB9" w:rsidRPr="00D14F16">
        <w:t xml:space="preserve"> Dinner Party”, “Chi Wan” being Chan’s given name</w:t>
      </w:r>
      <w:r w:rsidR="00805DB9" w:rsidRPr="00525C4D">
        <w:rPr>
          <w:rFonts w:eastAsia="PMingLiU"/>
          <w:spacing w:val="20"/>
          <w:lang w:eastAsia="zh-TW"/>
        </w:rPr>
        <w:t>.</w:t>
      </w:r>
      <w:r w:rsidR="00276291" w:rsidRPr="00525C4D">
        <w:rPr>
          <w:rFonts w:eastAsia="PMingLiU"/>
          <w:spacing w:val="20"/>
          <w:lang w:eastAsia="zh-TW"/>
        </w:rPr>
        <w:t xml:space="preserve">  </w:t>
      </w:r>
      <w:r w:rsidRPr="00D14F16">
        <w:t xml:space="preserve">It gained considerable popularity, more than 150 episodes having been aired, so that Chan himself acquired </w:t>
      </w:r>
      <w:r w:rsidR="00D67998" w:rsidRPr="00D14F16">
        <w:t xml:space="preserve">a certain </w:t>
      </w:r>
      <w:r w:rsidRPr="00D14F16">
        <w:t>celebrity status.  This led to hi</w:t>
      </w:r>
      <w:r w:rsidR="000B0C90" w:rsidRPr="00D14F16">
        <w:t>s</w:t>
      </w:r>
      <w:r w:rsidRPr="00D14F16">
        <w:t xml:space="preserve"> being engaged by third parties to appear at various </w:t>
      </w:r>
      <w:r w:rsidR="006B091C" w:rsidRPr="00D14F16">
        <w:t xml:space="preserve">external </w:t>
      </w:r>
      <w:r w:rsidRPr="00D14F16">
        <w:lastRenderedPageBreak/>
        <w:t xml:space="preserve">events, the evidence being that between June 2008 and January 2010, this occurred 20 odd times, Chan receiving remuneration on 18 of those occasions.   </w:t>
      </w:r>
    </w:p>
    <w:p w:rsidR="00805DB9" w:rsidRDefault="00805DB9" w:rsidP="00525C4D">
      <w:pPr>
        <w:pStyle w:val="Bob1"/>
        <w:tabs>
          <w:tab w:val="clear" w:pos="720"/>
          <w:tab w:val="left" w:pos="1440"/>
        </w:tabs>
        <w:ind w:left="0" w:firstLine="0"/>
        <w:jc w:val="both"/>
      </w:pPr>
      <w:r w:rsidRPr="00D14F16">
        <w:t>The appellant Tseng Pei Kun (“</w:t>
      </w:r>
      <w:r w:rsidRPr="00525C4D">
        <w:rPr>
          <w:u w:val="single"/>
        </w:rPr>
        <w:t>Tseng</w:t>
      </w:r>
      <w:r w:rsidRPr="00D14F16">
        <w:t xml:space="preserve">”) was the sole director </w:t>
      </w:r>
      <w:r w:rsidR="00276291" w:rsidRPr="00D14F16">
        <w:t>and shareholder of Idea Empire Advertising &amp; Production Company Limited (“</w:t>
      </w:r>
      <w:r w:rsidR="00276291" w:rsidRPr="00525C4D">
        <w:rPr>
          <w:u w:val="single"/>
        </w:rPr>
        <w:t>IEAP</w:t>
      </w:r>
      <w:r w:rsidR="00276291" w:rsidRPr="00D14F16">
        <w:t>”)</w:t>
      </w:r>
      <w:r w:rsidR="006B091C" w:rsidRPr="00D14F16">
        <w:t xml:space="preserve">.  He and IEAP acted as Chan’s agent in respect of his outside </w:t>
      </w:r>
      <w:r w:rsidR="0075103E" w:rsidRPr="00D14F16">
        <w:t xml:space="preserve">commercial </w:t>
      </w:r>
      <w:r w:rsidR="006B091C" w:rsidRPr="00D14F16">
        <w:t>engagements.</w:t>
      </w:r>
    </w:p>
    <w:p w:rsidR="00DE42B9" w:rsidRDefault="00BF16EB" w:rsidP="00525C4D">
      <w:pPr>
        <w:pStyle w:val="Bob1"/>
        <w:tabs>
          <w:tab w:val="clear" w:pos="720"/>
          <w:tab w:val="left" w:pos="1440"/>
        </w:tabs>
        <w:ind w:left="0" w:firstLine="0"/>
        <w:jc w:val="both"/>
      </w:pPr>
      <w:r w:rsidRPr="00D14F16">
        <w:t xml:space="preserve">Olympian City </w:t>
      </w:r>
      <w:r w:rsidR="00760ABA">
        <w:t>is</w:t>
      </w:r>
      <w:r w:rsidRPr="00D14F16">
        <w:t xml:space="preserve"> a shopping mall operated by Olympian City 2 Management Co Ltd (“</w:t>
      </w:r>
      <w:r w:rsidRPr="00525C4D">
        <w:rPr>
          <w:u w:val="single"/>
        </w:rPr>
        <w:t>OC</w:t>
      </w:r>
      <w:r w:rsidRPr="00D14F16">
        <w:t xml:space="preserve">”).  For several years, OC had collaborated with TVB, sponsoring a New Year’s Eve Countdown show </w:t>
      </w:r>
      <w:r w:rsidR="00DE42B9" w:rsidRPr="00D14F16">
        <w:t>produced by TVB and broadcast from</w:t>
      </w:r>
      <w:r w:rsidRPr="00D14F16">
        <w:t xml:space="preserve"> Olympian City as a means of promoting the shopping complex.  </w:t>
      </w:r>
      <w:r w:rsidR="00DE42B9" w:rsidRPr="00D14F16">
        <w:t xml:space="preserve">In November 2009, OC and TVB reached agreement for the Countdown show to be presented on 31 </w:t>
      </w:r>
      <w:r w:rsidR="00C6235F">
        <w:t xml:space="preserve">December </w:t>
      </w:r>
      <w:r w:rsidR="00DE42B9" w:rsidRPr="00D14F16">
        <w:t>2009.  OC agreed to pay $1.3 million as the sponsorship fee without having discussed any of the programme’</w:t>
      </w:r>
      <w:r w:rsidR="000B0C90" w:rsidRPr="00D14F16">
        <w:t>s</w:t>
      </w:r>
      <w:r w:rsidR="00DE42B9" w:rsidRPr="00D14F16">
        <w:t xml:space="preserve"> contents.  </w:t>
      </w:r>
    </w:p>
    <w:p w:rsidR="006B091C" w:rsidRDefault="00DE42B9" w:rsidP="00084AC6">
      <w:pPr>
        <w:pStyle w:val="Bob1"/>
        <w:tabs>
          <w:tab w:val="clear" w:pos="720"/>
          <w:tab w:val="left" w:pos="1440"/>
        </w:tabs>
        <w:ind w:left="0" w:firstLine="0"/>
        <w:jc w:val="both"/>
      </w:pPr>
      <w:r w:rsidRPr="00D14F16">
        <w:t xml:space="preserve">Coincidentally, the parties came up with the idea of adding, as a segment ancillary to the main Countdown presentation, a live, staged edition of the “Be My Guest” show.  </w:t>
      </w:r>
      <w:r w:rsidR="00FE642C" w:rsidRPr="00D14F16">
        <w:t xml:space="preserve">It was </w:t>
      </w:r>
      <w:r w:rsidRPr="00D14F16">
        <w:t xml:space="preserve">accepted that the $1.3 million fee would not cover the cost of this additional segment and </w:t>
      </w:r>
      <w:r w:rsidR="00FE642C" w:rsidRPr="00D14F16">
        <w:t xml:space="preserve">there was no suggestion that TVB would be responsible for arranging for Chan’s participation.  The evidence was that OC knew from previous experience that TVB would not provide what were referred to as their “top-tier artistes” for the Countdown event, so OC would independently </w:t>
      </w:r>
      <w:r w:rsidR="00AA1CD1" w:rsidRPr="00D14F16">
        <w:t xml:space="preserve">invite </w:t>
      </w:r>
      <w:r w:rsidR="00FE642C" w:rsidRPr="00D14F16">
        <w:t xml:space="preserve">any </w:t>
      </w:r>
      <w:r w:rsidR="00AA1CD1" w:rsidRPr="00D14F16">
        <w:t>personalities</w:t>
      </w:r>
      <w:r w:rsidR="00FE642C" w:rsidRPr="00D14F16">
        <w:t xml:space="preserve"> they wished to have appearing on the show.</w:t>
      </w:r>
    </w:p>
    <w:p w:rsidR="00AA1CD1" w:rsidRDefault="00FE642C" w:rsidP="00084AC6">
      <w:pPr>
        <w:pStyle w:val="Bob1"/>
        <w:tabs>
          <w:tab w:val="clear" w:pos="720"/>
          <w:tab w:val="left" w:pos="1440"/>
        </w:tabs>
        <w:ind w:left="0" w:firstLine="0"/>
        <w:jc w:val="both"/>
      </w:pPr>
      <w:r w:rsidRPr="00D14F16">
        <w:t>OC accordingly contacted Tseng, knowing that IEAP acted as Chan’s agent</w:t>
      </w:r>
      <w:r w:rsidR="00AA1CD1" w:rsidRPr="00D14F16">
        <w:t xml:space="preserve">, and </w:t>
      </w:r>
      <w:r w:rsidRPr="00D14F16">
        <w:t xml:space="preserve">entered into an agreement with IEAP for Chan to </w:t>
      </w:r>
      <w:r w:rsidR="00AA1CD1" w:rsidRPr="00D14F16">
        <w:t>appear on</w:t>
      </w:r>
      <w:r w:rsidRPr="00D14F16">
        <w:t xml:space="preserve"> </w:t>
      </w:r>
      <w:r w:rsidR="00C6235F">
        <w:t>a live</w:t>
      </w:r>
      <w:r w:rsidRPr="00D14F16">
        <w:t xml:space="preserve"> “Be My Guest” segment</w:t>
      </w:r>
      <w:r w:rsidR="00AA1CD1" w:rsidRPr="00D14F16">
        <w:t xml:space="preserve"> in the Countdown</w:t>
      </w:r>
      <w:r w:rsidR="000B0C90" w:rsidRPr="00D14F16">
        <w:t xml:space="preserve"> show</w:t>
      </w:r>
      <w:r w:rsidRPr="00D14F16">
        <w:t xml:space="preserve">, interviewing as his guest Lai </w:t>
      </w:r>
      <w:proofErr w:type="spellStart"/>
      <w:r w:rsidRPr="00D14F16">
        <w:t>Yiu</w:t>
      </w:r>
      <w:proofErr w:type="spellEnd"/>
      <w:r w:rsidRPr="00D14F16">
        <w:t xml:space="preserve"> Cheung</w:t>
      </w:r>
      <w:r w:rsidR="003960D5" w:rsidRPr="00D14F16">
        <w:t xml:space="preserve"> (“</w:t>
      </w:r>
      <w:r w:rsidR="003960D5" w:rsidRPr="00084AC6">
        <w:rPr>
          <w:u w:val="single"/>
        </w:rPr>
        <w:t>Lai</w:t>
      </w:r>
      <w:r w:rsidR="003960D5" w:rsidRPr="00D14F16">
        <w:t>”)</w:t>
      </w:r>
      <w:r w:rsidRPr="00D14F16">
        <w:t xml:space="preserve">.  </w:t>
      </w:r>
      <w:r w:rsidR="00AA1CD1" w:rsidRPr="00D14F16">
        <w:t xml:space="preserve">It was agreed that they would wear stickers promoting Olympian City, a requirement that did not apply to the artistes supplied by TVB.  </w:t>
      </w:r>
    </w:p>
    <w:p w:rsidR="00FE642C" w:rsidRPr="00D14F16" w:rsidRDefault="00FE642C" w:rsidP="00084AC6">
      <w:pPr>
        <w:pStyle w:val="Bob1"/>
        <w:tabs>
          <w:tab w:val="clear" w:pos="720"/>
          <w:tab w:val="left" w:pos="1440"/>
        </w:tabs>
        <w:ind w:left="0" w:firstLine="0"/>
        <w:jc w:val="both"/>
      </w:pPr>
      <w:r w:rsidRPr="00D14F16">
        <w:lastRenderedPageBreak/>
        <w:t xml:space="preserve">OC agreed to pay </w:t>
      </w:r>
      <w:r w:rsidR="00AA1CD1" w:rsidRPr="00D14F16">
        <w:t>IEAP $160,000 and in turn, IEAP agreed to pay $112,000 to Chan and $20,000 to Lai, keeping $28,000 for itself.  Chan did not seek or obtain permission from TVB to appear on</w:t>
      </w:r>
      <w:r w:rsidR="00C6235F">
        <w:t xml:space="preserve"> or to be paid for hosting</w:t>
      </w:r>
      <w:r w:rsidR="00AA1CD1" w:rsidRPr="00D14F16">
        <w:t xml:space="preserve"> the show although he had a contractual obligation to seek approval</w:t>
      </w:r>
      <w:r w:rsidR="00477C81">
        <w:t xml:space="preserve"> for outside work</w:t>
      </w:r>
      <w:r w:rsidR="00AA1CD1" w:rsidRPr="00D14F16">
        <w:t>.  However, since TVB produced the show</w:t>
      </w:r>
      <w:r w:rsidR="003960D5" w:rsidRPr="00D14F16">
        <w:t xml:space="preserve">, it was generally known by persons at TVB that Chan had been engaged to take part in </w:t>
      </w:r>
      <w:r w:rsidR="00C6235F">
        <w:t xml:space="preserve">the </w:t>
      </w:r>
      <w:r w:rsidR="003960D5" w:rsidRPr="00D14F16">
        <w:t xml:space="preserve">Countdown event.  </w:t>
      </w:r>
      <w:r w:rsidR="00454BC1" w:rsidRPr="00D14F16">
        <w:t>It was, as its Chinese name</w:t>
      </w:r>
      <w:r w:rsidR="00C6235F">
        <w:t xml:space="preserve"> indicates</w:t>
      </w:r>
      <w:r w:rsidR="00454BC1" w:rsidRPr="00D14F16">
        <w:t xml:space="preserve">, Chan’s show </w:t>
      </w:r>
      <w:r w:rsidR="00477C81" w:rsidRPr="00D14F16">
        <w:t xml:space="preserve">obviously </w:t>
      </w:r>
      <w:r w:rsidR="00454BC1" w:rsidRPr="00D14F16">
        <w:t xml:space="preserve">to be aired with his participation.  </w:t>
      </w:r>
      <w:r w:rsidR="003960D5" w:rsidRPr="00D14F16">
        <w:t>The special edition of “Be My Guest” was duly broadcast and IEAP, Chan and Lai duly received the agreed remuneration.</w:t>
      </w:r>
    </w:p>
    <w:p w:rsidR="003960D5" w:rsidRPr="00D14F16" w:rsidRDefault="00FE4C66" w:rsidP="00525C4D">
      <w:pPr>
        <w:pStyle w:val="docmapheading"/>
      </w:pPr>
      <w:r w:rsidRPr="00D14F16">
        <w:t>B.</w:t>
      </w:r>
      <w:r w:rsidRPr="00D14F16">
        <w:tab/>
        <w:t xml:space="preserve">The charges and the course of the proceedings </w:t>
      </w:r>
    </w:p>
    <w:p w:rsidR="00E27F75" w:rsidRDefault="00EB094B" w:rsidP="00084AC6">
      <w:pPr>
        <w:pStyle w:val="Bob1"/>
        <w:tabs>
          <w:tab w:val="clear" w:pos="720"/>
          <w:tab w:val="left" w:pos="1440"/>
        </w:tabs>
        <w:ind w:left="0" w:firstLine="0"/>
        <w:jc w:val="both"/>
      </w:pPr>
      <w:r w:rsidRPr="00D14F16">
        <w:t xml:space="preserve">The appellants were charged with conspiring </w:t>
      </w:r>
      <w:r w:rsidR="0004717E" w:rsidRPr="0004717E">
        <w:t xml:space="preserve">for an agent to accept an advantage </w:t>
      </w:r>
      <w:r w:rsidR="0004717E">
        <w:t xml:space="preserve">contrary to section 9(1)(a) </w:t>
      </w:r>
      <w:r w:rsidRPr="00D14F16">
        <w:t xml:space="preserve">(Charge 1) and, alternatively, with the substantive offences of </w:t>
      </w:r>
      <w:r w:rsidR="0004717E">
        <w:t xml:space="preserve">an agent </w:t>
      </w:r>
      <w:r w:rsidRPr="00D14F16">
        <w:t xml:space="preserve">accepting an advantage (Charge 2, in Chan’s case) and offering an advantage </w:t>
      </w:r>
      <w:r w:rsidR="0004717E">
        <w:t xml:space="preserve">to an agent </w:t>
      </w:r>
      <w:r w:rsidRPr="00D14F16">
        <w:t>(Charge 3, in Tseng’s case).</w:t>
      </w:r>
    </w:p>
    <w:p w:rsidR="00EB094B" w:rsidRDefault="00D516D5" w:rsidP="00084AC6">
      <w:pPr>
        <w:pStyle w:val="Bob1"/>
        <w:tabs>
          <w:tab w:val="clear" w:pos="720"/>
          <w:tab w:val="left" w:pos="1440"/>
        </w:tabs>
        <w:ind w:left="0" w:firstLine="0"/>
        <w:jc w:val="both"/>
      </w:pPr>
      <w:r w:rsidRPr="00D14F16">
        <w:t xml:space="preserve">The </w:t>
      </w:r>
      <w:r w:rsidR="00AA1AE0" w:rsidRPr="00D14F16">
        <w:t xml:space="preserve">charge </w:t>
      </w:r>
      <w:r w:rsidR="00A55260">
        <w:t xml:space="preserve">against Chan </w:t>
      </w:r>
      <w:r w:rsidRPr="00D14F16">
        <w:t>as particularised was that</w:t>
      </w:r>
      <w:r w:rsidR="00A55260">
        <w:t xml:space="preserve"> he</w:t>
      </w:r>
      <w:r w:rsidRPr="00D14F16">
        <w:t xml:space="preserve">, being an employee and thus an agent of TVB, without lawful authority or reasonable excuse, accepted from Tseng acting on behalf of IEAP, an advantage consisting of the $112,000 fee as an inducement or reward for or otherwise on account of Chan’s doing or having done an act in relation to his principal’s affairs or business “namely participating and performing in a side-show entitled ‘Be My Guest’ in the ‘New Year Eve </w:t>
      </w:r>
      <w:r w:rsidRPr="00084AC6">
        <w:rPr>
          <w:bCs/>
          <w:lang w:eastAsia="zh-HK"/>
        </w:rPr>
        <w:t>Countdown</w:t>
      </w:r>
      <w:r w:rsidRPr="00D14F16">
        <w:rPr>
          <w:lang w:eastAsia="zh-HK"/>
        </w:rPr>
        <w:t xml:space="preserve"> Programme at Olympian City for 2010’ wh</w:t>
      </w:r>
      <w:r w:rsidRPr="00084AC6">
        <w:rPr>
          <w:rFonts w:eastAsia="宋体"/>
        </w:rPr>
        <w:t>ich</w:t>
      </w:r>
      <w:r w:rsidRPr="00D14F16">
        <w:rPr>
          <w:lang w:eastAsia="zh-HK"/>
        </w:rPr>
        <w:t xml:space="preserve"> was produced and broadcast by </w:t>
      </w:r>
      <w:r w:rsidRPr="00D14F16">
        <w:t>TV</w:t>
      </w:r>
      <w:r w:rsidR="003055A8">
        <w:t>B</w:t>
      </w:r>
      <w:r w:rsidRPr="00D14F16">
        <w:t xml:space="preserve">” on 31 December 2009.  </w:t>
      </w:r>
    </w:p>
    <w:p w:rsidR="00D516D5" w:rsidRDefault="00D516D5" w:rsidP="00084AC6">
      <w:pPr>
        <w:pStyle w:val="Bob1"/>
        <w:tabs>
          <w:tab w:val="clear" w:pos="720"/>
          <w:tab w:val="left" w:pos="1440"/>
        </w:tabs>
        <w:ind w:left="0" w:firstLine="0"/>
        <w:jc w:val="both"/>
      </w:pPr>
      <w:r w:rsidRPr="00D14F16">
        <w:t xml:space="preserve">Tseng </w:t>
      </w:r>
      <w:r w:rsidR="00AA1AE0" w:rsidRPr="00D14F16">
        <w:t xml:space="preserve">was charged with </w:t>
      </w:r>
      <w:r w:rsidRPr="00D14F16">
        <w:t>offer</w:t>
      </w:r>
      <w:r w:rsidR="00AA1AE0" w:rsidRPr="00D14F16">
        <w:t>ing</w:t>
      </w:r>
      <w:r w:rsidRPr="00D14F16">
        <w:t xml:space="preserve"> that </w:t>
      </w:r>
      <w:r w:rsidR="00454BC1" w:rsidRPr="00D14F16">
        <w:t xml:space="preserve">amount </w:t>
      </w:r>
      <w:r w:rsidRPr="00D14F16">
        <w:t xml:space="preserve">to Chan </w:t>
      </w:r>
      <w:r w:rsidR="000403C7" w:rsidRPr="00D14F16">
        <w:t xml:space="preserve">as an inducement, </w:t>
      </w:r>
      <w:proofErr w:type="spellStart"/>
      <w:r w:rsidR="000403C7" w:rsidRPr="00D14F16">
        <w:t>etc</w:t>
      </w:r>
      <w:proofErr w:type="spellEnd"/>
      <w:r w:rsidR="000403C7" w:rsidRPr="00D14F16">
        <w:t xml:space="preserve">, </w:t>
      </w:r>
      <w:r w:rsidRPr="00D14F16">
        <w:t xml:space="preserve">for </w:t>
      </w:r>
      <w:r w:rsidR="00576386" w:rsidRPr="00D14F16">
        <w:t>Chan</w:t>
      </w:r>
      <w:r w:rsidR="00A43EA6" w:rsidRPr="00D14F16">
        <w:t xml:space="preserve"> so</w:t>
      </w:r>
      <w:r w:rsidR="00576386" w:rsidRPr="00D14F16">
        <w:t xml:space="preserve"> to </w:t>
      </w:r>
      <w:r w:rsidRPr="00D14F16">
        <w:t xml:space="preserve">act in relation to the affairs or business of his principal TVB.  The alternative charge </w:t>
      </w:r>
      <w:r w:rsidR="00C6235F">
        <w:t xml:space="preserve">that they both faced </w:t>
      </w:r>
      <w:r w:rsidRPr="00D14F16">
        <w:t>was that they had conspired</w:t>
      </w:r>
      <w:r w:rsidR="000403C7" w:rsidRPr="00D14F16">
        <w:t xml:space="preserve"> for Chan to accept that advantage as such an inducement, </w:t>
      </w:r>
      <w:proofErr w:type="spellStart"/>
      <w:r w:rsidR="000403C7" w:rsidRPr="00D14F16">
        <w:t>et</w:t>
      </w:r>
      <w:r w:rsidR="0062322B">
        <w:t>c</w:t>
      </w:r>
      <w:proofErr w:type="spellEnd"/>
      <w:r w:rsidR="0062322B">
        <w:t>, in relation to his principal’</w:t>
      </w:r>
      <w:r w:rsidR="000403C7" w:rsidRPr="00D14F16">
        <w:t>s affairs or business.</w:t>
      </w:r>
    </w:p>
    <w:p w:rsidR="00271AA9" w:rsidRDefault="00271AA9" w:rsidP="00084AC6">
      <w:pPr>
        <w:pStyle w:val="Bob1"/>
        <w:tabs>
          <w:tab w:val="clear" w:pos="720"/>
          <w:tab w:val="left" w:pos="1440"/>
        </w:tabs>
        <w:ind w:left="0" w:firstLine="0"/>
        <w:jc w:val="both"/>
      </w:pPr>
      <w:r w:rsidRPr="00D14F16">
        <w:lastRenderedPageBreak/>
        <w:t xml:space="preserve">On 2 September 2011, </w:t>
      </w:r>
      <w:r w:rsidR="00AA1AE0" w:rsidRPr="00D14F16">
        <w:t xml:space="preserve">His Honour Judge </w:t>
      </w:r>
      <w:r w:rsidRPr="00D14F16">
        <w:t xml:space="preserve">S T Poon, </w:t>
      </w:r>
      <w:proofErr w:type="spellStart"/>
      <w:r w:rsidRPr="00D14F16">
        <w:t>AgCDJ</w:t>
      </w:r>
      <w:proofErr w:type="spellEnd"/>
      <w:r w:rsidRPr="00D14F16">
        <w:t xml:space="preserve"> </w:t>
      </w:r>
      <w:r w:rsidR="00903363" w:rsidRPr="00D14F16">
        <w:t xml:space="preserve">(as he then was) </w:t>
      </w:r>
      <w:r w:rsidRPr="00D14F16">
        <w:t>acquitted the appellants.</w:t>
      </w:r>
      <w:r w:rsidRPr="00D14F16">
        <w:rPr>
          <w:rStyle w:val="FootnoteReference"/>
        </w:rPr>
        <w:footnoteReference w:id="2"/>
      </w:r>
      <w:r w:rsidRPr="00D14F16">
        <w:t xml:space="preserve">  The prosecution appealed by way of case stated</w:t>
      </w:r>
      <w:r w:rsidR="00903363" w:rsidRPr="00D14F16">
        <w:rPr>
          <w:rStyle w:val="FootnoteReference"/>
        </w:rPr>
        <w:footnoteReference w:id="3"/>
      </w:r>
      <w:r w:rsidRPr="00D14F16">
        <w:t xml:space="preserve"> and </w:t>
      </w:r>
      <w:r w:rsidR="00903363" w:rsidRPr="00D14F16">
        <w:t>the Court of Appeal</w:t>
      </w:r>
      <w:r w:rsidR="00903363" w:rsidRPr="00D14F16">
        <w:rPr>
          <w:rStyle w:val="FootnoteReference"/>
        </w:rPr>
        <w:footnoteReference w:id="4"/>
      </w:r>
      <w:r w:rsidR="00903363" w:rsidRPr="00D14F16">
        <w:t xml:space="preserve"> allowed the appeal, set aside the not guilty verdicts and remitted the case to the trial judge to consider </w:t>
      </w:r>
      <w:r w:rsidR="00393703" w:rsidRPr="00D14F16">
        <w:t>whether</w:t>
      </w:r>
      <w:r w:rsidR="00903363" w:rsidRPr="00D14F16">
        <w:t xml:space="preserve"> </w:t>
      </w:r>
      <w:r w:rsidR="003055A8">
        <w:t xml:space="preserve">the </w:t>
      </w:r>
      <w:r w:rsidR="00393703" w:rsidRPr="00D14F16">
        <w:t xml:space="preserve">appellants could rely on the defence of </w:t>
      </w:r>
      <w:r w:rsidR="00903363" w:rsidRPr="00D14F16">
        <w:t xml:space="preserve">reasonable excuse for </w:t>
      </w:r>
      <w:r w:rsidR="00393703" w:rsidRPr="00D14F16">
        <w:t>Chan’s</w:t>
      </w:r>
      <w:r w:rsidR="00C6235F">
        <w:t xml:space="preserve"> conduct</w:t>
      </w:r>
      <w:r w:rsidR="00903363" w:rsidRPr="00D14F16">
        <w:t>.</w:t>
      </w:r>
    </w:p>
    <w:p w:rsidR="00903363" w:rsidRDefault="00903363" w:rsidP="00084AC6">
      <w:pPr>
        <w:pStyle w:val="Bob1"/>
        <w:tabs>
          <w:tab w:val="clear" w:pos="720"/>
          <w:tab w:val="left" w:pos="1440"/>
        </w:tabs>
        <w:ind w:left="0" w:firstLine="0"/>
        <w:jc w:val="both"/>
      </w:pPr>
      <w:r w:rsidRPr="00D14F16">
        <w:t>On 7 March 2013,</w:t>
      </w:r>
      <w:r w:rsidRPr="00D14F16">
        <w:rPr>
          <w:rStyle w:val="FootnoteReference"/>
        </w:rPr>
        <w:footnoteReference w:id="5"/>
      </w:r>
      <w:r w:rsidRPr="00D14F16">
        <w:t xml:space="preserve"> S T Poon CDJ ruled that the reasonable excuse defence </w:t>
      </w:r>
      <w:r w:rsidR="00063CD6" w:rsidRPr="00D14F16">
        <w:t xml:space="preserve">availed both appellants </w:t>
      </w:r>
      <w:r w:rsidRPr="00D14F16">
        <w:t xml:space="preserve">and </w:t>
      </w:r>
      <w:r w:rsidR="00C247DE" w:rsidRPr="00D14F16">
        <w:t>dismissed the charges afresh.  However, t</w:t>
      </w:r>
      <w:r w:rsidRPr="00D14F16">
        <w:t>he prosecution once again appealed by way of case stated</w:t>
      </w:r>
      <w:r w:rsidR="00D356A2" w:rsidRPr="00D14F16">
        <w:rPr>
          <w:rStyle w:val="FootnoteReference"/>
        </w:rPr>
        <w:footnoteReference w:id="6"/>
      </w:r>
      <w:r w:rsidRPr="00D14F16">
        <w:t xml:space="preserve"> and, once again, the Court of Appeal</w:t>
      </w:r>
      <w:r w:rsidR="00D356A2" w:rsidRPr="00D14F16">
        <w:rPr>
          <w:rStyle w:val="FootnoteReference"/>
        </w:rPr>
        <w:footnoteReference w:id="7"/>
      </w:r>
      <w:r w:rsidRPr="00D14F16">
        <w:t xml:space="preserve"> </w:t>
      </w:r>
      <w:r w:rsidR="00D356A2" w:rsidRPr="00D14F16">
        <w:t xml:space="preserve">allowed the appeal and </w:t>
      </w:r>
      <w:r w:rsidR="00C247DE" w:rsidRPr="00D14F16">
        <w:t>directed</w:t>
      </w:r>
      <w:r w:rsidR="00D356A2" w:rsidRPr="00D14F16">
        <w:t xml:space="preserve"> the Judge to </w:t>
      </w:r>
      <w:r w:rsidR="00227EB3" w:rsidRPr="00D14F16">
        <w:t xml:space="preserve">convict </w:t>
      </w:r>
      <w:r w:rsidR="00D356A2" w:rsidRPr="00D14F16">
        <w:t xml:space="preserve">Chan and Tseng </w:t>
      </w:r>
      <w:r w:rsidR="00227EB3" w:rsidRPr="00D14F16">
        <w:t xml:space="preserve">on the </w:t>
      </w:r>
      <w:r w:rsidR="00D356A2" w:rsidRPr="00D14F16">
        <w:t xml:space="preserve">conspiracy </w:t>
      </w:r>
      <w:r w:rsidR="00227EB3" w:rsidRPr="00D14F16">
        <w:t>charge</w:t>
      </w:r>
      <w:r w:rsidR="00D356A2" w:rsidRPr="00D14F16">
        <w:t xml:space="preserve"> and to sentence them accordingly. </w:t>
      </w:r>
      <w:r w:rsidR="00227EB3" w:rsidRPr="00D14F16">
        <w:t xml:space="preserve"> Chan was fined $84,000 and Tseng fined </w:t>
      </w:r>
      <w:r w:rsidR="00852E4C" w:rsidRPr="00D14F16">
        <w:t>$28,000.</w:t>
      </w:r>
    </w:p>
    <w:p w:rsidR="00783602" w:rsidRPr="00D14F16" w:rsidRDefault="00783602" w:rsidP="00084AC6">
      <w:pPr>
        <w:pStyle w:val="Bob1"/>
        <w:tabs>
          <w:tab w:val="clear" w:pos="720"/>
          <w:tab w:val="left" w:pos="1440"/>
        </w:tabs>
        <w:ind w:left="0" w:firstLine="0"/>
        <w:jc w:val="both"/>
      </w:pPr>
      <w:r w:rsidRPr="00D14F16">
        <w:t>The Court of Appeal</w:t>
      </w:r>
      <w:r w:rsidRPr="00D14F16">
        <w:rPr>
          <w:rStyle w:val="FootnoteReference"/>
        </w:rPr>
        <w:footnoteReference w:id="8"/>
      </w:r>
      <w:r w:rsidRPr="00D14F16">
        <w:t xml:space="preserve"> refused a certificate </w:t>
      </w:r>
      <w:r w:rsidR="00C247DE" w:rsidRPr="00D14F16">
        <w:t xml:space="preserve">sought by the appellants </w:t>
      </w:r>
      <w:r w:rsidRPr="00D14F16">
        <w:t xml:space="preserve">for the purposes of appeal, but </w:t>
      </w:r>
      <w:r w:rsidR="00387271" w:rsidRPr="00D14F16">
        <w:t xml:space="preserve">the Appeal Committee granted </w:t>
      </w:r>
      <w:r w:rsidR="00477C81">
        <w:t xml:space="preserve">each appellant </w:t>
      </w:r>
      <w:r w:rsidR="00387271" w:rsidRPr="00D14F16">
        <w:t>leave to appeal,</w:t>
      </w:r>
      <w:r w:rsidR="00387271" w:rsidRPr="00D14F16">
        <w:rPr>
          <w:rStyle w:val="FootnoteReference"/>
        </w:rPr>
        <w:footnoteReference w:id="9"/>
      </w:r>
      <w:r w:rsidR="00387271" w:rsidRPr="00D14F16">
        <w:t xml:space="preserve"> certifying the following questions as being of sufficiently great and general importance, namely:</w:t>
      </w:r>
    </w:p>
    <w:p w:rsidR="0071642B" w:rsidRPr="00D14F16" w:rsidRDefault="0071642B" w:rsidP="00084AC6">
      <w:pPr>
        <w:pStyle w:val="Bob1"/>
        <w:numPr>
          <w:ilvl w:val="0"/>
          <w:numId w:val="14"/>
        </w:numPr>
        <w:spacing w:line="240" w:lineRule="auto"/>
        <w:ind w:left="1440" w:hanging="720"/>
        <w:jc w:val="both"/>
        <w:rPr>
          <w:sz w:val="24"/>
        </w:rPr>
      </w:pPr>
      <w:r w:rsidRPr="00D14F16">
        <w:rPr>
          <w:sz w:val="24"/>
        </w:rPr>
        <w:t>In the context of a section 9 offence under the Prevention of Bribery Ordinance (Cap 201) (“POBO”): (</w:t>
      </w:r>
      <w:proofErr w:type="spellStart"/>
      <w:r w:rsidRPr="00D14F16">
        <w:rPr>
          <w:sz w:val="24"/>
        </w:rPr>
        <w:t>i</w:t>
      </w:r>
      <w:proofErr w:type="spellEnd"/>
      <w:r w:rsidRPr="00D14F16">
        <w:rPr>
          <w:sz w:val="24"/>
        </w:rPr>
        <w:t xml:space="preserve">) what is the </w:t>
      </w:r>
      <w:proofErr w:type="spellStart"/>
      <w:r w:rsidRPr="00D14F16">
        <w:rPr>
          <w:i/>
          <w:sz w:val="24"/>
        </w:rPr>
        <w:t>mens</w:t>
      </w:r>
      <w:proofErr w:type="spellEnd"/>
      <w:r w:rsidRPr="00D14F16">
        <w:rPr>
          <w:i/>
          <w:sz w:val="24"/>
        </w:rPr>
        <w:t xml:space="preserve"> rea</w:t>
      </w:r>
      <w:r w:rsidRPr="00D14F16">
        <w:rPr>
          <w:sz w:val="24"/>
        </w:rPr>
        <w:t xml:space="preserve"> required of an agent to constitute him guilty of an offence under that section; and (ii) how should the element “in relation to the principal’s affairs or business” be interpreted having regard to the </w:t>
      </w:r>
      <w:r w:rsidRPr="00D14F16">
        <w:rPr>
          <w:sz w:val="24"/>
        </w:rPr>
        <w:lastRenderedPageBreak/>
        <w:t xml:space="preserve">determination of the Privy Council in </w:t>
      </w:r>
      <w:r w:rsidRPr="00D14F16">
        <w:rPr>
          <w:i/>
          <w:sz w:val="24"/>
        </w:rPr>
        <w:t xml:space="preserve">Commissioner of the ICAC v </w:t>
      </w:r>
      <w:proofErr w:type="spellStart"/>
      <w:r w:rsidRPr="00D14F16">
        <w:rPr>
          <w:i/>
          <w:sz w:val="24"/>
        </w:rPr>
        <w:t>Ch’ng</w:t>
      </w:r>
      <w:proofErr w:type="spellEnd"/>
      <w:r w:rsidRPr="00D14F16">
        <w:rPr>
          <w:i/>
          <w:sz w:val="24"/>
        </w:rPr>
        <w:t xml:space="preserve"> </w:t>
      </w:r>
      <w:proofErr w:type="spellStart"/>
      <w:r w:rsidRPr="00D14F16">
        <w:rPr>
          <w:i/>
          <w:sz w:val="24"/>
        </w:rPr>
        <w:t>Poh</w:t>
      </w:r>
      <w:proofErr w:type="spellEnd"/>
      <w:r w:rsidRPr="00D14F16">
        <w:rPr>
          <w:sz w:val="24"/>
        </w:rPr>
        <w:t xml:space="preserve"> [1997] HKLRD 652?</w:t>
      </w:r>
      <w:r w:rsidR="00FE64AE">
        <w:rPr>
          <w:sz w:val="24"/>
        </w:rPr>
        <w:t xml:space="preserve"> (“</w:t>
      </w:r>
      <w:r w:rsidR="00FE64AE">
        <w:rPr>
          <w:sz w:val="24"/>
          <w:u w:val="single"/>
        </w:rPr>
        <w:t>Questions 1(</w:t>
      </w:r>
      <w:proofErr w:type="spellStart"/>
      <w:r w:rsidR="00FE64AE">
        <w:rPr>
          <w:sz w:val="24"/>
          <w:u w:val="single"/>
        </w:rPr>
        <w:t>i</w:t>
      </w:r>
      <w:proofErr w:type="spellEnd"/>
      <w:r w:rsidR="00FE64AE">
        <w:rPr>
          <w:sz w:val="24"/>
          <w:u w:val="single"/>
        </w:rPr>
        <w:t>) and 1(ii)</w:t>
      </w:r>
      <w:r w:rsidR="00477C81">
        <w:rPr>
          <w:sz w:val="24"/>
        </w:rPr>
        <w:t>”</w:t>
      </w:r>
      <w:r w:rsidR="00FE64AE">
        <w:rPr>
          <w:sz w:val="24"/>
        </w:rPr>
        <w:t>)</w:t>
      </w:r>
    </w:p>
    <w:p w:rsidR="0071642B" w:rsidRPr="00FE64AE" w:rsidRDefault="0071642B" w:rsidP="00084AC6">
      <w:pPr>
        <w:pStyle w:val="Bob1"/>
        <w:numPr>
          <w:ilvl w:val="0"/>
          <w:numId w:val="0"/>
        </w:numPr>
        <w:spacing w:line="240" w:lineRule="auto"/>
        <w:ind w:left="1440" w:hanging="720"/>
        <w:jc w:val="both"/>
        <w:rPr>
          <w:sz w:val="24"/>
        </w:rPr>
      </w:pPr>
      <w:r w:rsidRPr="00D14F16">
        <w:rPr>
          <w:sz w:val="24"/>
        </w:rPr>
        <w:t>(2)</w:t>
      </w:r>
      <w:r w:rsidRPr="00D14F16">
        <w:rPr>
          <w:sz w:val="24"/>
        </w:rPr>
        <w:tab/>
        <w:t>In the context of a section 9 offence under POBO, what is the proper approach the Court should adopt in considering the defence of reasonable excuse?</w:t>
      </w:r>
      <w:r w:rsidR="00FE64AE">
        <w:rPr>
          <w:sz w:val="24"/>
        </w:rPr>
        <w:t xml:space="preserve"> (“</w:t>
      </w:r>
      <w:r w:rsidR="00FE64AE">
        <w:rPr>
          <w:sz w:val="24"/>
          <w:u w:val="single"/>
        </w:rPr>
        <w:t>Question</w:t>
      </w:r>
      <w:r w:rsidR="00FE64AE" w:rsidRPr="00FE64AE">
        <w:rPr>
          <w:sz w:val="24"/>
          <w:u w:val="single"/>
        </w:rPr>
        <w:t xml:space="preserve"> 2</w:t>
      </w:r>
      <w:r w:rsidR="00477C81">
        <w:rPr>
          <w:sz w:val="24"/>
        </w:rPr>
        <w:t>”)</w:t>
      </w:r>
    </w:p>
    <w:p w:rsidR="0071642B" w:rsidRDefault="0071642B" w:rsidP="00084AC6">
      <w:pPr>
        <w:pStyle w:val="Bob1"/>
        <w:tabs>
          <w:tab w:val="clear" w:pos="720"/>
          <w:tab w:val="left" w:pos="1440"/>
        </w:tabs>
        <w:ind w:left="0" w:firstLine="0"/>
        <w:jc w:val="both"/>
      </w:pPr>
      <w:r w:rsidRPr="00D14F16">
        <w:t>Leave was also granted on the ground that it was reasonably arguable that a substantial and grave injustice</w:t>
      </w:r>
      <w:r w:rsidR="00C6235F">
        <w:t xml:space="preserve"> had been</w:t>
      </w:r>
      <w:r w:rsidRPr="00D14F16">
        <w:t xml:space="preserve"> done to the appellants in the present case.</w:t>
      </w:r>
    </w:p>
    <w:p w:rsidR="006B043B" w:rsidRDefault="006B043B" w:rsidP="00525C4D">
      <w:pPr>
        <w:pStyle w:val="docmapheading"/>
      </w:pPr>
      <w:r>
        <w:t>C.</w:t>
      </w:r>
      <w:r>
        <w:tab/>
      </w:r>
      <w:r w:rsidR="00CF2D5A">
        <w:t>Question 1</w:t>
      </w:r>
      <w:r w:rsidR="00050BDF">
        <w:t>(</w:t>
      </w:r>
      <w:proofErr w:type="spellStart"/>
      <w:r w:rsidR="00050BDF">
        <w:t>i</w:t>
      </w:r>
      <w:proofErr w:type="spellEnd"/>
      <w:r w:rsidR="00050BDF">
        <w:t>)</w:t>
      </w:r>
      <w:r w:rsidR="00CF2D5A">
        <w:t xml:space="preserve">: Elements of </w:t>
      </w:r>
      <w:r w:rsidR="00595F2B">
        <w:t>s</w:t>
      </w:r>
      <w:r w:rsidR="00CF2D5A">
        <w:t xml:space="preserve">ection 9 and </w:t>
      </w:r>
      <w:proofErr w:type="spellStart"/>
      <w:r w:rsidR="00CF2D5A">
        <w:t>mens</w:t>
      </w:r>
      <w:proofErr w:type="spellEnd"/>
      <w:r w:rsidR="00CF2D5A">
        <w:t xml:space="preserve"> rea </w:t>
      </w:r>
    </w:p>
    <w:p w:rsidR="006B043B" w:rsidRPr="00D14F16" w:rsidRDefault="00404224" w:rsidP="00084AC6">
      <w:pPr>
        <w:pStyle w:val="Bob1"/>
        <w:tabs>
          <w:tab w:val="clear" w:pos="720"/>
          <w:tab w:val="left" w:pos="1440"/>
        </w:tabs>
        <w:ind w:left="0" w:firstLine="0"/>
        <w:jc w:val="both"/>
      </w:pPr>
      <w:r>
        <w:t>POBO section 9 is concerned with transactions between third persons and agents in relation to the affairs or business of their principals.  Its</w:t>
      </w:r>
      <w:r w:rsidR="006B043B" w:rsidRPr="00D14F16">
        <w:t xml:space="preserve"> </w:t>
      </w:r>
      <w:r w:rsidR="006B043B">
        <w:t xml:space="preserve">offence-creating provisions </w:t>
      </w:r>
      <w:r>
        <w:t xml:space="preserve">materially </w:t>
      </w:r>
      <w:r w:rsidR="006B043B" w:rsidRPr="00D14F16">
        <w:t>state as follows:</w:t>
      </w:r>
    </w:p>
    <w:p w:rsidR="006B043B" w:rsidRPr="00D14F16" w:rsidRDefault="006B043B" w:rsidP="006B043B">
      <w:pPr>
        <w:pStyle w:val="Bob1"/>
        <w:numPr>
          <w:ilvl w:val="0"/>
          <w:numId w:val="0"/>
        </w:numPr>
        <w:spacing w:line="240" w:lineRule="auto"/>
        <w:ind w:left="720"/>
        <w:rPr>
          <w:sz w:val="24"/>
        </w:rPr>
      </w:pPr>
      <w:r w:rsidRPr="00D14F16">
        <w:rPr>
          <w:sz w:val="24"/>
        </w:rPr>
        <w:t xml:space="preserve">Corrupt transactions with agents </w:t>
      </w:r>
    </w:p>
    <w:p w:rsidR="006B043B" w:rsidRPr="00D14F16" w:rsidRDefault="006B043B" w:rsidP="00084AC6">
      <w:pPr>
        <w:pStyle w:val="Bob1"/>
        <w:numPr>
          <w:ilvl w:val="0"/>
          <w:numId w:val="0"/>
        </w:numPr>
        <w:spacing w:line="240" w:lineRule="auto"/>
        <w:ind w:left="1440" w:hanging="720"/>
        <w:jc w:val="both"/>
        <w:rPr>
          <w:sz w:val="24"/>
        </w:rPr>
      </w:pPr>
      <w:r w:rsidRPr="00D14F16">
        <w:rPr>
          <w:sz w:val="24"/>
        </w:rPr>
        <w:t xml:space="preserve">(1) </w:t>
      </w:r>
      <w:r w:rsidRPr="00D14F16">
        <w:rPr>
          <w:sz w:val="24"/>
        </w:rPr>
        <w:tab/>
        <w:t>Any agent who, without lawful authority or reasonable excuse, solicits or accepts any advantage as an inducement to or reward for or otherwise on account of his –</w:t>
      </w:r>
    </w:p>
    <w:p w:rsidR="006B043B" w:rsidRPr="005D211B" w:rsidRDefault="006B043B" w:rsidP="00084AC6">
      <w:pPr>
        <w:pStyle w:val="Bob1"/>
        <w:numPr>
          <w:ilvl w:val="0"/>
          <w:numId w:val="0"/>
        </w:numPr>
        <w:spacing w:line="240" w:lineRule="auto"/>
        <w:ind w:left="2160" w:hanging="720"/>
        <w:jc w:val="both"/>
        <w:rPr>
          <w:sz w:val="24"/>
        </w:rPr>
      </w:pPr>
      <w:r w:rsidRPr="00D14F16">
        <w:rPr>
          <w:sz w:val="24"/>
        </w:rPr>
        <w:t xml:space="preserve">(a) </w:t>
      </w:r>
      <w:r w:rsidRPr="00D14F16">
        <w:rPr>
          <w:sz w:val="24"/>
        </w:rPr>
        <w:tab/>
        <w:t xml:space="preserve">doing or forbearing to do, or having done or forborne to do, any act in </w:t>
      </w:r>
      <w:r w:rsidRPr="005D211B">
        <w:rPr>
          <w:sz w:val="24"/>
        </w:rPr>
        <w:t>relation to his prin</w:t>
      </w:r>
      <w:r w:rsidR="00C6235F" w:rsidRPr="005D211B">
        <w:rPr>
          <w:sz w:val="24"/>
        </w:rPr>
        <w:t>cipal's affairs or</w:t>
      </w:r>
      <w:r w:rsidR="005D211B" w:rsidRPr="005D211B">
        <w:rPr>
          <w:sz w:val="24"/>
        </w:rPr>
        <w:t xml:space="preserve"> business; </w:t>
      </w:r>
      <w:r w:rsidR="005D211B">
        <w:rPr>
          <w:sz w:val="24"/>
        </w:rPr>
        <w:t>or</w:t>
      </w:r>
    </w:p>
    <w:p w:rsidR="005D211B" w:rsidRPr="005D211B" w:rsidRDefault="005D211B" w:rsidP="00084AC6">
      <w:pPr>
        <w:pStyle w:val="Bob1"/>
        <w:numPr>
          <w:ilvl w:val="0"/>
          <w:numId w:val="0"/>
        </w:numPr>
        <w:spacing w:line="240" w:lineRule="auto"/>
        <w:ind w:left="2160" w:hanging="720"/>
        <w:jc w:val="both"/>
        <w:rPr>
          <w:rFonts w:eastAsia="PMingLiU"/>
          <w:sz w:val="24"/>
          <w:lang w:eastAsia="zh-TW"/>
        </w:rPr>
      </w:pPr>
      <w:r w:rsidRPr="005D211B">
        <w:rPr>
          <w:rFonts w:eastAsia="PMingLiU"/>
          <w:sz w:val="24"/>
          <w:lang w:eastAsia="zh-TW"/>
        </w:rPr>
        <w:t>(b)</w:t>
      </w:r>
      <w:r>
        <w:rPr>
          <w:rFonts w:eastAsia="PMingLiU"/>
          <w:sz w:val="24"/>
          <w:lang w:eastAsia="zh-TW"/>
        </w:rPr>
        <w:tab/>
      </w:r>
      <w:r w:rsidRPr="005D211B">
        <w:rPr>
          <w:rFonts w:eastAsia="PMingLiU"/>
          <w:sz w:val="24"/>
          <w:lang w:eastAsia="zh-TW"/>
        </w:rPr>
        <w:t>showing or forbearing to show, or having shown or forborne to show, favour or disfavour to any person in relation to his principal’</w:t>
      </w:r>
      <w:r>
        <w:rPr>
          <w:rFonts w:eastAsia="PMingLiU"/>
          <w:sz w:val="24"/>
          <w:lang w:eastAsia="zh-TW"/>
        </w:rPr>
        <w:t>s affairs or business,</w:t>
      </w:r>
    </w:p>
    <w:p w:rsidR="006B043B" w:rsidRPr="00D14F16" w:rsidRDefault="006B043B" w:rsidP="00084AC6">
      <w:pPr>
        <w:pStyle w:val="Bob1"/>
        <w:numPr>
          <w:ilvl w:val="0"/>
          <w:numId w:val="0"/>
        </w:numPr>
        <w:spacing w:line="240" w:lineRule="auto"/>
        <w:ind w:left="1440"/>
        <w:rPr>
          <w:sz w:val="24"/>
        </w:rPr>
      </w:pPr>
      <w:r w:rsidRPr="00D14F16">
        <w:rPr>
          <w:sz w:val="24"/>
        </w:rPr>
        <w:t xml:space="preserve">shall be guilty of an offence. </w:t>
      </w:r>
    </w:p>
    <w:p w:rsidR="006B043B" w:rsidRPr="00D14F16" w:rsidRDefault="006B043B" w:rsidP="00084AC6">
      <w:pPr>
        <w:pStyle w:val="Bob1"/>
        <w:numPr>
          <w:ilvl w:val="0"/>
          <w:numId w:val="0"/>
        </w:numPr>
        <w:spacing w:line="240" w:lineRule="auto"/>
        <w:ind w:left="1440" w:hanging="720"/>
        <w:jc w:val="both"/>
        <w:rPr>
          <w:sz w:val="24"/>
        </w:rPr>
      </w:pPr>
      <w:r w:rsidRPr="00D14F16">
        <w:rPr>
          <w:sz w:val="24"/>
        </w:rPr>
        <w:t xml:space="preserve">(2) </w:t>
      </w:r>
      <w:r w:rsidRPr="00D14F16">
        <w:rPr>
          <w:sz w:val="24"/>
        </w:rPr>
        <w:tab/>
        <w:t>Any person who, without lawful authority or reasonable excuse, offers any advantage to any agent as an inducement to or reward for or otherwise on account of the agent's –</w:t>
      </w:r>
    </w:p>
    <w:p w:rsidR="006B043B" w:rsidRDefault="006B043B" w:rsidP="00084AC6">
      <w:pPr>
        <w:pStyle w:val="Bob1"/>
        <w:numPr>
          <w:ilvl w:val="0"/>
          <w:numId w:val="0"/>
        </w:numPr>
        <w:spacing w:line="240" w:lineRule="auto"/>
        <w:ind w:left="2160" w:hanging="720"/>
        <w:jc w:val="both"/>
        <w:rPr>
          <w:sz w:val="24"/>
        </w:rPr>
      </w:pPr>
      <w:r w:rsidRPr="00D14F16">
        <w:rPr>
          <w:sz w:val="24"/>
        </w:rPr>
        <w:t xml:space="preserve">(a) </w:t>
      </w:r>
      <w:r w:rsidRPr="00D14F16">
        <w:rPr>
          <w:sz w:val="24"/>
        </w:rPr>
        <w:tab/>
        <w:t>doing or forbearing to do, or having done or forborne to do, any act in relation to his pri</w:t>
      </w:r>
      <w:r w:rsidR="00C6235F">
        <w:rPr>
          <w:sz w:val="24"/>
        </w:rPr>
        <w:t>n</w:t>
      </w:r>
      <w:r w:rsidR="005D211B">
        <w:rPr>
          <w:sz w:val="24"/>
        </w:rPr>
        <w:t>cipal's affairs or business; or</w:t>
      </w:r>
    </w:p>
    <w:p w:rsidR="005D211B" w:rsidRPr="00D14F16" w:rsidRDefault="005D211B" w:rsidP="00084AC6">
      <w:pPr>
        <w:pStyle w:val="Bob1"/>
        <w:numPr>
          <w:ilvl w:val="0"/>
          <w:numId w:val="0"/>
        </w:numPr>
        <w:spacing w:line="240" w:lineRule="auto"/>
        <w:ind w:left="2160" w:hanging="720"/>
        <w:jc w:val="both"/>
        <w:rPr>
          <w:sz w:val="24"/>
        </w:rPr>
      </w:pPr>
      <w:r>
        <w:rPr>
          <w:sz w:val="24"/>
        </w:rPr>
        <w:t>(b)</w:t>
      </w:r>
      <w:r>
        <w:rPr>
          <w:sz w:val="24"/>
        </w:rPr>
        <w:tab/>
        <w:t>showing or forbearing to show, or having shown or forborne to show, favour or disfavour to any person in relation to his principal’s affairs or business,</w:t>
      </w:r>
    </w:p>
    <w:p w:rsidR="006B043B" w:rsidRPr="00D14F16" w:rsidRDefault="006B043B" w:rsidP="006B043B">
      <w:pPr>
        <w:pStyle w:val="Bob1"/>
        <w:numPr>
          <w:ilvl w:val="0"/>
          <w:numId w:val="0"/>
        </w:numPr>
        <w:spacing w:line="240" w:lineRule="auto"/>
        <w:ind w:left="1440"/>
        <w:rPr>
          <w:sz w:val="24"/>
        </w:rPr>
      </w:pPr>
      <w:r w:rsidRPr="00D14F16">
        <w:rPr>
          <w:sz w:val="24"/>
        </w:rPr>
        <w:t>shall be guilty of an offence.</w:t>
      </w:r>
    </w:p>
    <w:p w:rsidR="006B043B" w:rsidRDefault="006B043B" w:rsidP="00084AC6">
      <w:pPr>
        <w:pStyle w:val="Bob1"/>
        <w:tabs>
          <w:tab w:val="clear" w:pos="720"/>
          <w:tab w:val="left" w:pos="1440"/>
        </w:tabs>
        <w:ind w:left="0" w:firstLine="0"/>
        <w:jc w:val="both"/>
      </w:pPr>
      <w:r>
        <w:lastRenderedPageBreak/>
        <w:t>Section 9(4) excludes from liability an agent who obtains the informed permission of his principal before or as soon as reasonably possible after the conduct which would otherwise constitute a section 9 offence.  As permission was neither sought nor given in the present case, section 9(4) is of no application.</w:t>
      </w:r>
    </w:p>
    <w:p w:rsidR="008770ED" w:rsidRDefault="00BB6A16" w:rsidP="00084AC6">
      <w:pPr>
        <w:pStyle w:val="Bob1"/>
        <w:tabs>
          <w:tab w:val="clear" w:pos="720"/>
          <w:tab w:val="left" w:pos="1440"/>
        </w:tabs>
        <w:ind w:left="0" w:firstLine="0"/>
        <w:jc w:val="both"/>
      </w:pPr>
      <w:r>
        <w:t>Addressing Question 1(</w:t>
      </w:r>
      <w:proofErr w:type="spellStart"/>
      <w:r>
        <w:t>i</w:t>
      </w:r>
      <w:proofErr w:type="spellEnd"/>
      <w:r>
        <w:t>), t</w:t>
      </w:r>
      <w:r w:rsidR="008770ED">
        <w:t xml:space="preserve">here is no doubt that section 9 is an offence which requires proof of </w:t>
      </w:r>
      <w:proofErr w:type="spellStart"/>
      <w:r w:rsidR="008770ED" w:rsidRPr="00084AC6">
        <w:rPr>
          <w:i/>
        </w:rPr>
        <w:t>mens</w:t>
      </w:r>
      <w:proofErr w:type="spellEnd"/>
      <w:r w:rsidR="008770ED" w:rsidRPr="00084AC6">
        <w:rPr>
          <w:i/>
        </w:rPr>
        <w:t xml:space="preserve"> rea</w:t>
      </w:r>
      <w:r w:rsidR="008770ED">
        <w:t xml:space="preserve"> in respect of all its essential </w:t>
      </w:r>
      <w:proofErr w:type="spellStart"/>
      <w:r w:rsidR="00433540" w:rsidRPr="00084AC6">
        <w:rPr>
          <w:i/>
        </w:rPr>
        <w:t>actus</w:t>
      </w:r>
      <w:proofErr w:type="spellEnd"/>
      <w:r w:rsidR="00433540" w:rsidRPr="00084AC6">
        <w:rPr>
          <w:i/>
        </w:rPr>
        <w:t xml:space="preserve"> </w:t>
      </w:r>
      <w:proofErr w:type="spellStart"/>
      <w:r w:rsidR="00433540" w:rsidRPr="00084AC6">
        <w:rPr>
          <w:i/>
        </w:rPr>
        <w:t>reus</w:t>
      </w:r>
      <w:proofErr w:type="spellEnd"/>
      <w:r w:rsidR="00433540" w:rsidRPr="00084AC6">
        <w:rPr>
          <w:i/>
        </w:rPr>
        <w:t xml:space="preserve"> </w:t>
      </w:r>
      <w:r w:rsidR="008770ED">
        <w:t xml:space="preserve">ingredients. </w:t>
      </w:r>
      <w:r w:rsidR="008770ED" w:rsidRPr="00084AC6">
        <w:rPr>
          <w:i/>
        </w:rPr>
        <w:t xml:space="preserve"> </w:t>
      </w:r>
      <w:r w:rsidR="008770ED">
        <w:t>I</w:t>
      </w:r>
      <w:r w:rsidR="001E7118">
        <w:t xml:space="preserve">t </w:t>
      </w:r>
      <w:r w:rsidR="003055A8">
        <w:t>should be borne in mind</w:t>
      </w:r>
      <w:r w:rsidR="008770ED">
        <w:t xml:space="preserve"> </w:t>
      </w:r>
      <w:r w:rsidR="001E7118">
        <w:t xml:space="preserve">that there are several variants of the offence.  </w:t>
      </w:r>
      <w:r w:rsidR="00404224">
        <w:t xml:space="preserve">Thus, section 9(1) covers agents who solicit or accept an advantage while section 9(2) deals with persons who offer an advantage to the agent.  The advantage </w:t>
      </w:r>
      <w:r w:rsidR="008770ED">
        <w:t xml:space="preserve">may be an inducement to do or forbear from doing some act in the future.  Or it may be a reward for having already done or forborne </w:t>
      </w:r>
      <w:r w:rsidR="00C6235F">
        <w:t xml:space="preserve">to do </w:t>
      </w:r>
      <w:r w:rsidR="008770ED">
        <w:t xml:space="preserve">something.  The act or forbearance must in each case be in relation to the affairs or business of the agent’s principal, a phrase </w:t>
      </w:r>
      <w:r w:rsidR="00B61674">
        <w:t>which</w:t>
      </w:r>
      <w:r w:rsidR="008770ED">
        <w:t xml:space="preserve"> is examined in detail below.</w:t>
      </w:r>
      <w:r w:rsidR="00477C81">
        <w:rPr>
          <w:rStyle w:val="FootnoteReference"/>
        </w:rPr>
        <w:footnoteReference w:id="10"/>
      </w:r>
      <w:r w:rsidR="00970228">
        <w:t xml:space="preserve">  </w:t>
      </w:r>
      <w:r w:rsidR="00477C81">
        <w:t>T</w:t>
      </w:r>
      <w:r w:rsidR="00970228">
        <w:t xml:space="preserve">he </w:t>
      </w:r>
      <w:proofErr w:type="spellStart"/>
      <w:r w:rsidR="00970228" w:rsidRPr="00084AC6">
        <w:rPr>
          <w:i/>
        </w:rPr>
        <w:t>mens</w:t>
      </w:r>
      <w:proofErr w:type="spellEnd"/>
      <w:r w:rsidR="00970228" w:rsidRPr="00084AC6">
        <w:rPr>
          <w:i/>
        </w:rPr>
        <w:t xml:space="preserve"> rea </w:t>
      </w:r>
      <w:r w:rsidR="00970228">
        <w:t xml:space="preserve">requirement of any particular variant is necessarily adapted to the elements of that variant and may differ from the </w:t>
      </w:r>
      <w:proofErr w:type="spellStart"/>
      <w:r w:rsidR="009C36A2" w:rsidRPr="00084AC6">
        <w:rPr>
          <w:i/>
        </w:rPr>
        <w:t>mens</w:t>
      </w:r>
      <w:proofErr w:type="spellEnd"/>
      <w:r w:rsidR="009C36A2" w:rsidRPr="00084AC6">
        <w:rPr>
          <w:i/>
        </w:rPr>
        <w:t xml:space="preserve"> rea </w:t>
      </w:r>
      <w:r w:rsidR="009C36A2">
        <w:t>requirement of some other variant of the offence</w:t>
      </w:r>
      <w:r w:rsidR="00970228">
        <w:t>.</w:t>
      </w:r>
    </w:p>
    <w:p w:rsidR="009C36A2" w:rsidRDefault="009C36A2" w:rsidP="00084AC6">
      <w:pPr>
        <w:pStyle w:val="Bob1"/>
        <w:tabs>
          <w:tab w:val="clear" w:pos="720"/>
          <w:tab w:val="left" w:pos="1440"/>
        </w:tabs>
        <w:ind w:left="0" w:firstLine="0"/>
        <w:jc w:val="both"/>
      </w:pPr>
      <w:r>
        <w:t>The importance of the</w:t>
      </w:r>
      <w:r w:rsidRPr="00084AC6">
        <w:rPr>
          <w:i/>
        </w:rPr>
        <w:t xml:space="preserve"> </w:t>
      </w:r>
      <w:proofErr w:type="spellStart"/>
      <w:r w:rsidRPr="00084AC6">
        <w:rPr>
          <w:i/>
        </w:rPr>
        <w:t>mens</w:t>
      </w:r>
      <w:proofErr w:type="spellEnd"/>
      <w:r w:rsidRPr="00084AC6">
        <w:rPr>
          <w:i/>
        </w:rPr>
        <w:t xml:space="preserve"> rea </w:t>
      </w:r>
      <w:r>
        <w:t xml:space="preserve">or mental dimension of the offence </w:t>
      </w:r>
      <w:r w:rsidR="00BF3575">
        <w:t>looms large</w:t>
      </w:r>
      <w:r w:rsidR="00595F2B">
        <w:t>r</w:t>
      </w:r>
      <w:r w:rsidR="00BF3575">
        <w:t xml:space="preserve"> in cases involving the </w:t>
      </w:r>
      <w:r>
        <w:t xml:space="preserve">offering, soliciting or accepting of an advantage as an inducement for a future act or forbearance.  This is because the offence is committed upon the making of the offer, solicitation or acceptance, it being no defence that the contemplated act or forbearance </w:t>
      </w:r>
      <w:r w:rsidR="00BF3575">
        <w:t>w</w:t>
      </w:r>
      <w:r>
        <w:t>as not or could not be performed by the agent.</w:t>
      </w:r>
      <w:r>
        <w:rPr>
          <w:rStyle w:val="FootnoteReference"/>
        </w:rPr>
        <w:footnoteReference w:id="11"/>
      </w:r>
      <w:r w:rsidR="001E773C">
        <w:t xml:space="preserve">  </w:t>
      </w:r>
      <w:r w:rsidR="00477C81">
        <w:t>I</w:t>
      </w:r>
      <w:r w:rsidR="001E773C">
        <w:t>n such cases, it is the state of mind</w:t>
      </w:r>
      <w:r w:rsidR="00C6235F">
        <w:t xml:space="preserve"> </w:t>
      </w:r>
      <w:r w:rsidR="001E773C">
        <w:t xml:space="preserve">of the person making the offer to the agent or of the agent soliciting </w:t>
      </w:r>
      <w:r w:rsidR="00BF3575">
        <w:t xml:space="preserve">the advantage, </w:t>
      </w:r>
      <w:r w:rsidR="001E773C">
        <w:t xml:space="preserve">or </w:t>
      </w:r>
      <w:r w:rsidR="00BF3575">
        <w:t xml:space="preserve">where the agent </w:t>
      </w:r>
      <w:r w:rsidR="001E773C">
        <w:t>accept</w:t>
      </w:r>
      <w:r w:rsidR="00BF3575">
        <w:t xml:space="preserve">s the advantage, </w:t>
      </w:r>
      <w:r w:rsidR="00433540">
        <w:t xml:space="preserve">the mental state </w:t>
      </w:r>
      <w:r w:rsidR="00BF3575">
        <w:t xml:space="preserve">of the agent in accepting the </w:t>
      </w:r>
      <w:r w:rsidR="00BF3575">
        <w:lastRenderedPageBreak/>
        <w:t xml:space="preserve">advantage, that </w:t>
      </w:r>
      <w:r w:rsidR="00667189">
        <w:t>is the major</w:t>
      </w:r>
      <w:r w:rsidR="00477C81">
        <w:t xml:space="preserve"> component of the offence</w:t>
      </w:r>
      <w:r w:rsidR="00BF3575">
        <w:t>.</w:t>
      </w:r>
      <w:r w:rsidR="00667189">
        <w:t xml:space="preserve">  Where the </w:t>
      </w:r>
      <w:r w:rsidR="00433540">
        <w:t xml:space="preserve">induced or offered act </w:t>
      </w:r>
      <w:r w:rsidR="00667189">
        <w:t xml:space="preserve">or forbearance </w:t>
      </w:r>
      <w:r w:rsidR="00433540">
        <w:t>has taken place or where the case involves a reward for past conduct</w:t>
      </w:r>
      <w:r w:rsidR="00667189">
        <w:t xml:space="preserve">, that conduct </w:t>
      </w:r>
      <w:r w:rsidR="003055A8">
        <w:t xml:space="preserve">is available </w:t>
      </w:r>
      <w:r w:rsidR="00433540">
        <w:t>to be examined</w:t>
      </w:r>
      <w:r w:rsidR="003055A8">
        <w:t xml:space="preserve"> as part of the </w:t>
      </w:r>
      <w:proofErr w:type="spellStart"/>
      <w:r w:rsidR="003055A8" w:rsidRPr="00084AC6">
        <w:rPr>
          <w:i/>
        </w:rPr>
        <w:t>actus</w:t>
      </w:r>
      <w:proofErr w:type="spellEnd"/>
      <w:r w:rsidR="003055A8" w:rsidRPr="00084AC6">
        <w:rPr>
          <w:i/>
        </w:rPr>
        <w:t xml:space="preserve"> </w:t>
      </w:r>
      <w:proofErr w:type="spellStart"/>
      <w:r w:rsidR="003055A8" w:rsidRPr="00084AC6">
        <w:rPr>
          <w:i/>
        </w:rPr>
        <w:t>reus</w:t>
      </w:r>
      <w:proofErr w:type="spellEnd"/>
      <w:r w:rsidR="003055A8" w:rsidRPr="00084AC6">
        <w:rPr>
          <w:i/>
        </w:rPr>
        <w:t xml:space="preserve"> </w:t>
      </w:r>
      <w:r w:rsidR="003055A8">
        <w:t>with the accused’s accompanying mental state</w:t>
      </w:r>
      <w:r w:rsidR="00667189">
        <w:t>.</w:t>
      </w:r>
    </w:p>
    <w:p w:rsidR="001E7118" w:rsidRPr="00685C17" w:rsidRDefault="00BF3575" w:rsidP="00084AC6">
      <w:pPr>
        <w:pStyle w:val="Bob1"/>
        <w:tabs>
          <w:tab w:val="clear" w:pos="720"/>
          <w:tab w:val="left" w:pos="1440"/>
        </w:tabs>
        <w:ind w:left="0" w:firstLine="0"/>
        <w:jc w:val="both"/>
      </w:pPr>
      <w:r>
        <w:t>It has been stressed that</w:t>
      </w:r>
      <w:r w:rsidR="00C6235F">
        <w:t xml:space="preserve"> the</w:t>
      </w:r>
      <w:r>
        <w:t xml:space="preserve"> liability </w:t>
      </w:r>
      <w:r w:rsidR="00C6235F">
        <w:t xml:space="preserve">of each person involved in the transaction </w:t>
      </w:r>
      <w:r w:rsidR="00FF15B3">
        <w:t>must be</w:t>
      </w:r>
      <w:r>
        <w:t xml:space="preserve"> </w:t>
      </w:r>
      <w:r w:rsidR="00685C17">
        <w:t>independently</w:t>
      </w:r>
      <w:r>
        <w:t xml:space="preserve"> assessed </w:t>
      </w:r>
      <w:r w:rsidR="00C6235F">
        <w:t xml:space="preserve">according to </w:t>
      </w:r>
      <w:r>
        <w:t xml:space="preserve">his own </w:t>
      </w:r>
      <w:proofErr w:type="spellStart"/>
      <w:r w:rsidRPr="00084AC6">
        <w:rPr>
          <w:i/>
        </w:rPr>
        <w:t>mens</w:t>
      </w:r>
      <w:proofErr w:type="spellEnd"/>
      <w:r w:rsidRPr="00084AC6">
        <w:rPr>
          <w:i/>
        </w:rPr>
        <w:t xml:space="preserve"> rea</w:t>
      </w:r>
      <w:r>
        <w:t xml:space="preserve">.  </w:t>
      </w:r>
      <w:r w:rsidR="00685C17">
        <w:t xml:space="preserve">Thus it has been held that an agent accepting an advantage with the requisite corrupt intent may be convicted even though the person furnishing </w:t>
      </w:r>
      <w:r w:rsidR="00C6235F">
        <w:t>the advantage</w:t>
      </w:r>
      <w:r w:rsidR="00685C17">
        <w:t xml:space="preserve"> acted innocently.  </w:t>
      </w:r>
      <w:r w:rsidR="00F805D4">
        <w:t xml:space="preserve">Stuart-Moore VP </w:t>
      </w:r>
      <w:r w:rsidR="00685C17">
        <w:t>put it thus in</w:t>
      </w:r>
      <w:r w:rsidR="00F805D4">
        <w:t xml:space="preserve"> </w:t>
      </w:r>
      <w:r w:rsidR="00F805D4" w:rsidRPr="00084AC6">
        <w:rPr>
          <w:rFonts w:eastAsia="宋体"/>
          <w:i/>
        </w:rPr>
        <w:t>HKSAR v Wong Yuk Sim</w:t>
      </w:r>
      <w:r w:rsidR="00685C17" w:rsidRPr="00084AC6">
        <w:rPr>
          <w:rFonts w:eastAsia="宋体"/>
        </w:rPr>
        <w:t>:</w:t>
      </w:r>
      <w:r w:rsidR="00685C17">
        <w:rPr>
          <w:rStyle w:val="FootnoteReference"/>
          <w:rFonts w:eastAsia="宋体"/>
        </w:rPr>
        <w:footnoteReference w:id="12"/>
      </w:r>
    </w:p>
    <w:p w:rsidR="00685C17" w:rsidRDefault="00685C17" w:rsidP="00084AC6">
      <w:pPr>
        <w:pStyle w:val="Bob1"/>
        <w:numPr>
          <w:ilvl w:val="0"/>
          <w:numId w:val="0"/>
        </w:numPr>
        <w:spacing w:line="240" w:lineRule="auto"/>
        <w:ind w:left="720"/>
        <w:jc w:val="both"/>
        <w:rPr>
          <w:rFonts w:eastAsia="宋体"/>
          <w:sz w:val="24"/>
        </w:rPr>
      </w:pPr>
      <w:r w:rsidRPr="00685C17">
        <w:rPr>
          <w:rFonts w:eastAsia="宋体"/>
          <w:sz w:val="24"/>
        </w:rPr>
        <w:t>“...</w:t>
      </w:r>
      <w:r w:rsidRPr="00685C17">
        <w:rPr>
          <w:sz w:val="24"/>
        </w:rPr>
        <w:t>where a provider of a reward thinks he is providing something innocent</w:t>
      </w:r>
      <w:r w:rsidRPr="00685C17">
        <w:rPr>
          <w:rFonts w:hint="eastAsia"/>
          <w:sz w:val="24"/>
        </w:rPr>
        <w:t>ly</w:t>
      </w:r>
      <w:r w:rsidRPr="00685C17">
        <w:rPr>
          <w:sz w:val="24"/>
        </w:rPr>
        <w:t xml:space="preserve"> but the receiver believes that the provider is providing it as a corrupt reward and he accepts it as a corrupt reward, believing it to have been </w:t>
      </w:r>
      <w:r w:rsidRPr="00685C17">
        <w:rPr>
          <w:rFonts w:eastAsia="宋体" w:hint="eastAsia"/>
          <w:sz w:val="24"/>
        </w:rPr>
        <w:t>provided as a corrupt reward, then the receiver behaves corruptly even if the provider behaves innocently.</w:t>
      </w:r>
      <w:r w:rsidRPr="00685C17">
        <w:rPr>
          <w:rFonts w:eastAsia="宋体"/>
          <w:sz w:val="24"/>
        </w:rPr>
        <w:t>”</w:t>
      </w:r>
    </w:p>
    <w:p w:rsidR="00B61674" w:rsidRDefault="00433540" w:rsidP="00084AC6">
      <w:pPr>
        <w:pStyle w:val="Bob1"/>
        <w:tabs>
          <w:tab w:val="clear" w:pos="720"/>
          <w:tab w:val="left" w:pos="1440"/>
        </w:tabs>
        <w:ind w:left="0" w:firstLine="0"/>
        <w:jc w:val="both"/>
      </w:pPr>
      <w:r>
        <w:t>It follows that</w:t>
      </w:r>
      <w:r w:rsidR="009C4958">
        <w:t xml:space="preserve"> in cases involving the offering or solicitation of an advantage, the prosecution must prove that the accused intended that, if provided, </w:t>
      </w:r>
      <w:r w:rsidR="000B06B3">
        <w:t>the advantage</w:t>
      </w:r>
      <w:r w:rsidR="00477C81">
        <w:t xml:space="preserve"> sh</w:t>
      </w:r>
      <w:r w:rsidR="009C4958">
        <w:t>ould be accepted as an inducement or reward</w:t>
      </w:r>
      <w:r w:rsidR="004C54A5">
        <w:t xml:space="preserve"> for</w:t>
      </w:r>
      <w:r w:rsidR="009C4958">
        <w:t xml:space="preserve"> or otherwise on account of the agent’s act or forbearance in relation to his principal's affairs or business (in the sense discussed below</w:t>
      </w:r>
      <w:r w:rsidR="009C4958">
        <w:rPr>
          <w:rStyle w:val="FootnoteReference"/>
        </w:rPr>
        <w:footnoteReference w:id="13"/>
      </w:r>
      <w:r w:rsidR="009C4958">
        <w:t xml:space="preserve">).  </w:t>
      </w:r>
    </w:p>
    <w:p w:rsidR="009C4958" w:rsidRDefault="009C4958" w:rsidP="00084AC6">
      <w:pPr>
        <w:pStyle w:val="Bob1"/>
        <w:tabs>
          <w:tab w:val="clear" w:pos="720"/>
          <w:tab w:val="left" w:pos="1440"/>
        </w:tabs>
        <w:ind w:left="0" w:firstLine="0"/>
        <w:jc w:val="both"/>
      </w:pPr>
      <w:r>
        <w:t xml:space="preserve">And in cases involving the </w:t>
      </w:r>
      <w:r w:rsidR="00C6235F">
        <w:t xml:space="preserve">accused </w:t>
      </w:r>
      <w:r>
        <w:t>agent’s acceptance of an advantage, the prosecuti</w:t>
      </w:r>
      <w:r w:rsidR="000B06B3">
        <w:t xml:space="preserve">on must prove that </w:t>
      </w:r>
      <w:r w:rsidR="00C6235F">
        <w:t xml:space="preserve">he </w:t>
      </w:r>
      <w:r>
        <w:t>knew or believed it to have been provided as an inducement or reward for or otherwise on account of his act or forbearance in relation to his principal's affairs or business</w:t>
      </w:r>
      <w:r w:rsidR="004C54A5">
        <w:t xml:space="preserve"> (in the aforesaid sense)</w:t>
      </w:r>
      <w:r>
        <w:t>.</w:t>
      </w:r>
    </w:p>
    <w:p w:rsidR="005E35B2" w:rsidRDefault="005E35B2">
      <w:pPr>
        <w:spacing w:after="200" w:line="276" w:lineRule="auto"/>
        <w:rPr>
          <w:rFonts w:eastAsia="PMingLiU"/>
          <w:b/>
          <w:i/>
          <w:spacing w:val="15"/>
          <w:szCs w:val="28"/>
        </w:rPr>
      </w:pPr>
      <w:r>
        <w:br w:type="page"/>
      </w:r>
    </w:p>
    <w:p w:rsidR="0071642B" w:rsidRPr="00D14F16" w:rsidRDefault="006B043B" w:rsidP="00525C4D">
      <w:pPr>
        <w:pStyle w:val="docmapheading"/>
      </w:pPr>
      <w:r>
        <w:lastRenderedPageBreak/>
        <w:t>D</w:t>
      </w:r>
      <w:r w:rsidR="00680777" w:rsidRPr="00D14F16">
        <w:t>.</w:t>
      </w:r>
      <w:r w:rsidR="00680777" w:rsidRPr="00D14F16">
        <w:tab/>
        <w:t>The Judge’s reasoning</w:t>
      </w:r>
    </w:p>
    <w:p w:rsidR="00680777" w:rsidRPr="00D14F16" w:rsidRDefault="00FD4517" w:rsidP="00084AC6">
      <w:pPr>
        <w:pStyle w:val="Bob1"/>
        <w:tabs>
          <w:tab w:val="clear" w:pos="720"/>
          <w:tab w:val="left" w:pos="1440"/>
        </w:tabs>
        <w:ind w:left="0" w:firstLine="0"/>
        <w:jc w:val="both"/>
      </w:pPr>
      <w:r w:rsidRPr="00D14F16">
        <w:t xml:space="preserve">The Judge </w:t>
      </w:r>
      <w:r w:rsidR="00B139AE" w:rsidRPr="00D14F16">
        <w:t xml:space="preserve">referred to </w:t>
      </w:r>
      <w:r w:rsidRPr="00D14F16">
        <w:rPr>
          <w:i/>
        </w:rPr>
        <w:t>C</w:t>
      </w:r>
      <w:r w:rsidRPr="00D14F16">
        <w:rPr>
          <w:rFonts w:eastAsia="宋体"/>
          <w:i/>
          <w:szCs w:val="28"/>
        </w:rPr>
        <w:t xml:space="preserve">ommissioner of ICAC v </w:t>
      </w:r>
      <w:proofErr w:type="spellStart"/>
      <w:r w:rsidRPr="00D14F16">
        <w:rPr>
          <w:rFonts w:eastAsia="宋体"/>
          <w:i/>
          <w:szCs w:val="28"/>
        </w:rPr>
        <w:t>Ch’ng</w:t>
      </w:r>
      <w:proofErr w:type="spellEnd"/>
      <w:r w:rsidRPr="00D14F16">
        <w:rPr>
          <w:rFonts w:eastAsia="宋体"/>
          <w:i/>
          <w:szCs w:val="28"/>
        </w:rPr>
        <w:t xml:space="preserve"> </w:t>
      </w:r>
      <w:proofErr w:type="spellStart"/>
      <w:r w:rsidRPr="00D14F16">
        <w:rPr>
          <w:rFonts w:eastAsia="宋体"/>
          <w:i/>
          <w:szCs w:val="28"/>
        </w:rPr>
        <w:t>Poh</w:t>
      </w:r>
      <w:proofErr w:type="spellEnd"/>
      <w:r w:rsidRPr="00D14F16">
        <w:rPr>
          <w:rFonts w:eastAsia="宋体"/>
          <w:szCs w:val="28"/>
        </w:rPr>
        <w:t>,</w:t>
      </w:r>
      <w:r w:rsidRPr="00D14F16">
        <w:rPr>
          <w:rStyle w:val="FootnoteReference"/>
          <w:rFonts w:eastAsia="宋体"/>
          <w:szCs w:val="28"/>
        </w:rPr>
        <w:footnoteReference w:id="14"/>
      </w:r>
      <w:r w:rsidRPr="00D14F16">
        <w:rPr>
          <w:rFonts w:eastAsia="宋体"/>
          <w:szCs w:val="28"/>
        </w:rPr>
        <w:t xml:space="preserve"> </w:t>
      </w:r>
      <w:r w:rsidR="003E6DE2" w:rsidRPr="00D14F16">
        <w:rPr>
          <w:rFonts w:eastAsia="宋体"/>
          <w:szCs w:val="28"/>
        </w:rPr>
        <w:t>(to which I shall return</w:t>
      </w:r>
      <w:r w:rsidR="00CE07CC">
        <w:rPr>
          <w:rStyle w:val="FootnoteReference"/>
          <w:rFonts w:eastAsia="宋体"/>
          <w:szCs w:val="28"/>
        </w:rPr>
        <w:footnoteReference w:id="15"/>
      </w:r>
      <w:r w:rsidR="003E6DE2" w:rsidRPr="00D14F16">
        <w:rPr>
          <w:rFonts w:eastAsia="宋体"/>
          <w:szCs w:val="28"/>
        </w:rPr>
        <w:t xml:space="preserve">) </w:t>
      </w:r>
      <w:r w:rsidRPr="00D14F16">
        <w:rPr>
          <w:rFonts w:eastAsia="宋体"/>
          <w:szCs w:val="28"/>
        </w:rPr>
        <w:t xml:space="preserve">and recognized that the prosecution did not have to establish that Chan was acting in his capacity as TVB’s agent either when accepting the money or when </w:t>
      </w:r>
      <w:r w:rsidR="00063CD6" w:rsidRPr="00D14F16">
        <w:rPr>
          <w:rFonts w:eastAsia="宋体"/>
          <w:szCs w:val="28"/>
        </w:rPr>
        <w:t xml:space="preserve">appearing on </w:t>
      </w:r>
      <w:r w:rsidR="00B139AE" w:rsidRPr="00D14F16">
        <w:rPr>
          <w:rFonts w:eastAsia="宋体"/>
          <w:szCs w:val="28"/>
        </w:rPr>
        <w:t>the show.</w:t>
      </w:r>
      <w:r w:rsidRPr="00D14F16">
        <w:rPr>
          <w:rFonts w:eastAsia="宋体"/>
          <w:szCs w:val="28"/>
        </w:rPr>
        <w:t xml:space="preserve">  </w:t>
      </w:r>
      <w:r w:rsidR="00B139AE" w:rsidRPr="00D14F16">
        <w:rPr>
          <w:rFonts w:eastAsia="宋体"/>
          <w:szCs w:val="28"/>
        </w:rPr>
        <w:t>His Honour</w:t>
      </w:r>
      <w:r w:rsidRPr="00D14F16">
        <w:rPr>
          <w:rFonts w:eastAsia="宋体"/>
          <w:szCs w:val="28"/>
        </w:rPr>
        <w:t xml:space="preserve"> noted, </w:t>
      </w:r>
      <w:r w:rsidR="006D1F19">
        <w:rPr>
          <w:rFonts w:eastAsia="宋体"/>
          <w:szCs w:val="28"/>
        </w:rPr>
        <w:t xml:space="preserve">relying on </w:t>
      </w:r>
      <w:proofErr w:type="spellStart"/>
      <w:r w:rsidR="00760ABA">
        <w:rPr>
          <w:rFonts w:eastAsia="宋体"/>
          <w:i/>
          <w:szCs w:val="28"/>
        </w:rPr>
        <w:t>Ch’</w:t>
      </w:r>
      <w:r w:rsidRPr="00D14F16">
        <w:rPr>
          <w:rFonts w:eastAsia="宋体"/>
          <w:i/>
          <w:szCs w:val="28"/>
        </w:rPr>
        <w:t>ng</w:t>
      </w:r>
      <w:proofErr w:type="spellEnd"/>
      <w:r w:rsidRPr="00D14F16">
        <w:rPr>
          <w:rFonts w:eastAsia="宋体"/>
          <w:i/>
          <w:szCs w:val="28"/>
        </w:rPr>
        <w:t xml:space="preserve"> </w:t>
      </w:r>
      <w:proofErr w:type="spellStart"/>
      <w:r w:rsidRPr="00D14F16">
        <w:rPr>
          <w:rFonts w:eastAsia="宋体"/>
          <w:i/>
          <w:szCs w:val="28"/>
        </w:rPr>
        <w:t>Poh</w:t>
      </w:r>
      <w:proofErr w:type="spellEnd"/>
      <w:r w:rsidRPr="00D14F16">
        <w:rPr>
          <w:rFonts w:eastAsia="宋体"/>
          <w:szCs w:val="28"/>
        </w:rPr>
        <w:t>, that:</w:t>
      </w:r>
    </w:p>
    <w:p w:rsidR="00FD4517" w:rsidRPr="00D14F16" w:rsidRDefault="00FD4517" w:rsidP="00084AC6">
      <w:pPr>
        <w:pStyle w:val="Bob1"/>
        <w:numPr>
          <w:ilvl w:val="0"/>
          <w:numId w:val="0"/>
        </w:numPr>
        <w:spacing w:line="240" w:lineRule="auto"/>
        <w:ind w:left="720"/>
        <w:jc w:val="both"/>
        <w:rPr>
          <w:sz w:val="24"/>
        </w:rPr>
      </w:pPr>
      <w:r w:rsidRPr="00D14F16">
        <w:rPr>
          <w:rFonts w:eastAsia="宋体"/>
          <w:sz w:val="24"/>
          <w:szCs w:val="28"/>
        </w:rPr>
        <w:t>“</w:t>
      </w:r>
      <w:r w:rsidRPr="00D14F16">
        <w:rPr>
          <w:bCs/>
          <w:iCs/>
          <w:sz w:val="24"/>
        </w:rPr>
        <w:t xml:space="preserve">What the prosecution needs to prove is only that the relevant </w:t>
      </w:r>
      <w:r w:rsidRPr="00D14F16">
        <w:rPr>
          <w:sz w:val="24"/>
        </w:rPr>
        <w:t>act is an act done in relation to his principal’s affairs or business. However, this phrase should not be given a limitlessly wide meaning. Its meaning should be kept within a specific parameter, which is: when the defendant did the act in question, he must have intended the act to ‘influence or affect’ his principal’s affairs or business. In other words, his act was ‘aimed at’ his principal.”</w:t>
      </w:r>
      <w:r w:rsidRPr="00D14F16">
        <w:rPr>
          <w:rStyle w:val="FootnoteReference"/>
          <w:sz w:val="24"/>
        </w:rPr>
        <w:footnoteReference w:id="16"/>
      </w:r>
    </w:p>
    <w:p w:rsidR="00FD4517" w:rsidRDefault="00B139AE" w:rsidP="00084AC6">
      <w:pPr>
        <w:pStyle w:val="Bob1"/>
        <w:tabs>
          <w:tab w:val="clear" w:pos="720"/>
          <w:tab w:val="left" w:pos="1440"/>
        </w:tabs>
        <w:ind w:left="0" w:firstLine="0"/>
        <w:jc w:val="both"/>
      </w:pPr>
      <w:r w:rsidRPr="00D14F16">
        <w:t xml:space="preserve">He concluded that Chan’s appearance in the “Be My Guest” segment “was purely an act of moonlighting in his capacity as a ‘celebrity’ or an ‘artiste’, and such an act was not intended to influence or affect the affairs or business </w:t>
      </w:r>
      <w:r w:rsidR="00524696" w:rsidRPr="00D14F16">
        <w:t>of TVB, nor was it aimed at TVB</w:t>
      </w:r>
      <w:r w:rsidRPr="00D14F16">
        <w:t>”</w:t>
      </w:r>
      <w:r w:rsidRPr="00D14F16">
        <w:rPr>
          <w:rStyle w:val="FootnoteReference"/>
        </w:rPr>
        <w:footnoteReference w:id="17"/>
      </w:r>
      <w:r w:rsidR="00524696" w:rsidRPr="00D14F16">
        <w:t xml:space="preserve"> so that it fell outside the ambit of section 9.</w:t>
      </w:r>
    </w:p>
    <w:p w:rsidR="00B139AE" w:rsidRDefault="00B139AE" w:rsidP="00084AC6">
      <w:pPr>
        <w:pStyle w:val="Bob1"/>
        <w:tabs>
          <w:tab w:val="clear" w:pos="720"/>
          <w:tab w:val="left" w:pos="1440"/>
        </w:tabs>
        <w:ind w:left="0" w:firstLine="0"/>
        <w:jc w:val="both"/>
      </w:pPr>
      <w:r w:rsidRPr="00D14F16">
        <w:t>In his 2</w:t>
      </w:r>
      <w:r w:rsidRPr="005A44F6">
        <w:rPr>
          <w:vertAlign w:val="superscript"/>
        </w:rPr>
        <w:t>nd</w:t>
      </w:r>
      <w:r w:rsidRPr="00D14F16">
        <w:t xml:space="preserve"> Case Stated,</w:t>
      </w:r>
      <w:r w:rsidR="00524696" w:rsidRPr="00D14F16">
        <w:rPr>
          <w:rStyle w:val="FootnoteReference"/>
        </w:rPr>
        <w:footnoteReference w:id="18"/>
      </w:r>
      <w:r w:rsidRPr="00D14F16">
        <w:t xml:space="preserve"> the Judge elaborated on his views, pointing out that Chan had not used any powers of his office to benefit himself and had acted openly, his participation having been discussed at TVB production meetings</w:t>
      </w:r>
      <w:r w:rsidR="00524696" w:rsidRPr="00D14F16">
        <w:t>, so that there</w:t>
      </w:r>
      <w:r w:rsidRPr="00D14F16">
        <w:t xml:space="preserve"> was no question of </w:t>
      </w:r>
      <w:r w:rsidR="00524696" w:rsidRPr="00D14F16">
        <w:t xml:space="preserve">him making a </w:t>
      </w:r>
      <w:r w:rsidRPr="00D14F16">
        <w:t>secret profit</w:t>
      </w:r>
      <w:r w:rsidR="00524696" w:rsidRPr="00D14F16">
        <w:t>.</w:t>
      </w:r>
      <w:r w:rsidRPr="00D14F16">
        <w:t xml:space="preserve"> </w:t>
      </w:r>
      <w:r w:rsidR="00524696" w:rsidRPr="00D14F16">
        <w:t xml:space="preserve"> He held that Chan’s participation in the show “would </w:t>
      </w:r>
      <w:r w:rsidR="004B0627" w:rsidRPr="00D14F16">
        <w:t>do no</w:t>
      </w:r>
      <w:r w:rsidR="00524696" w:rsidRPr="00D14F16">
        <w:t xml:space="preserve"> harm but good to TVB” and that “[his] performance and acceptance of the reward did not conflict with any interest of TVB.”  He commented that </w:t>
      </w:r>
      <w:r w:rsidRPr="00D14F16">
        <w:t xml:space="preserve">Chan’s mistake merely </w:t>
      </w:r>
      <w:r w:rsidR="00524696" w:rsidRPr="00D14F16">
        <w:t>involved</w:t>
      </w:r>
      <w:r w:rsidR="002D1231">
        <w:t xml:space="preserve"> his failure </w:t>
      </w:r>
      <w:r w:rsidRPr="00D14F16">
        <w:lastRenderedPageBreak/>
        <w:t xml:space="preserve">to </w:t>
      </w:r>
      <w:r w:rsidR="002D1231">
        <w:t>“</w:t>
      </w:r>
      <w:r w:rsidRPr="00D14F16">
        <w:t>follow the procedures prescribed in the employment contract” regarding approvals of outside work and remuneration.</w:t>
      </w:r>
      <w:r w:rsidR="00524696" w:rsidRPr="00D14F16">
        <w:t xml:space="preserve">  </w:t>
      </w:r>
    </w:p>
    <w:p w:rsidR="00387271" w:rsidRPr="00D14F16" w:rsidRDefault="00524696" w:rsidP="00084AC6">
      <w:pPr>
        <w:pStyle w:val="Bob1"/>
        <w:tabs>
          <w:tab w:val="clear" w:pos="720"/>
          <w:tab w:val="left" w:pos="1440"/>
        </w:tabs>
        <w:ind w:left="0" w:firstLine="0"/>
        <w:jc w:val="both"/>
      </w:pPr>
      <w:r w:rsidRPr="00D14F16">
        <w:t xml:space="preserve">The Judge therefore concluded that Chan’s act of accepting $112,000 as an inducement or reward for appearing </w:t>
      </w:r>
      <w:r w:rsidR="004B0627" w:rsidRPr="00D14F16">
        <w:t>o</w:t>
      </w:r>
      <w:r w:rsidRPr="00D14F16">
        <w:t xml:space="preserve">n the show was not an act done “in relation to his principal's affairs or business” within the meaning of section 9 </w:t>
      </w:r>
      <w:r w:rsidR="00477C81">
        <w:t>or (in his 2</w:t>
      </w:r>
      <w:r w:rsidR="00477C81" w:rsidRPr="005A44F6">
        <w:rPr>
          <w:vertAlign w:val="superscript"/>
        </w:rPr>
        <w:t>nd</w:t>
      </w:r>
      <w:r w:rsidR="00477C81">
        <w:t xml:space="preserve"> Case Stated) was amenable to the defence of reasonable excuse</w:t>
      </w:r>
      <w:r w:rsidR="00FF15B3">
        <w:t>.  He therefore</w:t>
      </w:r>
      <w:r w:rsidRPr="00D14F16">
        <w:t xml:space="preserve"> acquitted the appellants.</w:t>
      </w:r>
    </w:p>
    <w:p w:rsidR="00524696" w:rsidRPr="00D14F16" w:rsidRDefault="006B043B" w:rsidP="00525C4D">
      <w:pPr>
        <w:pStyle w:val="docmapheading"/>
      </w:pPr>
      <w:r>
        <w:t>E</w:t>
      </w:r>
      <w:r w:rsidR="00A91D74" w:rsidRPr="00D14F16">
        <w:t>.</w:t>
      </w:r>
      <w:r w:rsidR="00A91D74" w:rsidRPr="00D14F16">
        <w:tab/>
        <w:t>The Court of Appeal’s reasoning</w:t>
      </w:r>
    </w:p>
    <w:p w:rsidR="00A91D74" w:rsidRPr="00D14F16" w:rsidRDefault="00425562" w:rsidP="00084AC6">
      <w:pPr>
        <w:pStyle w:val="Bob1"/>
        <w:tabs>
          <w:tab w:val="clear" w:pos="720"/>
          <w:tab w:val="left" w:pos="1440"/>
        </w:tabs>
        <w:ind w:left="0" w:firstLine="0"/>
        <w:jc w:val="both"/>
      </w:pPr>
      <w:r w:rsidRPr="00D14F16">
        <w:t>The Court of Appeal revers</w:t>
      </w:r>
      <w:r w:rsidR="00835C98" w:rsidRPr="00D14F16">
        <w:t>ed</w:t>
      </w:r>
      <w:r w:rsidRPr="00D14F16">
        <w:t xml:space="preserve"> the Judge’s verdict of acquittal </w:t>
      </w:r>
      <w:r w:rsidR="00BB4D44" w:rsidRPr="00D14F16">
        <w:t xml:space="preserve">holding </w:t>
      </w:r>
      <w:r w:rsidR="00835C98" w:rsidRPr="00D14F16">
        <w:t xml:space="preserve">that he had been wrong to </w:t>
      </w:r>
      <w:r w:rsidR="00BB4D44" w:rsidRPr="00D14F16">
        <w:t xml:space="preserve">find </w:t>
      </w:r>
      <w:r w:rsidR="00835C98" w:rsidRPr="00D14F16">
        <w:t xml:space="preserve">that Chan’s act fell outside section 9.  </w:t>
      </w:r>
      <w:r w:rsidR="00BB4D44" w:rsidRPr="00D14F16">
        <w:t>In the joint judgment</w:t>
      </w:r>
      <w:r w:rsidR="00972025" w:rsidRPr="00D14F16">
        <w:t xml:space="preserve"> of</w:t>
      </w:r>
      <w:r w:rsidR="00BB4D44" w:rsidRPr="00D14F16">
        <w:t xml:space="preserve"> Yeung VP and Yuen JA</w:t>
      </w:r>
      <w:r w:rsidR="00972025" w:rsidRPr="00D14F16">
        <w:t>, it was</w:t>
      </w:r>
      <w:r w:rsidR="00BB4D44" w:rsidRPr="00D14F16">
        <w:t xml:space="preserve"> </w:t>
      </w:r>
      <w:r w:rsidR="008C064A" w:rsidRPr="00D14F16">
        <w:t>held that Chan’s appearance in the show “</w:t>
      </w:r>
      <w:r w:rsidR="00972025" w:rsidRPr="00D14F16">
        <w:t>related to TVB’s affairs or business”; would “</w:t>
      </w:r>
      <w:r w:rsidR="00972025" w:rsidRPr="00D14F16">
        <w:rPr>
          <w:rFonts w:eastAsia="PMingLiU"/>
          <w:spacing w:val="2"/>
          <w:szCs w:val="28"/>
          <w:lang w:eastAsia="zh-TW"/>
        </w:rPr>
        <w:t>influence or affect TVB”; was “aimed at TVB” and would “involve TVB”.</w:t>
      </w:r>
      <w:r w:rsidR="00972025" w:rsidRPr="00D14F16">
        <w:rPr>
          <w:rStyle w:val="FootnoteReference"/>
          <w:rFonts w:eastAsia="PMingLiU"/>
          <w:spacing w:val="2"/>
          <w:szCs w:val="28"/>
          <w:lang w:eastAsia="zh-TW"/>
        </w:rPr>
        <w:footnoteReference w:id="19"/>
      </w:r>
      <w:r w:rsidR="00972025" w:rsidRPr="00D14F16">
        <w:rPr>
          <w:rFonts w:eastAsia="PMingLiU"/>
          <w:spacing w:val="2"/>
          <w:szCs w:val="28"/>
          <w:lang w:eastAsia="zh-TW"/>
        </w:rPr>
        <w:t xml:space="preserve">  The reasoning </w:t>
      </w:r>
      <w:r w:rsidR="00D14F16">
        <w:rPr>
          <w:rFonts w:eastAsia="PMingLiU"/>
          <w:spacing w:val="2"/>
          <w:szCs w:val="28"/>
          <w:lang w:eastAsia="zh-TW"/>
        </w:rPr>
        <w:t xml:space="preserve">behind </w:t>
      </w:r>
      <w:r w:rsidR="00972025" w:rsidRPr="00D14F16">
        <w:rPr>
          <w:rFonts w:eastAsia="PMingLiU"/>
          <w:spacing w:val="2"/>
          <w:szCs w:val="28"/>
          <w:lang w:eastAsia="zh-TW"/>
        </w:rPr>
        <w:t xml:space="preserve">those conclusions is </w:t>
      </w:r>
      <w:r w:rsidR="00697F73" w:rsidRPr="00D14F16">
        <w:rPr>
          <w:rFonts w:eastAsia="PMingLiU"/>
          <w:spacing w:val="2"/>
          <w:szCs w:val="28"/>
          <w:lang w:eastAsia="zh-TW"/>
        </w:rPr>
        <w:t xml:space="preserve">contained </w:t>
      </w:r>
      <w:r w:rsidR="00972025" w:rsidRPr="00D14F16">
        <w:rPr>
          <w:rFonts w:eastAsia="PMingLiU"/>
          <w:spacing w:val="2"/>
          <w:szCs w:val="28"/>
          <w:lang w:eastAsia="zh-TW"/>
        </w:rPr>
        <w:t>in the following paragraphs of that judgment</w:t>
      </w:r>
      <w:r w:rsidR="006D1F19">
        <w:rPr>
          <w:rFonts w:eastAsia="PMingLiU"/>
          <w:spacing w:val="2"/>
          <w:szCs w:val="28"/>
          <w:lang w:eastAsia="zh-TW"/>
        </w:rPr>
        <w:t xml:space="preserve"> (translated from the original Chinese)</w:t>
      </w:r>
      <w:r w:rsidR="00972025" w:rsidRPr="00D14F16">
        <w:rPr>
          <w:rFonts w:eastAsia="PMingLiU"/>
          <w:spacing w:val="2"/>
          <w:szCs w:val="28"/>
          <w:lang w:eastAsia="zh-TW"/>
        </w:rPr>
        <w:t>:</w:t>
      </w:r>
    </w:p>
    <w:p w:rsidR="00972025" w:rsidRPr="00D14F16" w:rsidRDefault="00972025" w:rsidP="00084AC6">
      <w:pPr>
        <w:pStyle w:val="Bob1"/>
        <w:numPr>
          <w:ilvl w:val="0"/>
          <w:numId w:val="0"/>
        </w:numPr>
        <w:spacing w:line="240" w:lineRule="auto"/>
        <w:ind w:left="720"/>
        <w:jc w:val="both"/>
        <w:rPr>
          <w:sz w:val="24"/>
        </w:rPr>
      </w:pPr>
      <w:r w:rsidRPr="00D14F16">
        <w:rPr>
          <w:sz w:val="24"/>
        </w:rPr>
        <w:t>“107.</w:t>
      </w:r>
      <w:r w:rsidRPr="00D14F16">
        <w:rPr>
          <w:sz w:val="24"/>
        </w:rPr>
        <w:tab/>
        <w:t>Although Chan’s chief position at TVB was General Manager (Broadcasting) and he was not contractually obliged to perform in front of the camera, the undisputed evidence shows that he had performed in more than 150 episodes of ‘Be My Guest’, which was a well-known and very favourably received talk show on TVB’s pay channel.</w:t>
      </w:r>
    </w:p>
    <w:p w:rsidR="00972025" w:rsidRPr="00D14F16" w:rsidRDefault="00972025" w:rsidP="00084AC6">
      <w:pPr>
        <w:pStyle w:val="Bob1"/>
        <w:numPr>
          <w:ilvl w:val="0"/>
          <w:numId w:val="0"/>
        </w:numPr>
        <w:spacing w:line="240" w:lineRule="auto"/>
        <w:ind w:left="720"/>
        <w:jc w:val="both"/>
        <w:rPr>
          <w:sz w:val="24"/>
        </w:rPr>
      </w:pPr>
      <w:r w:rsidRPr="00D14F16">
        <w:rPr>
          <w:sz w:val="24"/>
        </w:rPr>
        <w:t>108.</w:t>
      </w:r>
      <w:r w:rsidRPr="00D14F16">
        <w:rPr>
          <w:sz w:val="24"/>
        </w:rPr>
        <w:tab/>
        <w:t>It must have been because of the popularity of ‘Be My Guest’ that Olympian City would like to have the additional ‘Be My Guest’ show added within the main show.</w:t>
      </w:r>
    </w:p>
    <w:p w:rsidR="00972025" w:rsidRPr="00D14F16" w:rsidRDefault="00972025" w:rsidP="00084AC6">
      <w:pPr>
        <w:pStyle w:val="Bob1"/>
        <w:numPr>
          <w:ilvl w:val="0"/>
          <w:numId w:val="0"/>
        </w:numPr>
        <w:spacing w:line="240" w:lineRule="auto"/>
        <w:ind w:left="720"/>
        <w:jc w:val="both"/>
        <w:rPr>
          <w:sz w:val="24"/>
        </w:rPr>
      </w:pPr>
      <w:r w:rsidRPr="00D14F16">
        <w:rPr>
          <w:sz w:val="24"/>
        </w:rPr>
        <w:t>109.</w:t>
      </w:r>
      <w:r w:rsidRPr="00D14F16">
        <w:rPr>
          <w:sz w:val="24"/>
        </w:rPr>
        <w:tab/>
        <w:t xml:space="preserve">This request made by Olympian City met with approval from TVB.  </w:t>
      </w:r>
      <w:r w:rsidRPr="00D14F16">
        <w:rPr>
          <w:rFonts w:eastAsia="宋体"/>
          <w:sz w:val="24"/>
        </w:rPr>
        <w:t xml:space="preserve">TVB </w:t>
      </w:r>
      <w:r w:rsidRPr="00D14F16">
        <w:rPr>
          <w:sz w:val="24"/>
        </w:rPr>
        <w:t xml:space="preserve">allowed Chan and another artiste Lai </w:t>
      </w:r>
      <w:proofErr w:type="spellStart"/>
      <w:r w:rsidRPr="00D14F16">
        <w:rPr>
          <w:sz w:val="24"/>
        </w:rPr>
        <w:t>Yiu-cheung</w:t>
      </w:r>
      <w:proofErr w:type="spellEnd"/>
      <w:r w:rsidRPr="00D14F16">
        <w:rPr>
          <w:sz w:val="24"/>
        </w:rPr>
        <w:t xml:space="preserve"> to perform together in the additional ‘Be My Guest’ show, which was to be produced and broadcast live by TVB.</w:t>
      </w:r>
    </w:p>
    <w:p w:rsidR="00972025" w:rsidRPr="00D14F16" w:rsidRDefault="00972025" w:rsidP="00084AC6">
      <w:pPr>
        <w:pStyle w:val="Bob1"/>
        <w:numPr>
          <w:ilvl w:val="0"/>
          <w:numId w:val="0"/>
        </w:numPr>
        <w:spacing w:line="240" w:lineRule="auto"/>
        <w:ind w:left="720"/>
        <w:jc w:val="both"/>
        <w:rPr>
          <w:sz w:val="24"/>
        </w:rPr>
      </w:pPr>
      <w:r w:rsidRPr="00D14F16">
        <w:rPr>
          <w:sz w:val="24"/>
        </w:rPr>
        <w:t>110.</w:t>
      </w:r>
      <w:r w:rsidRPr="00D14F16">
        <w:rPr>
          <w:sz w:val="24"/>
        </w:rPr>
        <w:tab/>
        <w:t>Had Chan refused to perform in the additional ‘Be My Guest’ show, it might have been necessary for TVB to arrange another programme as a substitute.  This might affect the contractual relationship between TVB and Olympian City and would significantly influence the audience ratings of the live broadcast of the main show.</w:t>
      </w:r>
    </w:p>
    <w:p w:rsidR="00972025" w:rsidRPr="00D14F16" w:rsidRDefault="00972025" w:rsidP="00084AC6">
      <w:pPr>
        <w:pStyle w:val="Bob1"/>
        <w:numPr>
          <w:ilvl w:val="0"/>
          <w:numId w:val="0"/>
        </w:numPr>
        <w:spacing w:line="240" w:lineRule="auto"/>
        <w:ind w:left="720"/>
        <w:jc w:val="both"/>
        <w:rPr>
          <w:sz w:val="24"/>
        </w:rPr>
      </w:pPr>
      <w:r w:rsidRPr="00D14F16">
        <w:rPr>
          <w:sz w:val="24"/>
        </w:rPr>
        <w:lastRenderedPageBreak/>
        <w:t>111.</w:t>
      </w:r>
      <w:r w:rsidRPr="00D14F16">
        <w:rPr>
          <w:sz w:val="24"/>
        </w:rPr>
        <w:tab/>
        <w:t>Judging from the undisputed and/or indisputable background facts of the present case, the propositions that Chan performed in the additional ‘Be My Guest’ show merely in the capacity of a celebrity, that his performing in that show was not related to TVB’s affairs or business, and that it would not influence or affect TVB, would not involve TVB and was not aimed at TVB, are all artificial and contrived.  These propositions not only deviate from the crux of the issues in the present case and defy common sense, but also represent an approach which is neither realistic nor reasonable.”</w:t>
      </w:r>
    </w:p>
    <w:p w:rsidR="00FA4BE7" w:rsidRPr="00084AC6" w:rsidRDefault="002F5E61" w:rsidP="00084AC6">
      <w:pPr>
        <w:pStyle w:val="Bob1"/>
        <w:tabs>
          <w:tab w:val="clear" w:pos="720"/>
          <w:tab w:val="left" w:pos="90"/>
          <w:tab w:val="left" w:pos="1440"/>
        </w:tabs>
        <w:ind w:left="0" w:firstLine="0"/>
        <w:jc w:val="both"/>
      </w:pPr>
      <w:r w:rsidRPr="00D14F16">
        <w:t xml:space="preserve">These are, with respect, </w:t>
      </w:r>
      <w:r w:rsidR="00560A6D">
        <w:t xml:space="preserve">decidedly </w:t>
      </w:r>
      <w:r w:rsidR="00ED6068" w:rsidRPr="00D14F16">
        <w:t>odd</w:t>
      </w:r>
      <w:r w:rsidR="00FB60B7" w:rsidRPr="00D14F16">
        <w:t xml:space="preserve"> </w:t>
      </w:r>
      <w:r w:rsidRPr="00D14F16">
        <w:t xml:space="preserve">reasons for </w:t>
      </w:r>
      <w:r w:rsidR="00560A6D">
        <w:t xml:space="preserve">labelling </w:t>
      </w:r>
      <w:r w:rsidRPr="00D14F16">
        <w:t>Chan’s conduct as criminal.  What is assert</w:t>
      </w:r>
      <w:r w:rsidR="00391B4B" w:rsidRPr="00D14F16">
        <w:t>ed in those paragraphs</w:t>
      </w:r>
      <w:r w:rsidRPr="00D14F16">
        <w:t xml:space="preserve"> is that </w:t>
      </w:r>
      <w:r w:rsidRPr="00D14F16">
        <w:rPr>
          <w:szCs w:val="28"/>
        </w:rPr>
        <w:t>TVB wanted Chan’s show to be part of its Countdown event because it</w:t>
      </w:r>
      <w:r w:rsidR="00A7296C" w:rsidRPr="00D14F16">
        <w:rPr>
          <w:szCs w:val="28"/>
        </w:rPr>
        <w:t>s</w:t>
      </w:r>
      <w:r w:rsidRPr="00D14F16">
        <w:rPr>
          <w:szCs w:val="28"/>
        </w:rPr>
        <w:t xml:space="preserve"> popular</w:t>
      </w:r>
      <w:r w:rsidR="00A7296C" w:rsidRPr="00D14F16">
        <w:rPr>
          <w:szCs w:val="28"/>
        </w:rPr>
        <w:t>ity</w:t>
      </w:r>
      <w:r w:rsidRPr="00D14F16">
        <w:rPr>
          <w:szCs w:val="28"/>
        </w:rPr>
        <w:t xml:space="preserve"> would </w:t>
      </w:r>
      <w:r w:rsidR="00B170E9" w:rsidRPr="00D14F16">
        <w:rPr>
          <w:szCs w:val="28"/>
        </w:rPr>
        <w:t>boost</w:t>
      </w:r>
      <w:r w:rsidRPr="00D14F16">
        <w:rPr>
          <w:szCs w:val="28"/>
        </w:rPr>
        <w:t xml:space="preserve"> audience ratings.  Chan </w:t>
      </w:r>
      <w:r w:rsidR="00ED6068" w:rsidRPr="00D14F16">
        <w:rPr>
          <w:szCs w:val="28"/>
        </w:rPr>
        <w:t xml:space="preserve">in fact </w:t>
      </w:r>
      <w:r w:rsidRPr="00D14F16">
        <w:rPr>
          <w:szCs w:val="28"/>
        </w:rPr>
        <w:t xml:space="preserve">obliged </w:t>
      </w:r>
      <w:r w:rsidR="00045733">
        <w:rPr>
          <w:szCs w:val="28"/>
        </w:rPr>
        <w:t xml:space="preserve">without being asked to do so by TVB and </w:t>
      </w:r>
      <w:r w:rsidRPr="00D14F16">
        <w:rPr>
          <w:szCs w:val="28"/>
        </w:rPr>
        <w:t>at no cost to</w:t>
      </w:r>
      <w:r w:rsidR="00045733">
        <w:rPr>
          <w:szCs w:val="28"/>
        </w:rPr>
        <w:t xml:space="preserve"> the television station</w:t>
      </w:r>
      <w:r w:rsidRPr="00D14F16">
        <w:rPr>
          <w:szCs w:val="28"/>
        </w:rPr>
        <w:t xml:space="preserve">, </w:t>
      </w:r>
      <w:r w:rsidR="0055481E">
        <w:rPr>
          <w:szCs w:val="28"/>
        </w:rPr>
        <w:t xml:space="preserve">having been engaged and paid to </w:t>
      </w:r>
      <w:r w:rsidR="00391B4B" w:rsidRPr="00D14F16">
        <w:rPr>
          <w:szCs w:val="28"/>
        </w:rPr>
        <w:t xml:space="preserve">appear on the show </w:t>
      </w:r>
      <w:r w:rsidR="0055481E">
        <w:rPr>
          <w:szCs w:val="28"/>
        </w:rPr>
        <w:t xml:space="preserve">by </w:t>
      </w:r>
      <w:r w:rsidRPr="00D14F16">
        <w:rPr>
          <w:szCs w:val="28"/>
        </w:rPr>
        <w:t>OC via IEAP.  Thus</w:t>
      </w:r>
      <w:r w:rsidR="005F4E4A" w:rsidRPr="00D14F16">
        <w:rPr>
          <w:szCs w:val="28"/>
        </w:rPr>
        <w:t xml:space="preserve">, on the Court of Appeal’s </w:t>
      </w:r>
      <w:r w:rsidR="00E77B1B">
        <w:rPr>
          <w:szCs w:val="28"/>
        </w:rPr>
        <w:t>reasoning</w:t>
      </w:r>
      <w:r w:rsidR="005F4E4A" w:rsidRPr="00D14F16">
        <w:rPr>
          <w:szCs w:val="28"/>
        </w:rPr>
        <w:t>, Chan’s</w:t>
      </w:r>
      <w:r w:rsidRPr="00D14F16">
        <w:rPr>
          <w:szCs w:val="28"/>
        </w:rPr>
        <w:t xml:space="preserve"> </w:t>
      </w:r>
      <w:r w:rsidR="00834E3A" w:rsidRPr="00D14F16">
        <w:rPr>
          <w:szCs w:val="28"/>
        </w:rPr>
        <w:t xml:space="preserve">conduct </w:t>
      </w:r>
      <w:r w:rsidR="0085418C">
        <w:rPr>
          <w:szCs w:val="28"/>
        </w:rPr>
        <w:t xml:space="preserve">was </w:t>
      </w:r>
      <w:r w:rsidRPr="00D14F16">
        <w:rPr>
          <w:szCs w:val="28"/>
        </w:rPr>
        <w:t xml:space="preserve">wholly in line with and </w:t>
      </w:r>
      <w:r w:rsidR="005F4E4A" w:rsidRPr="00D14F16">
        <w:rPr>
          <w:szCs w:val="28"/>
        </w:rPr>
        <w:t>beneficial to TVB’s interests</w:t>
      </w:r>
      <w:r w:rsidR="00ED6068" w:rsidRPr="00D14F16">
        <w:rPr>
          <w:szCs w:val="28"/>
        </w:rPr>
        <w:t>.</w:t>
      </w:r>
    </w:p>
    <w:p w:rsidR="00983DF6" w:rsidRPr="00084AC6" w:rsidRDefault="002F5E61" w:rsidP="00084AC6">
      <w:pPr>
        <w:pStyle w:val="Bob1"/>
        <w:tabs>
          <w:tab w:val="clear" w:pos="720"/>
          <w:tab w:val="left" w:pos="90"/>
          <w:tab w:val="left" w:pos="1440"/>
        </w:tabs>
        <w:ind w:left="0" w:firstLine="0"/>
        <w:jc w:val="both"/>
      </w:pPr>
      <w:r w:rsidRPr="00084AC6">
        <w:rPr>
          <w:szCs w:val="28"/>
        </w:rPr>
        <w:t xml:space="preserve">However, the joint judgment </w:t>
      </w:r>
      <w:r w:rsidR="0058101D" w:rsidRPr="00084AC6">
        <w:rPr>
          <w:szCs w:val="28"/>
        </w:rPr>
        <w:t xml:space="preserve">holds that </w:t>
      </w:r>
      <w:r w:rsidRPr="00084AC6">
        <w:rPr>
          <w:szCs w:val="28"/>
        </w:rPr>
        <w:t xml:space="preserve">Chan’s </w:t>
      </w:r>
      <w:r w:rsidR="00FA4BE7" w:rsidRPr="00084AC6">
        <w:rPr>
          <w:szCs w:val="28"/>
        </w:rPr>
        <w:t xml:space="preserve">conduct </w:t>
      </w:r>
      <w:r w:rsidR="0058101D" w:rsidRPr="00084AC6">
        <w:rPr>
          <w:szCs w:val="28"/>
        </w:rPr>
        <w:t>constitute</w:t>
      </w:r>
      <w:r w:rsidR="0055481E" w:rsidRPr="00084AC6">
        <w:rPr>
          <w:szCs w:val="28"/>
        </w:rPr>
        <w:t>d</w:t>
      </w:r>
      <w:r w:rsidR="0058101D" w:rsidRPr="00084AC6">
        <w:rPr>
          <w:szCs w:val="28"/>
        </w:rPr>
        <w:t xml:space="preserve"> </w:t>
      </w:r>
      <w:r w:rsidR="00FA4BE7" w:rsidRPr="00084AC6">
        <w:rPr>
          <w:szCs w:val="28"/>
        </w:rPr>
        <w:t xml:space="preserve">the section 9 offence by </w:t>
      </w:r>
      <w:r w:rsidRPr="00084AC6">
        <w:rPr>
          <w:szCs w:val="28"/>
        </w:rPr>
        <w:t xml:space="preserve">saying that </w:t>
      </w:r>
      <w:r w:rsidR="00FA4BE7" w:rsidRPr="00084AC6">
        <w:rPr>
          <w:szCs w:val="28"/>
        </w:rPr>
        <w:t xml:space="preserve">it </w:t>
      </w:r>
      <w:r w:rsidR="00FA4BE7" w:rsidRPr="00D14F16">
        <w:t>“related to”, would “</w:t>
      </w:r>
      <w:r w:rsidR="00FA4BE7" w:rsidRPr="00084AC6">
        <w:rPr>
          <w:rFonts w:eastAsia="PMingLiU"/>
          <w:spacing w:val="2"/>
          <w:szCs w:val="28"/>
          <w:lang w:eastAsia="zh-TW"/>
        </w:rPr>
        <w:t xml:space="preserve">influence or affect”, was “aimed at” or would “involve” TVB’s business or affairs </w:t>
      </w:r>
      <w:r w:rsidR="00216629" w:rsidRPr="00084AC6">
        <w:rPr>
          <w:rFonts w:eastAsia="PMingLiU"/>
          <w:spacing w:val="2"/>
          <w:szCs w:val="28"/>
          <w:lang w:eastAsia="zh-TW"/>
        </w:rPr>
        <w:t>in that</w:t>
      </w:r>
      <w:r w:rsidR="00FA4BE7" w:rsidRPr="00084AC6">
        <w:rPr>
          <w:rFonts w:eastAsia="PMingLiU"/>
          <w:spacing w:val="2"/>
          <w:szCs w:val="28"/>
          <w:lang w:eastAsia="zh-TW"/>
        </w:rPr>
        <w:t xml:space="preserve"> </w:t>
      </w:r>
      <w:r w:rsidRPr="00084AC6">
        <w:rPr>
          <w:szCs w:val="28"/>
        </w:rPr>
        <w:t xml:space="preserve">TVB’s business </w:t>
      </w:r>
      <w:r w:rsidR="00FA4BE7" w:rsidRPr="00084AC6">
        <w:rPr>
          <w:szCs w:val="28"/>
        </w:rPr>
        <w:t xml:space="preserve">would have been prejudicially affected </w:t>
      </w:r>
      <w:r w:rsidRPr="00084AC6">
        <w:rPr>
          <w:szCs w:val="28"/>
        </w:rPr>
        <w:t>if Chan</w:t>
      </w:r>
      <w:r w:rsidR="00A7296C" w:rsidRPr="00084AC6">
        <w:rPr>
          <w:szCs w:val="28"/>
        </w:rPr>
        <w:t xml:space="preserve"> had</w:t>
      </w:r>
      <w:r w:rsidRPr="00084AC6">
        <w:rPr>
          <w:szCs w:val="28"/>
        </w:rPr>
        <w:t xml:space="preserve"> </w:t>
      </w:r>
      <w:r w:rsidRPr="00084AC6">
        <w:rPr>
          <w:i/>
          <w:szCs w:val="28"/>
        </w:rPr>
        <w:t>refused</w:t>
      </w:r>
      <w:r w:rsidRPr="00084AC6">
        <w:rPr>
          <w:szCs w:val="28"/>
        </w:rPr>
        <w:t xml:space="preserve"> to perform (as he was entitled to under his contract) </w:t>
      </w:r>
      <w:r w:rsidR="00391B4B" w:rsidRPr="00084AC6">
        <w:rPr>
          <w:szCs w:val="28"/>
        </w:rPr>
        <w:t xml:space="preserve">because </w:t>
      </w:r>
      <w:r w:rsidRPr="00084AC6">
        <w:rPr>
          <w:szCs w:val="28"/>
        </w:rPr>
        <w:t xml:space="preserve">audience ratings would </w:t>
      </w:r>
      <w:r w:rsidR="00FA4BE7" w:rsidRPr="00084AC6">
        <w:rPr>
          <w:szCs w:val="28"/>
        </w:rPr>
        <w:t xml:space="preserve">have </w:t>
      </w:r>
      <w:r w:rsidRPr="00084AC6">
        <w:rPr>
          <w:szCs w:val="28"/>
        </w:rPr>
        <w:t>be</w:t>
      </w:r>
      <w:r w:rsidR="00FA4BE7" w:rsidRPr="00084AC6">
        <w:rPr>
          <w:szCs w:val="28"/>
        </w:rPr>
        <w:t>en</w:t>
      </w:r>
      <w:r w:rsidRPr="00084AC6">
        <w:rPr>
          <w:szCs w:val="28"/>
        </w:rPr>
        <w:t xml:space="preserve"> adversely affected</w:t>
      </w:r>
      <w:r w:rsidR="00391B4B" w:rsidRPr="00084AC6">
        <w:rPr>
          <w:szCs w:val="28"/>
        </w:rPr>
        <w:t xml:space="preserve">, </w:t>
      </w:r>
      <w:r w:rsidRPr="00084AC6">
        <w:rPr>
          <w:szCs w:val="28"/>
        </w:rPr>
        <w:t xml:space="preserve">alternative </w:t>
      </w:r>
      <w:r w:rsidR="00A7296C" w:rsidRPr="00084AC6">
        <w:rPr>
          <w:szCs w:val="28"/>
        </w:rPr>
        <w:t xml:space="preserve">programming </w:t>
      </w:r>
      <w:r w:rsidRPr="00084AC6">
        <w:rPr>
          <w:szCs w:val="28"/>
        </w:rPr>
        <w:t>arrangements</w:t>
      </w:r>
      <w:r w:rsidR="00834E3A" w:rsidRPr="00084AC6">
        <w:rPr>
          <w:szCs w:val="28"/>
        </w:rPr>
        <w:t xml:space="preserve"> </w:t>
      </w:r>
      <w:r w:rsidR="0055481E" w:rsidRPr="00084AC6">
        <w:rPr>
          <w:szCs w:val="28"/>
        </w:rPr>
        <w:t xml:space="preserve">might have been necessary </w:t>
      </w:r>
      <w:r w:rsidR="00834E3A" w:rsidRPr="00084AC6">
        <w:rPr>
          <w:szCs w:val="28"/>
        </w:rPr>
        <w:t>and TVB’s contractual relationship with OC</w:t>
      </w:r>
      <w:r w:rsidR="004A6F51" w:rsidRPr="00084AC6">
        <w:rPr>
          <w:szCs w:val="28"/>
        </w:rPr>
        <w:t xml:space="preserve"> might have been affected</w:t>
      </w:r>
      <w:r w:rsidRPr="00084AC6">
        <w:rPr>
          <w:szCs w:val="28"/>
        </w:rPr>
        <w:t xml:space="preserve">.  </w:t>
      </w:r>
      <w:r w:rsidR="00A7296C" w:rsidRPr="00084AC6">
        <w:rPr>
          <w:szCs w:val="28"/>
        </w:rPr>
        <w:t>T</w:t>
      </w:r>
      <w:r w:rsidR="006C0A67" w:rsidRPr="00084AC6">
        <w:rPr>
          <w:szCs w:val="28"/>
        </w:rPr>
        <w:t>his is t</w:t>
      </w:r>
      <w:r w:rsidR="00FA4BE7" w:rsidRPr="00084AC6">
        <w:rPr>
          <w:szCs w:val="28"/>
        </w:rPr>
        <w:t>o</w:t>
      </w:r>
      <w:r w:rsidR="00ED6068" w:rsidRPr="00084AC6">
        <w:rPr>
          <w:szCs w:val="28"/>
        </w:rPr>
        <w:t xml:space="preserve"> assert</w:t>
      </w:r>
      <w:r w:rsidR="006C0A67" w:rsidRPr="00084AC6">
        <w:rPr>
          <w:szCs w:val="28"/>
        </w:rPr>
        <w:t xml:space="preserve"> </w:t>
      </w:r>
      <w:r w:rsidR="00FA4BE7" w:rsidRPr="00084AC6">
        <w:rPr>
          <w:szCs w:val="28"/>
        </w:rPr>
        <w:t xml:space="preserve">that </w:t>
      </w:r>
      <w:r w:rsidR="00A7296C" w:rsidRPr="00084AC6">
        <w:rPr>
          <w:szCs w:val="28"/>
        </w:rPr>
        <w:t xml:space="preserve">Chan committed the offence because </w:t>
      </w:r>
      <w:r w:rsidR="00FA4BE7" w:rsidRPr="00084AC6">
        <w:rPr>
          <w:szCs w:val="28"/>
        </w:rPr>
        <w:t xml:space="preserve">TVB would have been prejudiced if Chan </w:t>
      </w:r>
      <w:r w:rsidR="00FA4BE7" w:rsidRPr="00084AC6">
        <w:rPr>
          <w:i/>
          <w:szCs w:val="28"/>
        </w:rPr>
        <w:t>did not</w:t>
      </w:r>
      <w:r w:rsidR="00FA4BE7" w:rsidRPr="00084AC6">
        <w:rPr>
          <w:szCs w:val="28"/>
        </w:rPr>
        <w:t xml:space="preserve"> act </w:t>
      </w:r>
      <w:r w:rsidR="00FB60B7" w:rsidRPr="00084AC6">
        <w:rPr>
          <w:szCs w:val="28"/>
        </w:rPr>
        <w:t xml:space="preserve">in the beneficial way in which </w:t>
      </w:r>
      <w:r w:rsidR="00FA4BE7" w:rsidRPr="00084AC6">
        <w:rPr>
          <w:szCs w:val="28"/>
        </w:rPr>
        <w:t xml:space="preserve">he was induced </w:t>
      </w:r>
      <w:r w:rsidR="00FB60B7" w:rsidRPr="00084AC6">
        <w:rPr>
          <w:szCs w:val="28"/>
        </w:rPr>
        <w:t xml:space="preserve">to act </w:t>
      </w:r>
      <w:r w:rsidR="00A7296C" w:rsidRPr="00084AC6">
        <w:rPr>
          <w:szCs w:val="28"/>
        </w:rPr>
        <w:t>by remuneration from OC</w:t>
      </w:r>
      <w:r w:rsidR="006C0A67" w:rsidRPr="00084AC6">
        <w:rPr>
          <w:szCs w:val="28"/>
        </w:rPr>
        <w:t>.</w:t>
      </w:r>
      <w:r w:rsidR="00FA4BE7" w:rsidRPr="00084AC6">
        <w:rPr>
          <w:szCs w:val="28"/>
        </w:rPr>
        <w:t xml:space="preserve"> </w:t>
      </w:r>
      <w:r w:rsidR="006C0A67" w:rsidRPr="00084AC6">
        <w:rPr>
          <w:szCs w:val="28"/>
        </w:rPr>
        <w:t xml:space="preserve"> </w:t>
      </w:r>
      <w:r w:rsidR="00CE07CC" w:rsidRPr="00084AC6">
        <w:rPr>
          <w:szCs w:val="28"/>
        </w:rPr>
        <w:t>Such reasoning</w:t>
      </w:r>
      <w:r w:rsidR="00ED6068" w:rsidRPr="00084AC6">
        <w:rPr>
          <w:szCs w:val="28"/>
        </w:rPr>
        <w:t xml:space="preserve"> appears to turn the policy of section 9 on its head.</w:t>
      </w:r>
    </w:p>
    <w:p w:rsidR="00FB60B7" w:rsidRPr="00D14F16" w:rsidRDefault="00391B4B" w:rsidP="00084AC6">
      <w:pPr>
        <w:pStyle w:val="Bob1"/>
        <w:tabs>
          <w:tab w:val="clear" w:pos="720"/>
          <w:tab w:val="left" w:pos="90"/>
          <w:tab w:val="left" w:pos="1440"/>
        </w:tabs>
        <w:ind w:left="0" w:firstLine="0"/>
        <w:jc w:val="both"/>
      </w:pPr>
      <w:r w:rsidRPr="00D14F16">
        <w:t>T</w:t>
      </w:r>
      <w:r w:rsidR="00FB60B7" w:rsidRPr="00D14F16">
        <w:t xml:space="preserve">he joint judgment </w:t>
      </w:r>
      <w:r w:rsidRPr="00D14F16">
        <w:t>did not regard this as a difficulty</w:t>
      </w:r>
      <w:r w:rsidR="003C15A3" w:rsidRPr="00D14F16">
        <w:t>,</w:t>
      </w:r>
      <w:r w:rsidRPr="00D14F16">
        <w:t xml:space="preserve"> </w:t>
      </w:r>
      <w:r w:rsidR="0085418C">
        <w:t xml:space="preserve">taking the view </w:t>
      </w:r>
      <w:r w:rsidR="003C15A3" w:rsidRPr="00D14F16">
        <w:t xml:space="preserve">that </w:t>
      </w:r>
      <w:r w:rsidR="00FB60B7" w:rsidRPr="00D14F16">
        <w:t xml:space="preserve">lack </w:t>
      </w:r>
      <w:r w:rsidR="00983DF6" w:rsidRPr="00D14F16">
        <w:t>of prejudice to the principal</w:t>
      </w:r>
      <w:r w:rsidR="003C15A3" w:rsidRPr="00D14F16">
        <w:t xml:space="preserve">’s </w:t>
      </w:r>
      <w:r w:rsidR="00ED6068" w:rsidRPr="00D14F16">
        <w:t xml:space="preserve">affairs or </w:t>
      </w:r>
      <w:r w:rsidR="003C15A3" w:rsidRPr="00D14F16">
        <w:t>business</w:t>
      </w:r>
      <w:r w:rsidR="00983DF6" w:rsidRPr="00D14F16">
        <w:t xml:space="preserve"> was irrelevant:</w:t>
      </w:r>
      <w:r w:rsidR="00FB60B7" w:rsidRPr="00D14F16">
        <w:t xml:space="preserve"> </w:t>
      </w:r>
    </w:p>
    <w:p w:rsidR="00983DF6" w:rsidRPr="00D14F16" w:rsidRDefault="00FB60B7" w:rsidP="00084AC6">
      <w:pPr>
        <w:pStyle w:val="Bob1"/>
        <w:numPr>
          <w:ilvl w:val="0"/>
          <w:numId w:val="0"/>
        </w:numPr>
        <w:spacing w:line="240" w:lineRule="auto"/>
        <w:ind w:left="720"/>
        <w:jc w:val="both"/>
        <w:rPr>
          <w:sz w:val="24"/>
        </w:rPr>
      </w:pPr>
      <w:r w:rsidRPr="00D14F16">
        <w:rPr>
          <w:sz w:val="24"/>
        </w:rPr>
        <w:t>“</w:t>
      </w:r>
      <w:r w:rsidR="00983DF6" w:rsidRPr="00D14F16">
        <w:rPr>
          <w:rFonts w:eastAsia="PMingLiU"/>
          <w:sz w:val="24"/>
          <w:szCs w:val="28"/>
          <w:lang w:eastAsia="zh-TW"/>
        </w:rPr>
        <w:t xml:space="preserve">What section 9(1)(a) requires is that the act of the agent is done in relation to his principal’s affairs or business.  There is no requirement that the agent’s act has to cause prejudice to his principal’s affairs or business.  </w:t>
      </w:r>
      <w:proofErr w:type="spellStart"/>
      <w:r w:rsidR="00983DF6" w:rsidRPr="00D14F16">
        <w:rPr>
          <w:rFonts w:eastAsia="PMingLiU"/>
          <w:i/>
          <w:sz w:val="24"/>
          <w:szCs w:val="28"/>
          <w:lang w:eastAsia="zh-TW"/>
        </w:rPr>
        <w:t>Ch’ng</w:t>
      </w:r>
      <w:proofErr w:type="spellEnd"/>
      <w:r w:rsidR="00983DF6" w:rsidRPr="00D14F16">
        <w:rPr>
          <w:rFonts w:eastAsia="PMingLiU"/>
          <w:i/>
          <w:sz w:val="24"/>
          <w:szCs w:val="28"/>
          <w:lang w:eastAsia="zh-TW"/>
        </w:rPr>
        <w:t xml:space="preserve"> </w:t>
      </w:r>
      <w:proofErr w:type="spellStart"/>
      <w:r w:rsidR="00983DF6" w:rsidRPr="00D14F16">
        <w:rPr>
          <w:rFonts w:eastAsia="PMingLiU"/>
          <w:i/>
          <w:sz w:val="24"/>
          <w:szCs w:val="28"/>
          <w:lang w:eastAsia="zh-TW"/>
        </w:rPr>
        <w:t>Poh</w:t>
      </w:r>
      <w:proofErr w:type="spellEnd"/>
      <w:r w:rsidR="00983DF6" w:rsidRPr="00D14F16">
        <w:rPr>
          <w:rFonts w:eastAsia="PMingLiU"/>
          <w:sz w:val="24"/>
          <w:szCs w:val="28"/>
          <w:lang w:eastAsia="zh-TW"/>
        </w:rPr>
        <w:t xml:space="preserve"> further explained that the phrase </w:t>
      </w:r>
      <w:r w:rsidRPr="00D14F16">
        <w:rPr>
          <w:rFonts w:eastAsia="PMingLiU"/>
          <w:sz w:val="24"/>
          <w:szCs w:val="28"/>
          <w:lang w:eastAsia="zh-TW"/>
        </w:rPr>
        <w:t>‘</w:t>
      </w:r>
      <w:r w:rsidR="00983DF6" w:rsidRPr="00D14F16">
        <w:rPr>
          <w:rFonts w:eastAsia="PMingLiU"/>
          <w:sz w:val="24"/>
          <w:szCs w:val="28"/>
          <w:lang w:eastAsia="zh-TW"/>
        </w:rPr>
        <w:t>in relation to his principal’s affairs or business</w:t>
      </w:r>
      <w:r w:rsidRPr="00D14F16">
        <w:rPr>
          <w:rFonts w:eastAsia="PMingLiU"/>
          <w:sz w:val="24"/>
          <w:szCs w:val="28"/>
          <w:lang w:eastAsia="zh-TW"/>
        </w:rPr>
        <w:t>’</w:t>
      </w:r>
      <w:r w:rsidR="00983DF6" w:rsidRPr="00D14F16">
        <w:rPr>
          <w:rFonts w:eastAsia="PMingLiU"/>
          <w:sz w:val="24"/>
          <w:szCs w:val="28"/>
          <w:lang w:eastAsia="zh-TW"/>
        </w:rPr>
        <w:t xml:space="preserve"> meant that the agent’s act would influence or affect </w:t>
      </w:r>
      <w:r w:rsidR="00983DF6" w:rsidRPr="00D14F16">
        <w:rPr>
          <w:rFonts w:eastAsia="宋体"/>
          <w:sz w:val="24"/>
          <w:szCs w:val="28"/>
        </w:rPr>
        <w:t>his</w:t>
      </w:r>
      <w:r w:rsidR="00983DF6" w:rsidRPr="00D14F16">
        <w:rPr>
          <w:rFonts w:eastAsia="PMingLiU"/>
          <w:sz w:val="24"/>
          <w:szCs w:val="28"/>
          <w:lang w:eastAsia="zh-TW"/>
        </w:rPr>
        <w:t xml:space="preserve"> principal’s affairs, would involve his principal, and was aimed </w:t>
      </w:r>
      <w:r w:rsidR="00983DF6" w:rsidRPr="00D14F16">
        <w:rPr>
          <w:rFonts w:eastAsia="PMingLiU"/>
          <w:sz w:val="24"/>
          <w:szCs w:val="28"/>
          <w:lang w:eastAsia="zh-TW"/>
        </w:rPr>
        <w:lastRenderedPageBreak/>
        <w:t xml:space="preserve">at </w:t>
      </w:r>
      <w:r w:rsidR="00983DF6" w:rsidRPr="00D14F16">
        <w:rPr>
          <w:rFonts w:eastAsia="宋体"/>
          <w:sz w:val="24"/>
          <w:szCs w:val="28"/>
        </w:rPr>
        <w:t>his</w:t>
      </w:r>
      <w:r w:rsidR="00983DF6" w:rsidRPr="00D14F16">
        <w:rPr>
          <w:rFonts w:eastAsia="PMingLiU"/>
          <w:sz w:val="24"/>
          <w:szCs w:val="28"/>
          <w:lang w:eastAsia="zh-TW"/>
        </w:rPr>
        <w:t xml:space="preserve"> principal.  </w:t>
      </w:r>
      <w:proofErr w:type="spellStart"/>
      <w:r w:rsidR="00983DF6" w:rsidRPr="00D14F16">
        <w:rPr>
          <w:rFonts w:eastAsia="PMingLiU"/>
          <w:i/>
          <w:sz w:val="24"/>
          <w:szCs w:val="28"/>
          <w:lang w:eastAsia="zh-TW"/>
        </w:rPr>
        <w:t>Ch’ng</w:t>
      </w:r>
      <w:proofErr w:type="spellEnd"/>
      <w:r w:rsidR="00983DF6" w:rsidRPr="00D14F16">
        <w:rPr>
          <w:rFonts w:eastAsia="PMingLiU"/>
          <w:i/>
          <w:sz w:val="24"/>
          <w:szCs w:val="28"/>
          <w:lang w:eastAsia="zh-TW"/>
        </w:rPr>
        <w:t xml:space="preserve"> </w:t>
      </w:r>
      <w:proofErr w:type="spellStart"/>
      <w:r w:rsidR="00983DF6" w:rsidRPr="00D14F16">
        <w:rPr>
          <w:rFonts w:eastAsia="PMingLiU"/>
          <w:i/>
          <w:sz w:val="24"/>
          <w:szCs w:val="28"/>
          <w:lang w:eastAsia="zh-TW"/>
        </w:rPr>
        <w:t>Poh</w:t>
      </w:r>
      <w:proofErr w:type="spellEnd"/>
      <w:r w:rsidR="00983DF6" w:rsidRPr="00D14F16">
        <w:rPr>
          <w:rFonts w:eastAsia="PMingLiU"/>
          <w:sz w:val="24"/>
          <w:szCs w:val="28"/>
          <w:lang w:eastAsia="zh-TW"/>
        </w:rPr>
        <w:t xml:space="preserve"> did not say that the </w:t>
      </w:r>
      <w:r w:rsidRPr="00D14F16">
        <w:rPr>
          <w:rFonts w:eastAsia="PMingLiU"/>
          <w:sz w:val="24"/>
          <w:szCs w:val="28"/>
          <w:lang w:eastAsia="zh-TW"/>
        </w:rPr>
        <w:t>‘</w:t>
      </w:r>
      <w:r w:rsidR="00983DF6" w:rsidRPr="00D14F16">
        <w:rPr>
          <w:rFonts w:eastAsia="PMingLiU"/>
          <w:sz w:val="24"/>
          <w:szCs w:val="28"/>
          <w:lang w:eastAsia="zh-TW"/>
        </w:rPr>
        <w:t>influence</w:t>
      </w:r>
      <w:r w:rsidRPr="00D14F16">
        <w:rPr>
          <w:rFonts w:eastAsia="PMingLiU"/>
          <w:sz w:val="24"/>
          <w:szCs w:val="28"/>
          <w:lang w:eastAsia="zh-TW"/>
        </w:rPr>
        <w:t>’</w:t>
      </w:r>
      <w:r w:rsidR="00983DF6" w:rsidRPr="00D14F16">
        <w:rPr>
          <w:rFonts w:eastAsia="PMingLiU"/>
          <w:sz w:val="24"/>
          <w:szCs w:val="28"/>
          <w:lang w:eastAsia="zh-TW"/>
        </w:rPr>
        <w:t xml:space="preserve"> or </w:t>
      </w:r>
      <w:r w:rsidRPr="00D14F16">
        <w:rPr>
          <w:rFonts w:eastAsia="PMingLiU"/>
          <w:sz w:val="24"/>
          <w:szCs w:val="28"/>
          <w:lang w:eastAsia="zh-TW"/>
        </w:rPr>
        <w:t>‘</w:t>
      </w:r>
      <w:r w:rsidR="00983DF6" w:rsidRPr="00D14F16">
        <w:rPr>
          <w:rFonts w:eastAsia="PMingLiU"/>
          <w:sz w:val="24"/>
          <w:szCs w:val="28"/>
          <w:lang w:eastAsia="zh-TW"/>
        </w:rPr>
        <w:t>effect</w:t>
      </w:r>
      <w:r w:rsidRPr="00D14F16">
        <w:rPr>
          <w:rFonts w:eastAsia="PMingLiU"/>
          <w:sz w:val="24"/>
          <w:szCs w:val="28"/>
          <w:lang w:eastAsia="zh-TW"/>
        </w:rPr>
        <w:t>’</w:t>
      </w:r>
      <w:r w:rsidR="00983DF6" w:rsidRPr="00D14F16">
        <w:rPr>
          <w:rFonts w:eastAsia="PMingLiU"/>
          <w:sz w:val="24"/>
          <w:szCs w:val="28"/>
          <w:lang w:eastAsia="zh-TW"/>
        </w:rPr>
        <w:t xml:space="preserve"> must be adverse, and the parties agreed that the term </w:t>
      </w:r>
      <w:r w:rsidRPr="00D14F16">
        <w:rPr>
          <w:rFonts w:eastAsia="PMingLiU"/>
          <w:sz w:val="24"/>
          <w:szCs w:val="28"/>
          <w:lang w:eastAsia="zh-TW"/>
        </w:rPr>
        <w:t>‘</w:t>
      </w:r>
      <w:r w:rsidR="00983DF6" w:rsidRPr="00D14F16">
        <w:rPr>
          <w:rFonts w:eastAsia="PMingLiU"/>
          <w:sz w:val="24"/>
          <w:szCs w:val="28"/>
          <w:lang w:eastAsia="zh-TW"/>
        </w:rPr>
        <w:t>aimed at</w:t>
      </w:r>
      <w:r w:rsidRPr="00D14F16">
        <w:rPr>
          <w:rFonts w:eastAsia="PMingLiU"/>
          <w:sz w:val="24"/>
          <w:szCs w:val="28"/>
          <w:lang w:eastAsia="zh-TW"/>
        </w:rPr>
        <w:t>’</w:t>
      </w:r>
      <w:r w:rsidR="00983DF6" w:rsidRPr="00D14F16">
        <w:rPr>
          <w:rFonts w:eastAsia="PMingLiU"/>
          <w:sz w:val="24"/>
          <w:szCs w:val="28"/>
          <w:lang w:eastAsia="zh-TW"/>
        </w:rPr>
        <w:t xml:space="preserve"> d</w:t>
      </w:r>
      <w:r w:rsidR="00983DF6" w:rsidRPr="00D14F16">
        <w:rPr>
          <w:rFonts w:eastAsia="宋体"/>
          <w:sz w:val="24"/>
          <w:szCs w:val="28"/>
        </w:rPr>
        <w:t>oes</w:t>
      </w:r>
      <w:r w:rsidR="00983DF6" w:rsidRPr="00D14F16">
        <w:rPr>
          <w:rFonts w:eastAsia="PMingLiU"/>
          <w:sz w:val="24"/>
          <w:szCs w:val="28"/>
          <w:lang w:eastAsia="zh-TW"/>
        </w:rPr>
        <w:t xml:space="preserve"> not carry a negative meaning.</w:t>
      </w:r>
      <w:r w:rsidRPr="00D14F16">
        <w:rPr>
          <w:rStyle w:val="FootnoteReference"/>
          <w:rFonts w:eastAsia="PMingLiU"/>
          <w:sz w:val="24"/>
          <w:szCs w:val="28"/>
          <w:lang w:eastAsia="zh-TW"/>
        </w:rPr>
        <w:footnoteReference w:id="20"/>
      </w:r>
    </w:p>
    <w:p w:rsidR="00983DF6" w:rsidRPr="00D14F16" w:rsidRDefault="00FB60B7" w:rsidP="00084AC6">
      <w:pPr>
        <w:pStyle w:val="Bob1"/>
        <w:numPr>
          <w:ilvl w:val="0"/>
          <w:numId w:val="0"/>
        </w:numPr>
        <w:jc w:val="distribute"/>
      </w:pPr>
      <w:r w:rsidRPr="00D14F16">
        <w:t xml:space="preserve">In support of this view, reliance was placed on the Court of Appeal’s earlier decision in </w:t>
      </w:r>
      <w:r w:rsidRPr="00D14F16">
        <w:rPr>
          <w:rFonts w:eastAsia="PMingLiU"/>
          <w:i/>
          <w:szCs w:val="28"/>
          <w:lang w:eastAsia="zh-TW"/>
        </w:rPr>
        <w:t xml:space="preserve">HKSAR v Fung </w:t>
      </w:r>
      <w:proofErr w:type="spellStart"/>
      <w:r w:rsidRPr="00D14F16">
        <w:rPr>
          <w:rFonts w:eastAsia="PMingLiU"/>
          <w:i/>
          <w:szCs w:val="28"/>
          <w:lang w:eastAsia="zh-TW"/>
        </w:rPr>
        <w:t>Hok</w:t>
      </w:r>
      <w:proofErr w:type="spellEnd"/>
      <w:r w:rsidRPr="00D14F16">
        <w:rPr>
          <w:rFonts w:eastAsia="PMingLiU"/>
          <w:i/>
          <w:szCs w:val="28"/>
          <w:lang w:eastAsia="zh-TW"/>
        </w:rPr>
        <w:t xml:space="preserve"> Cheung</w:t>
      </w:r>
      <w:r w:rsidRPr="00D14F16">
        <w:rPr>
          <w:rFonts w:eastAsia="PMingLiU"/>
          <w:szCs w:val="28"/>
          <w:lang w:eastAsia="zh-TW"/>
        </w:rPr>
        <w:t>,</w:t>
      </w:r>
      <w:r w:rsidRPr="00D14F16">
        <w:rPr>
          <w:rStyle w:val="FootnoteReference"/>
          <w:rFonts w:eastAsia="PMingLiU"/>
          <w:szCs w:val="28"/>
          <w:lang w:eastAsia="zh-TW"/>
        </w:rPr>
        <w:footnoteReference w:id="21"/>
      </w:r>
      <w:r w:rsidRPr="00D14F16">
        <w:rPr>
          <w:rFonts w:eastAsia="PMingLiU"/>
          <w:szCs w:val="28"/>
          <w:lang w:eastAsia="zh-TW"/>
        </w:rPr>
        <w:t xml:space="preserve"> to which I shall return.</w:t>
      </w:r>
      <w:r w:rsidR="0085418C">
        <w:rPr>
          <w:rStyle w:val="FootnoteReference"/>
          <w:rFonts w:eastAsia="PMingLiU"/>
          <w:szCs w:val="28"/>
          <w:lang w:eastAsia="zh-TW"/>
        </w:rPr>
        <w:footnoteReference w:id="22"/>
      </w:r>
    </w:p>
    <w:p w:rsidR="00834E3A" w:rsidRPr="00D14F16" w:rsidRDefault="00834E3A" w:rsidP="00084AC6">
      <w:pPr>
        <w:pStyle w:val="Bob1"/>
        <w:tabs>
          <w:tab w:val="clear" w:pos="720"/>
          <w:tab w:val="left" w:pos="1440"/>
        </w:tabs>
        <w:ind w:left="0" w:firstLine="0"/>
        <w:jc w:val="both"/>
      </w:pPr>
      <w:r w:rsidRPr="00D14F16">
        <w:rPr>
          <w:szCs w:val="28"/>
        </w:rPr>
        <w:t>Cheung JA, in a concurring judgment</w:t>
      </w:r>
      <w:r w:rsidR="00FB60B7" w:rsidRPr="00D14F16">
        <w:rPr>
          <w:szCs w:val="28"/>
        </w:rPr>
        <w:t xml:space="preserve">, </w:t>
      </w:r>
      <w:r w:rsidR="00045733">
        <w:rPr>
          <w:szCs w:val="28"/>
        </w:rPr>
        <w:t xml:space="preserve">gave different reasons for </w:t>
      </w:r>
      <w:r w:rsidR="00FB60B7" w:rsidRPr="00D14F16">
        <w:rPr>
          <w:szCs w:val="28"/>
        </w:rPr>
        <w:t>holding that Chan</w:t>
      </w:r>
      <w:r w:rsidR="00391B4B" w:rsidRPr="00D14F16">
        <w:rPr>
          <w:szCs w:val="28"/>
        </w:rPr>
        <w:t>’s performance</w:t>
      </w:r>
      <w:r w:rsidR="00FB60B7" w:rsidRPr="00D14F16">
        <w:rPr>
          <w:szCs w:val="28"/>
        </w:rPr>
        <w:t xml:space="preserve"> was an act in relation to his principal's affairs within the meaning of section 9.  His Lordship </w:t>
      </w:r>
      <w:r w:rsidR="00E10D12" w:rsidRPr="00D14F16">
        <w:rPr>
          <w:szCs w:val="28"/>
        </w:rPr>
        <w:t>stated:</w:t>
      </w:r>
    </w:p>
    <w:p w:rsidR="00E10D12" w:rsidRPr="00D14F16" w:rsidRDefault="00E10D12" w:rsidP="00084AC6">
      <w:pPr>
        <w:pStyle w:val="Bob1"/>
        <w:numPr>
          <w:ilvl w:val="0"/>
          <w:numId w:val="0"/>
        </w:numPr>
        <w:spacing w:line="240" w:lineRule="auto"/>
        <w:ind w:left="720"/>
        <w:jc w:val="both"/>
        <w:rPr>
          <w:rFonts w:eastAsia="PMingLiU"/>
          <w:sz w:val="24"/>
          <w:szCs w:val="28"/>
          <w:lang w:eastAsia="zh-TW"/>
        </w:rPr>
      </w:pPr>
      <w:r w:rsidRPr="00D14F16">
        <w:rPr>
          <w:sz w:val="24"/>
          <w:szCs w:val="28"/>
        </w:rPr>
        <w:t xml:space="preserve">“... </w:t>
      </w:r>
      <w:r w:rsidRPr="00D14F16">
        <w:rPr>
          <w:rFonts w:eastAsia="PMingLiU"/>
          <w:sz w:val="24"/>
          <w:szCs w:val="28"/>
          <w:lang w:eastAsia="zh-TW"/>
        </w:rPr>
        <w:t>Judge Poon overlooked the fact that besides being a celebrity or an artiste, the 1</w:t>
      </w:r>
      <w:r w:rsidRPr="00D14F16">
        <w:rPr>
          <w:rFonts w:eastAsia="PMingLiU"/>
          <w:sz w:val="24"/>
          <w:szCs w:val="28"/>
          <w:vertAlign w:val="superscript"/>
          <w:lang w:eastAsia="zh-TW"/>
        </w:rPr>
        <w:t>st</w:t>
      </w:r>
      <w:r w:rsidRPr="00D14F16">
        <w:rPr>
          <w:rFonts w:eastAsia="PMingLiU"/>
          <w:sz w:val="24"/>
          <w:szCs w:val="28"/>
          <w:lang w:eastAsia="zh-TW"/>
        </w:rPr>
        <w:t xml:space="preserve"> respondent was also General Manager (Broadcasting) of TVB, and therefore his acts were certainly related to TVB’s business.  This is because, on the facts, when TVB and Olympian City Management Ltd were planning the countdown event, they happened to put forward the same idea, to which they then agreed, of adding in a shopping mall version of </w:t>
      </w:r>
      <w:r w:rsidR="00164737" w:rsidRPr="00D14F16">
        <w:rPr>
          <w:rFonts w:eastAsia="PMingLiU"/>
          <w:sz w:val="24"/>
          <w:szCs w:val="28"/>
          <w:lang w:eastAsia="zh-TW"/>
        </w:rPr>
        <w:t>‘</w:t>
      </w:r>
      <w:r w:rsidRPr="00D14F16">
        <w:rPr>
          <w:rFonts w:eastAsia="PMingLiU"/>
          <w:sz w:val="24"/>
          <w:szCs w:val="28"/>
          <w:lang w:eastAsia="zh-TW"/>
        </w:rPr>
        <w:t>Be My Guest</w:t>
      </w:r>
      <w:r w:rsidR="00164737" w:rsidRPr="00D14F16">
        <w:rPr>
          <w:rFonts w:eastAsia="PMingLiU"/>
          <w:sz w:val="24"/>
          <w:szCs w:val="28"/>
          <w:lang w:eastAsia="zh-TW"/>
        </w:rPr>
        <w:t>’</w:t>
      </w:r>
      <w:r w:rsidRPr="00D14F16">
        <w:rPr>
          <w:rFonts w:eastAsia="PMingLiU"/>
          <w:sz w:val="24"/>
          <w:szCs w:val="28"/>
          <w:lang w:eastAsia="zh-TW"/>
        </w:rPr>
        <w:t xml:space="preserve"> as part of the event.  It follows that, if the 1</w:t>
      </w:r>
      <w:r w:rsidRPr="00D14F16">
        <w:rPr>
          <w:rFonts w:eastAsia="PMingLiU"/>
          <w:sz w:val="24"/>
          <w:szCs w:val="28"/>
          <w:vertAlign w:val="superscript"/>
          <w:lang w:eastAsia="zh-TW"/>
        </w:rPr>
        <w:t>st</w:t>
      </w:r>
      <w:r w:rsidRPr="00D14F16">
        <w:rPr>
          <w:rFonts w:eastAsia="PMingLiU"/>
          <w:sz w:val="24"/>
          <w:szCs w:val="28"/>
          <w:lang w:eastAsia="zh-TW"/>
        </w:rPr>
        <w:t xml:space="preserve"> respondent participated in that show and accepted money therefor, he would be </w:t>
      </w:r>
      <w:r w:rsidRPr="00D14F16">
        <w:rPr>
          <w:rFonts w:eastAsia="宋体"/>
          <w:sz w:val="24"/>
          <w:szCs w:val="28"/>
        </w:rPr>
        <w:t>doing an act</w:t>
      </w:r>
      <w:r w:rsidRPr="00D14F16">
        <w:rPr>
          <w:rFonts w:eastAsia="PMingLiU"/>
          <w:sz w:val="24"/>
          <w:szCs w:val="28"/>
          <w:lang w:eastAsia="zh-TW"/>
        </w:rPr>
        <w:t xml:space="preserve"> in relation to TVB’s business.”</w:t>
      </w:r>
      <w:r w:rsidRPr="00D14F16">
        <w:rPr>
          <w:rStyle w:val="FootnoteReference"/>
          <w:rFonts w:eastAsia="PMingLiU"/>
          <w:sz w:val="24"/>
          <w:szCs w:val="28"/>
          <w:lang w:eastAsia="zh-TW"/>
        </w:rPr>
        <w:footnoteReference w:id="23"/>
      </w:r>
    </w:p>
    <w:p w:rsidR="00FE128B" w:rsidRDefault="00FE128B" w:rsidP="00084AC6">
      <w:pPr>
        <w:pStyle w:val="Bob1"/>
        <w:tabs>
          <w:tab w:val="clear" w:pos="720"/>
          <w:tab w:val="num" w:pos="1440"/>
        </w:tabs>
        <w:ind w:left="0" w:firstLine="0"/>
        <w:jc w:val="both"/>
      </w:pPr>
      <w:r w:rsidRPr="00D14F16">
        <w:t>With respect, the proposition that Chan was General Manager (Broadcasting)</w:t>
      </w:r>
      <w:r w:rsidR="00947C1C" w:rsidRPr="00D14F16">
        <w:t xml:space="preserve"> and</w:t>
      </w:r>
      <w:r w:rsidRPr="00D14F16">
        <w:t xml:space="preserve"> “therefore” his acts “were certainly related to TVB’s business” is</w:t>
      </w:r>
      <w:r w:rsidR="00AF601B" w:rsidRPr="00D14F16">
        <w:t xml:space="preserve"> hard to</w:t>
      </w:r>
      <w:r w:rsidR="00045733">
        <w:t xml:space="preserve"> follow</w:t>
      </w:r>
      <w:r w:rsidRPr="00D14F16">
        <w:t xml:space="preserve">.  </w:t>
      </w:r>
      <w:r w:rsidR="0058101D" w:rsidRPr="00D14F16">
        <w:t>Chan’s appearance</w:t>
      </w:r>
      <w:r w:rsidR="00947C1C" w:rsidRPr="00D14F16">
        <w:t xml:space="preserve"> on the talk show </w:t>
      </w:r>
      <w:r w:rsidR="002B5B06">
        <w:t xml:space="preserve">had nothing to do with his being </w:t>
      </w:r>
      <w:r w:rsidRPr="00D14F16">
        <w:t>General Manager</w:t>
      </w:r>
      <w:r w:rsidR="00760ABA">
        <w:t xml:space="preserve"> </w:t>
      </w:r>
      <w:r w:rsidR="002B5B06" w:rsidRPr="00D14F16">
        <w:t>(Broadcasting)</w:t>
      </w:r>
      <w:r w:rsidR="00947C1C" w:rsidRPr="00D14F16">
        <w:t xml:space="preserve">.  </w:t>
      </w:r>
      <w:r w:rsidR="000D756C" w:rsidRPr="00D14F16">
        <w:t xml:space="preserve">Whether his hosting of the show </w:t>
      </w:r>
      <w:r w:rsidR="00045733">
        <w:t xml:space="preserve">did or did not qualify </w:t>
      </w:r>
      <w:r w:rsidR="000D756C" w:rsidRPr="00D14F16">
        <w:t>as an act “in relation to his principal</w:t>
      </w:r>
      <w:r w:rsidR="002B5B06">
        <w:t>'s affairs or business” required</w:t>
      </w:r>
      <w:r w:rsidR="000D756C" w:rsidRPr="00D14F16">
        <w:t xml:space="preserve"> </w:t>
      </w:r>
      <w:r w:rsidR="002B5B06">
        <w:t xml:space="preserve">examination </w:t>
      </w:r>
      <w:r w:rsidR="000D756C" w:rsidRPr="00D14F16">
        <w:t xml:space="preserve">of the relationship between that act and the principal’s affairs or business.  It </w:t>
      </w:r>
      <w:r w:rsidR="002B5B06">
        <w:t xml:space="preserve">was </w:t>
      </w:r>
      <w:r w:rsidR="000D756C" w:rsidRPr="00D14F16">
        <w:t xml:space="preserve">not determined </w:t>
      </w:r>
      <w:r w:rsidR="00947C1C" w:rsidRPr="00D14F16">
        <w:t xml:space="preserve">simply </w:t>
      </w:r>
      <w:r w:rsidR="000D756C" w:rsidRPr="00D14F16">
        <w:t xml:space="preserve">by pointing to </w:t>
      </w:r>
      <w:r w:rsidR="00947C1C" w:rsidRPr="00D14F16">
        <w:t xml:space="preserve">his </w:t>
      </w:r>
      <w:r w:rsidR="002B5B06">
        <w:t xml:space="preserve">managerial </w:t>
      </w:r>
      <w:r w:rsidRPr="00D14F16">
        <w:t>position</w:t>
      </w:r>
      <w:r w:rsidR="002B5B06">
        <w:t xml:space="preserve"> in TVB</w:t>
      </w:r>
      <w:r w:rsidRPr="00D14F16">
        <w:t xml:space="preserve">.  </w:t>
      </w:r>
    </w:p>
    <w:p w:rsidR="00E10D12" w:rsidRPr="00D14F16" w:rsidRDefault="00FE128B" w:rsidP="00084AC6">
      <w:pPr>
        <w:pStyle w:val="Bob1"/>
        <w:tabs>
          <w:tab w:val="clear" w:pos="720"/>
          <w:tab w:val="num" w:pos="1440"/>
        </w:tabs>
        <w:ind w:left="0" w:firstLine="0"/>
        <w:jc w:val="both"/>
      </w:pPr>
      <w:r w:rsidRPr="00D14F16">
        <w:t xml:space="preserve">Cheung JA </w:t>
      </w:r>
      <w:r w:rsidR="00E10D12" w:rsidRPr="00D14F16">
        <w:t xml:space="preserve">added (in the context of his discussion of </w:t>
      </w:r>
      <w:proofErr w:type="spellStart"/>
      <w:r w:rsidR="00E10D12" w:rsidRPr="00084AC6">
        <w:rPr>
          <w:i/>
        </w:rPr>
        <w:t>mens</w:t>
      </w:r>
      <w:proofErr w:type="spellEnd"/>
      <w:r w:rsidR="00E10D12" w:rsidRPr="00084AC6">
        <w:rPr>
          <w:i/>
        </w:rPr>
        <w:t xml:space="preserve"> rea</w:t>
      </w:r>
      <w:r w:rsidR="00E10D12" w:rsidRPr="00D14F16">
        <w:t>):</w:t>
      </w:r>
    </w:p>
    <w:p w:rsidR="00E10D12" w:rsidRPr="00D14F16" w:rsidRDefault="00E10D12" w:rsidP="00084AC6">
      <w:pPr>
        <w:pStyle w:val="Bob1"/>
        <w:numPr>
          <w:ilvl w:val="0"/>
          <w:numId w:val="0"/>
        </w:numPr>
        <w:spacing w:line="240" w:lineRule="auto"/>
        <w:ind w:left="720"/>
        <w:jc w:val="both"/>
        <w:rPr>
          <w:rFonts w:eastAsia="PMingLiU"/>
          <w:spacing w:val="2"/>
          <w:sz w:val="24"/>
          <w:szCs w:val="28"/>
          <w:lang w:eastAsia="zh-TW"/>
        </w:rPr>
      </w:pPr>
      <w:r w:rsidRPr="00D14F16">
        <w:rPr>
          <w:sz w:val="24"/>
        </w:rPr>
        <w:t>“</w:t>
      </w:r>
      <w:r w:rsidRPr="00D14F16">
        <w:rPr>
          <w:rFonts w:eastAsia="PMingLiU"/>
          <w:spacing w:val="2"/>
          <w:sz w:val="24"/>
          <w:szCs w:val="28"/>
          <w:lang w:eastAsia="zh-TW"/>
        </w:rPr>
        <w:t>Judge Poon considered that when the 1</w:t>
      </w:r>
      <w:r w:rsidRPr="00D14F16">
        <w:rPr>
          <w:rFonts w:eastAsia="PMingLiU"/>
          <w:spacing w:val="2"/>
          <w:sz w:val="24"/>
          <w:szCs w:val="28"/>
          <w:vertAlign w:val="superscript"/>
          <w:lang w:eastAsia="zh-TW"/>
        </w:rPr>
        <w:t>st</w:t>
      </w:r>
      <w:r w:rsidRPr="00D14F16">
        <w:rPr>
          <w:rFonts w:eastAsia="PMingLiU"/>
          <w:spacing w:val="2"/>
          <w:sz w:val="24"/>
          <w:szCs w:val="28"/>
          <w:lang w:eastAsia="zh-TW"/>
        </w:rPr>
        <w:t xml:space="preserve"> respondent </w:t>
      </w:r>
      <w:r w:rsidRPr="00D14F16">
        <w:rPr>
          <w:rFonts w:eastAsia="宋体"/>
          <w:spacing w:val="2"/>
          <w:sz w:val="24"/>
          <w:szCs w:val="28"/>
        </w:rPr>
        <w:t>agre</w:t>
      </w:r>
      <w:r w:rsidRPr="00D14F16">
        <w:rPr>
          <w:rFonts w:eastAsia="PMingLiU"/>
          <w:spacing w:val="2"/>
          <w:sz w:val="24"/>
          <w:szCs w:val="28"/>
          <w:lang w:eastAsia="zh-TW"/>
        </w:rPr>
        <w:t xml:space="preserve">ed to perform in the </w:t>
      </w:r>
      <w:r w:rsidR="00212FCC">
        <w:rPr>
          <w:rFonts w:eastAsia="PMingLiU"/>
          <w:spacing w:val="2"/>
          <w:sz w:val="24"/>
          <w:szCs w:val="28"/>
          <w:lang w:eastAsia="zh-TW"/>
        </w:rPr>
        <w:t>‘</w:t>
      </w:r>
      <w:r w:rsidRPr="00D14F16">
        <w:rPr>
          <w:rFonts w:eastAsia="PMingLiU"/>
          <w:spacing w:val="2"/>
          <w:sz w:val="24"/>
          <w:szCs w:val="28"/>
          <w:lang w:eastAsia="zh-TW"/>
        </w:rPr>
        <w:t>Be My Guest</w:t>
      </w:r>
      <w:r w:rsidR="00212FCC">
        <w:rPr>
          <w:rFonts w:eastAsia="PMingLiU"/>
          <w:spacing w:val="2"/>
          <w:sz w:val="24"/>
          <w:szCs w:val="28"/>
          <w:lang w:eastAsia="zh-TW"/>
        </w:rPr>
        <w:t>’</w:t>
      </w:r>
      <w:r w:rsidRPr="00D14F16">
        <w:rPr>
          <w:rFonts w:eastAsia="PMingLiU"/>
          <w:spacing w:val="2"/>
          <w:sz w:val="24"/>
          <w:szCs w:val="28"/>
          <w:lang w:eastAsia="zh-TW"/>
        </w:rPr>
        <w:t xml:space="preserve"> show, he had no intention to influence or affect TVB’s business and his act was not intended to be aimed at TVB, because the idea of adding in the show was not </w:t>
      </w:r>
      <w:r w:rsidRPr="00D14F16">
        <w:rPr>
          <w:rFonts w:eastAsia="PMingLiU"/>
          <w:spacing w:val="2"/>
          <w:sz w:val="24"/>
          <w:szCs w:val="28"/>
          <w:lang w:eastAsia="zh-TW"/>
        </w:rPr>
        <w:lastRenderedPageBreak/>
        <w:t xml:space="preserve">conceived by either of the two respondents, who merely played a passive role.  However, as stated above, </w:t>
      </w:r>
      <w:r w:rsidRPr="00D14F16">
        <w:rPr>
          <w:rFonts w:eastAsia="PMingLiU"/>
          <w:i/>
          <w:spacing w:val="2"/>
          <w:sz w:val="24"/>
          <w:szCs w:val="28"/>
          <w:lang w:eastAsia="zh-TW"/>
        </w:rPr>
        <w:t>the most important consideration is that the 1</w:t>
      </w:r>
      <w:r w:rsidRPr="00D14F16">
        <w:rPr>
          <w:rFonts w:eastAsia="PMingLiU"/>
          <w:i/>
          <w:spacing w:val="2"/>
          <w:sz w:val="24"/>
          <w:szCs w:val="28"/>
          <w:vertAlign w:val="superscript"/>
          <w:lang w:eastAsia="zh-TW"/>
        </w:rPr>
        <w:t>st</w:t>
      </w:r>
      <w:r w:rsidRPr="00D14F16">
        <w:rPr>
          <w:rFonts w:eastAsia="PMingLiU"/>
          <w:i/>
          <w:spacing w:val="2"/>
          <w:sz w:val="24"/>
          <w:szCs w:val="28"/>
          <w:lang w:eastAsia="zh-TW"/>
        </w:rPr>
        <w:t xml:space="preserve"> respondent’s act was related to the TVB programmes, and this precisely indicates a causal relationship between his act and his principal’s business</w:t>
      </w:r>
      <w:r w:rsidRPr="00D14F16">
        <w:rPr>
          <w:rFonts w:eastAsia="PMingLiU"/>
          <w:spacing w:val="2"/>
          <w:sz w:val="24"/>
          <w:szCs w:val="28"/>
          <w:lang w:eastAsia="zh-TW"/>
        </w:rPr>
        <w:t>, on which basis the court is entitled to find that the 1</w:t>
      </w:r>
      <w:r w:rsidRPr="00D14F16">
        <w:rPr>
          <w:rFonts w:eastAsia="PMingLiU"/>
          <w:spacing w:val="2"/>
          <w:sz w:val="24"/>
          <w:szCs w:val="28"/>
          <w:vertAlign w:val="superscript"/>
          <w:lang w:eastAsia="zh-TW"/>
        </w:rPr>
        <w:t>st</w:t>
      </w:r>
      <w:r w:rsidRPr="00D14F16">
        <w:rPr>
          <w:rFonts w:eastAsia="PMingLiU"/>
          <w:spacing w:val="2"/>
          <w:sz w:val="24"/>
          <w:szCs w:val="28"/>
          <w:lang w:eastAsia="zh-TW"/>
        </w:rPr>
        <w:t xml:space="preserve"> respondent had the </w:t>
      </w:r>
      <w:proofErr w:type="spellStart"/>
      <w:r w:rsidRPr="00D14F16">
        <w:rPr>
          <w:rFonts w:eastAsia="PMingLiU"/>
          <w:i/>
          <w:spacing w:val="2"/>
          <w:sz w:val="24"/>
          <w:szCs w:val="28"/>
          <w:lang w:eastAsia="zh-TW"/>
        </w:rPr>
        <w:t>mens</w:t>
      </w:r>
      <w:proofErr w:type="spellEnd"/>
      <w:r w:rsidRPr="00D14F16">
        <w:rPr>
          <w:rFonts w:eastAsia="PMingLiU"/>
          <w:i/>
          <w:spacing w:val="2"/>
          <w:sz w:val="24"/>
          <w:szCs w:val="28"/>
          <w:lang w:eastAsia="zh-TW"/>
        </w:rPr>
        <w:t xml:space="preserve"> rea</w:t>
      </w:r>
      <w:r w:rsidRPr="00D14F16">
        <w:rPr>
          <w:rFonts w:eastAsia="PMingLiU"/>
          <w:spacing w:val="2"/>
          <w:sz w:val="24"/>
          <w:szCs w:val="28"/>
          <w:lang w:eastAsia="zh-TW"/>
        </w:rPr>
        <w:t xml:space="preserve"> for the section 9(1)(a) offence.”</w:t>
      </w:r>
      <w:r w:rsidR="007E2B66">
        <w:rPr>
          <w:rStyle w:val="FootnoteReference"/>
          <w:rFonts w:eastAsia="PMingLiU"/>
          <w:spacing w:val="2"/>
          <w:sz w:val="24"/>
          <w:szCs w:val="28"/>
          <w:lang w:eastAsia="zh-TW"/>
        </w:rPr>
        <w:footnoteReference w:id="24"/>
      </w:r>
      <w:r w:rsidRPr="00D14F16">
        <w:rPr>
          <w:rFonts w:eastAsia="PMingLiU"/>
          <w:spacing w:val="2"/>
          <w:sz w:val="24"/>
          <w:szCs w:val="28"/>
          <w:lang w:eastAsia="zh-TW"/>
        </w:rPr>
        <w:t xml:space="preserve"> (Italics supplied)</w:t>
      </w:r>
    </w:p>
    <w:p w:rsidR="00084AC6" w:rsidRDefault="00947C1C" w:rsidP="00084AC6">
      <w:pPr>
        <w:pStyle w:val="Bob1"/>
        <w:tabs>
          <w:tab w:val="clear" w:pos="720"/>
          <w:tab w:val="left" w:pos="1440"/>
        </w:tabs>
        <w:ind w:left="0" w:firstLine="0"/>
        <w:jc w:val="both"/>
      </w:pPr>
      <w:r w:rsidRPr="00D14F16">
        <w:t xml:space="preserve">To regard </w:t>
      </w:r>
      <w:r w:rsidR="009016C2" w:rsidRPr="00D14F16">
        <w:t xml:space="preserve">the </w:t>
      </w:r>
      <w:r w:rsidR="00326552">
        <w:t xml:space="preserve">required </w:t>
      </w:r>
      <w:r w:rsidR="00212FCC">
        <w:t xml:space="preserve">relationship between the agent’s act and the principal’s affairs or business </w:t>
      </w:r>
      <w:r w:rsidR="009016C2" w:rsidRPr="00D14F16">
        <w:t xml:space="preserve">as </w:t>
      </w:r>
      <w:r w:rsidRPr="00D14F16">
        <w:t xml:space="preserve">established </w:t>
      </w:r>
      <w:r w:rsidR="00212FCC">
        <w:t xml:space="preserve">simply </w:t>
      </w:r>
      <w:r w:rsidRPr="00D14F16">
        <w:t>because Chan’s show</w:t>
      </w:r>
      <w:r w:rsidR="009016C2" w:rsidRPr="00D14F16">
        <w:t xml:space="preserve"> “re</w:t>
      </w:r>
      <w:r w:rsidRPr="00D14F16">
        <w:t>lated to TVB programmes”, gives</w:t>
      </w:r>
      <w:r w:rsidR="009016C2" w:rsidRPr="00D14F16">
        <w:t xml:space="preserve"> the section </w:t>
      </w:r>
      <w:r w:rsidR="002D5616" w:rsidRPr="00D14F16">
        <w:t xml:space="preserve">an </w:t>
      </w:r>
      <w:r w:rsidR="00786099" w:rsidRPr="00D14F16">
        <w:t xml:space="preserve">extremely </w:t>
      </w:r>
      <w:r w:rsidR="002D5616" w:rsidRPr="00D14F16">
        <w:t xml:space="preserve">broad </w:t>
      </w:r>
      <w:r w:rsidR="009016C2" w:rsidRPr="00D14F16">
        <w:t>interpretation.</w:t>
      </w:r>
      <w:r w:rsidR="003C15A3" w:rsidRPr="00D14F16">
        <w:t xml:space="preserve">  </w:t>
      </w:r>
      <w:r w:rsidR="00212FCC">
        <w:t xml:space="preserve">It was an approach supported by </w:t>
      </w:r>
      <w:r w:rsidR="003C15A3" w:rsidRPr="00D14F16">
        <w:t>Mr Jonathan Caplan QC</w:t>
      </w:r>
      <w:r w:rsidR="003C15A3" w:rsidRPr="00D14F16">
        <w:rPr>
          <w:rStyle w:val="FootnoteReference"/>
        </w:rPr>
        <w:footnoteReference w:id="25"/>
      </w:r>
      <w:r w:rsidR="00212FCC">
        <w:t xml:space="preserve"> who submitted</w:t>
      </w:r>
      <w:r w:rsidR="003C15A3" w:rsidRPr="00D14F16">
        <w:t xml:space="preserve"> that</w:t>
      </w:r>
      <w:r w:rsidR="00326552">
        <w:t xml:space="preserve"> it was enough that</w:t>
      </w:r>
      <w:r w:rsidRPr="00D14F16">
        <w:t xml:space="preserve"> </w:t>
      </w:r>
      <w:r w:rsidR="003C15A3" w:rsidRPr="00D14F16">
        <w:t>Chan’s show was part of a programme broadcast by TVB.</w:t>
      </w:r>
      <w:r w:rsidR="002D5616" w:rsidRPr="00D14F16">
        <w:t xml:space="preserve"> </w:t>
      </w:r>
    </w:p>
    <w:p w:rsidR="00C16E81" w:rsidRDefault="002D5616" w:rsidP="00084AC6">
      <w:pPr>
        <w:pStyle w:val="Bob1"/>
        <w:tabs>
          <w:tab w:val="clear" w:pos="720"/>
          <w:tab w:val="left" w:pos="1440"/>
        </w:tabs>
        <w:ind w:left="0" w:firstLine="0"/>
        <w:jc w:val="both"/>
      </w:pPr>
      <w:r w:rsidRPr="00D14F16">
        <w:t xml:space="preserve"> </w:t>
      </w:r>
      <w:r w:rsidR="00786099" w:rsidRPr="00D14F16">
        <w:t>For the reasons developed below, I am respectfully</w:t>
      </w:r>
      <w:r w:rsidR="00326552">
        <w:t xml:space="preserve"> of the view that</w:t>
      </w:r>
      <w:r w:rsidR="00FF15B3">
        <w:t xml:space="preserve"> the</w:t>
      </w:r>
      <w:r w:rsidR="00326552">
        <w:t xml:space="preserve"> Court of Appeal’s judgments are erroneous and based on a misconstruction of section 9</w:t>
      </w:r>
      <w:r w:rsidR="002B5B06">
        <w:t>.</w:t>
      </w:r>
    </w:p>
    <w:p w:rsidR="00F203EF" w:rsidRPr="00F203EF" w:rsidRDefault="006B043B" w:rsidP="00525C4D">
      <w:pPr>
        <w:pStyle w:val="docmapheading"/>
      </w:pPr>
      <w:r>
        <w:t>F</w:t>
      </w:r>
      <w:r w:rsidR="00F203EF" w:rsidRPr="00F203EF">
        <w:t>.</w:t>
      </w:r>
      <w:r w:rsidR="00F203EF" w:rsidRPr="00F203EF">
        <w:tab/>
      </w:r>
      <w:proofErr w:type="spellStart"/>
      <w:r w:rsidR="00F203EF" w:rsidRPr="00F203EF">
        <w:t>Ch</w:t>
      </w:r>
      <w:r w:rsidR="00760ABA">
        <w:t>’</w:t>
      </w:r>
      <w:r w:rsidR="00F203EF" w:rsidRPr="00F203EF">
        <w:t>ng</w:t>
      </w:r>
      <w:proofErr w:type="spellEnd"/>
      <w:r w:rsidR="00F203EF" w:rsidRPr="00F203EF">
        <w:t xml:space="preserve"> </w:t>
      </w:r>
      <w:proofErr w:type="spellStart"/>
      <w:r w:rsidR="00F203EF" w:rsidRPr="00F203EF">
        <w:t>Poh</w:t>
      </w:r>
      <w:proofErr w:type="spellEnd"/>
    </w:p>
    <w:p w:rsidR="00F203EF" w:rsidRDefault="00F203EF" w:rsidP="00084AC6">
      <w:pPr>
        <w:pStyle w:val="Bob1"/>
        <w:numPr>
          <w:ilvl w:val="0"/>
          <w:numId w:val="1"/>
        </w:numPr>
        <w:tabs>
          <w:tab w:val="clear" w:pos="720"/>
          <w:tab w:val="left" w:pos="1440"/>
        </w:tabs>
        <w:ind w:left="0" w:firstLine="0"/>
        <w:jc w:val="both"/>
      </w:pPr>
      <w:r w:rsidRPr="00F203EF">
        <w:t xml:space="preserve">The leading authority </w:t>
      </w:r>
      <w:r>
        <w:t xml:space="preserve">in this context </w:t>
      </w:r>
      <w:r w:rsidRPr="00F203EF">
        <w:t xml:space="preserve">is </w:t>
      </w:r>
      <w:r w:rsidR="00760ABA">
        <w:rPr>
          <w:i/>
        </w:rPr>
        <w:t xml:space="preserve">Commissioner of the ICAC v </w:t>
      </w:r>
      <w:proofErr w:type="spellStart"/>
      <w:r w:rsidR="00760ABA">
        <w:rPr>
          <w:i/>
        </w:rPr>
        <w:t>Ch’</w:t>
      </w:r>
      <w:r w:rsidRPr="00F203EF">
        <w:rPr>
          <w:i/>
        </w:rPr>
        <w:t>ng</w:t>
      </w:r>
      <w:proofErr w:type="spellEnd"/>
      <w:r w:rsidRPr="00F203EF">
        <w:rPr>
          <w:i/>
        </w:rPr>
        <w:t xml:space="preserve"> </w:t>
      </w:r>
      <w:proofErr w:type="spellStart"/>
      <w:r w:rsidRPr="00F203EF">
        <w:rPr>
          <w:i/>
        </w:rPr>
        <w:t>Poh</w:t>
      </w:r>
      <w:proofErr w:type="spellEnd"/>
      <w:r w:rsidRPr="00F203EF">
        <w:rPr>
          <w:rStyle w:val="FootnoteReference"/>
        </w:rPr>
        <w:footnoteReference w:id="26"/>
      </w:r>
      <w:r w:rsidRPr="00F203EF">
        <w:t xml:space="preserve"> in which the Privy Council considered the nature and limits of the offence created by section 9.  Mr A, a partner in a solicitors’ firm referred </w:t>
      </w:r>
      <w:r w:rsidR="00760ABA">
        <w:t xml:space="preserve">to as X &amp; Co, was acting for </w:t>
      </w:r>
      <w:proofErr w:type="spellStart"/>
      <w:r w:rsidR="00760ABA">
        <w:t>Ch’</w:t>
      </w:r>
      <w:r w:rsidRPr="00F203EF">
        <w:t>ng</w:t>
      </w:r>
      <w:proofErr w:type="spellEnd"/>
      <w:r w:rsidRPr="00F203EF">
        <w:t xml:space="preserve"> </w:t>
      </w:r>
      <w:proofErr w:type="spellStart"/>
      <w:r w:rsidRPr="00F203EF">
        <w:t>Poh</w:t>
      </w:r>
      <w:proofErr w:type="spellEnd"/>
      <w:r w:rsidRPr="00F203EF">
        <w:t xml:space="preserve"> who had been convicted of fraud.  To bolster his prospects of appeal, </w:t>
      </w:r>
      <w:proofErr w:type="spellStart"/>
      <w:r w:rsidRPr="00F203EF">
        <w:t>Ch</w:t>
      </w:r>
      <w:r w:rsidR="00760ABA">
        <w:t>’</w:t>
      </w:r>
      <w:r w:rsidRPr="00F203EF">
        <w:t>ng</w:t>
      </w:r>
      <w:proofErr w:type="spellEnd"/>
      <w:r w:rsidRPr="00F203EF">
        <w:t xml:space="preserve"> </w:t>
      </w:r>
      <w:proofErr w:type="spellStart"/>
      <w:r w:rsidRPr="00F203EF">
        <w:t>Poh</w:t>
      </w:r>
      <w:proofErr w:type="spellEnd"/>
      <w:r w:rsidRPr="00F203EF">
        <w:t xml:space="preserve"> caused A to offer a bribe to a corrupt </w:t>
      </w:r>
      <w:r>
        <w:t xml:space="preserve">former </w:t>
      </w:r>
      <w:r w:rsidRPr="00F203EF">
        <w:t xml:space="preserve">prosecutor, Warwick Reid, who was asked to swear an affidavit discrediting an accomplice and key prosecution witness, one C H Low, and to try to persuade Low not to cooperate with the prosecuting authorities.  A warrant authorizing a search of X &amp; </w:t>
      </w:r>
      <w:proofErr w:type="spellStart"/>
      <w:r w:rsidRPr="00F203EF">
        <w:t>Co’s</w:t>
      </w:r>
      <w:proofErr w:type="spellEnd"/>
      <w:r w:rsidRPr="00F203EF">
        <w:t xml:space="preserve"> premises which was purportedly issued by the magistrate under POBO section 9(1)(a) was quashed for want of jurisdiction.  The Privy </w:t>
      </w:r>
      <w:r w:rsidRPr="00F203EF">
        <w:lastRenderedPageBreak/>
        <w:t xml:space="preserve">Council held that on the facts, A’s acts had nothing to do with the affairs or business of his principal X &amp; Co, so that section 9 was not engaged.  </w:t>
      </w:r>
    </w:p>
    <w:p w:rsidR="00F203EF" w:rsidRPr="00F203EF" w:rsidRDefault="00F203EF" w:rsidP="00084AC6">
      <w:pPr>
        <w:pStyle w:val="Bob1"/>
        <w:numPr>
          <w:ilvl w:val="0"/>
          <w:numId w:val="1"/>
        </w:numPr>
        <w:tabs>
          <w:tab w:val="clear" w:pos="720"/>
          <w:tab w:val="left" w:pos="1440"/>
        </w:tabs>
        <w:ind w:left="0" w:firstLine="0"/>
        <w:jc w:val="both"/>
      </w:pPr>
      <w:r w:rsidRPr="00F203EF">
        <w:t xml:space="preserve">In reaching that conclusion, Lord Lloyd </w:t>
      </w:r>
      <w:r w:rsidR="00F63C1B">
        <w:t xml:space="preserve">of Berwick </w:t>
      </w:r>
      <w:r w:rsidRPr="00F203EF">
        <w:t>held that the words “in relation to his principal's affairs or business” had a restricting purpose and that it was not enough that the recipient of a bribe should merely be shown to be someone’s agent:</w:t>
      </w:r>
    </w:p>
    <w:p w:rsidR="00F203EF" w:rsidRPr="00F33898" w:rsidRDefault="00F203EF" w:rsidP="00084AC6">
      <w:pPr>
        <w:pStyle w:val="NormalIndent"/>
        <w:kinsoku w:val="0"/>
        <w:overflowPunct/>
        <w:adjustRightInd/>
        <w:spacing w:after="240"/>
        <w:textAlignment w:val="auto"/>
        <w:rPr>
          <w:sz w:val="24"/>
        </w:rPr>
      </w:pPr>
      <w:r w:rsidRPr="00F33898">
        <w:rPr>
          <w:sz w:val="24"/>
        </w:rPr>
        <w:t xml:space="preserve">“Section 9 is the only section in the Ordinance dealing with persons other than public servants. It is confined to agents. It does not say, like section 4, that the agent must have been acting in his capacity as an agent. Instead the act done (or not done) by the agent must be an act done or not done ‘in relation to his principal's affairs’. But as Keith J pointed out in R v </w:t>
      </w:r>
      <w:r w:rsidRPr="00F33898">
        <w:rPr>
          <w:i/>
          <w:sz w:val="24"/>
        </w:rPr>
        <w:t xml:space="preserve">Ng Man </w:t>
      </w:r>
      <w:proofErr w:type="spellStart"/>
      <w:r w:rsidRPr="00F33898">
        <w:rPr>
          <w:i/>
          <w:sz w:val="24"/>
        </w:rPr>
        <w:t>Ho</w:t>
      </w:r>
      <w:proofErr w:type="spellEnd"/>
      <w:r w:rsidRPr="00F33898">
        <w:rPr>
          <w:sz w:val="24"/>
        </w:rPr>
        <w:t xml:space="preserve"> [1993] 1 HKC 632 at p.638 the alternative words serve much the same purpose. They are clearly intended to be restrictive. It is not enough that the recipient of the bribe should be an agent in fact. Otherwise any partner in a firm of solicitors, accepting an advantage without authority or reasonable excuse, would be caught by the section. This would be much too wide.”</w:t>
      </w:r>
      <w:r w:rsidRPr="00F33898">
        <w:rPr>
          <w:rStyle w:val="FootnoteReference"/>
          <w:sz w:val="24"/>
        </w:rPr>
        <w:footnoteReference w:id="27"/>
      </w:r>
    </w:p>
    <w:p w:rsidR="00F203EF" w:rsidRPr="00F203EF" w:rsidRDefault="00F203EF" w:rsidP="00084AC6">
      <w:pPr>
        <w:pStyle w:val="Bob1"/>
        <w:numPr>
          <w:ilvl w:val="0"/>
          <w:numId w:val="1"/>
        </w:numPr>
        <w:tabs>
          <w:tab w:val="clear" w:pos="720"/>
          <w:tab w:val="left" w:pos="1440"/>
        </w:tabs>
        <w:ind w:left="0" w:firstLine="0"/>
        <w:jc w:val="both"/>
      </w:pPr>
      <w:r w:rsidRPr="00F203EF">
        <w:t>Turning to the meaning of the restricting phrase, his Lordship stated:</w:t>
      </w:r>
    </w:p>
    <w:p w:rsidR="00F203EF" w:rsidRPr="00F203EF" w:rsidRDefault="00F203EF" w:rsidP="00084AC6">
      <w:pPr>
        <w:pStyle w:val="Bob1"/>
        <w:numPr>
          <w:ilvl w:val="0"/>
          <w:numId w:val="0"/>
        </w:numPr>
        <w:spacing w:line="240" w:lineRule="auto"/>
        <w:ind w:left="720"/>
        <w:jc w:val="both"/>
        <w:rPr>
          <w:sz w:val="24"/>
        </w:rPr>
      </w:pPr>
      <w:r w:rsidRPr="00F203EF">
        <w:rPr>
          <w:sz w:val="24"/>
        </w:rPr>
        <w:t>“</w:t>
      </w:r>
      <w:r w:rsidRPr="00F203EF">
        <w:rPr>
          <w:sz w:val="24"/>
          <w:szCs w:val="28"/>
        </w:rPr>
        <w:t xml:space="preserve">So what do the limiting words mean? They mean that, for the section to apply, the person offering the bribe, must have intended the act or forbearance of the agent to influence or affect the principal's affairs. </w:t>
      </w:r>
      <w:proofErr w:type="gramStart"/>
      <w:r w:rsidRPr="00F203EF">
        <w:rPr>
          <w:sz w:val="24"/>
          <w:szCs w:val="28"/>
        </w:rPr>
        <w:t>Ac</w:t>
      </w:r>
      <w:r w:rsidR="00760ABA">
        <w:rPr>
          <w:sz w:val="24"/>
          <w:szCs w:val="28"/>
        </w:rPr>
        <w:t>cordingly</w:t>
      </w:r>
      <w:proofErr w:type="gramEnd"/>
      <w:r w:rsidR="00760ABA">
        <w:rPr>
          <w:sz w:val="24"/>
          <w:szCs w:val="28"/>
        </w:rPr>
        <w:t xml:space="preserve"> s.9 would apply if </w:t>
      </w:r>
      <w:proofErr w:type="spellStart"/>
      <w:r w:rsidR="00760ABA">
        <w:rPr>
          <w:sz w:val="24"/>
          <w:szCs w:val="28"/>
        </w:rPr>
        <w:t>Ch’</w:t>
      </w:r>
      <w:r w:rsidRPr="00F203EF">
        <w:rPr>
          <w:sz w:val="24"/>
          <w:szCs w:val="28"/>
        </w:rPr>
        <w:t>ng</w:t>
      </w:r>
      <w:proofErr w:type="spellEnd"/>
      <w:r w:rsidRPr="00F203EF">
        <w:rPr>
          <w:sz w:val="24"/>
          <w:szCs w:val="28"/>
        </w:rPr>
        <w:t xml:space="preserve"> </w:t>
      </w:r>
      <w:proofErr w:type="spellStart"/>
      <w:r w:rsidRPr="00F203EF">
        <w:rPr>
          <w:sz w:val="24"/>
          <w:szCs w:val="28"/>
        </w:rPr>
        <w:t>Poh</w:t>
      </w:r>
      <w:proofErr w:type="spellEnd"/>
      <w:r w:rsidRPr="00F203EF">
        <w:rPr>
          <w:sz w:val="24"/>
          <w:szCs w:val="28"/>
        </w:rPr>
        <w:t xml:space="preserve"> had bribed Mr A to secure him a benefit at X &amp; </w:t>
      </w:r>
      <w:proofErr w:type="spellStart"/>
      <w:r w:rsidRPr="00F203EF">
        <w:rPr>
          <w:sz w:val="24"/>
          <w:szCs w:val="28"/>
        </w:rPr>
        <w:t>Co's</w:t>
      </w:r>
      <w:proofErr w:type="spellEnd"/>
      <w:r w:rsidRPr="00F203EF">
        <w:rPr>
          <w:sz w:val="24"/>
          <w:szCs w:val="28"/>
        </w:rPr>
        <w:t xml:space="preserve"> expense, for example, to arrange a reduction in X &amp; </w:t>
      </w:r>
      <w:proofErr w:type="spellStart"/>
      <w:r w:rsidRPr="00F203EF">
        <w:rPr>
          <w:sz w:val="24"/>
          <w:szCs w:val="28"/>
        </w:rPr>
        <w:t>Co's</w:t>
      </w:r>
      <w:proofErr w:type="spellEnd"/>
      <w:r w:rsidRPr="00F203EF">
        <w:rPr>
          <w:sz w:val="24"/>
          <w:szCs w:val="28"/>
        </w:rPr>
        <w:t xml:space="preserve"> ordinary professional fees; or if X &amp; Co were induced to act in a way in which they would not otherwise have acted. Thus it is an essential ingredient of the offence under s.9 that the action or forbearance of the agent should be aimed at the principal. If it is sufficient for the purposes of the person offering the bribe that the agent should act on his own without involving his principal, then, whatever other offence may have been committed, it is not a corrupt transaction with an agent for the purposes of s.9.”</w:t>
      </w:r>
      <w:r w:rsidRPr="00F203EF">
        <w:rPr>
          <w:rStyle w:val="FootnoteReference"/>
          <w:sz w:val="24"/>
          <w:szCs w:val="28"/>
        </w:rPr>
        <w:footnoteReference w:id="28"/>
      </w:r>
    </w:p>
    <w:p w:rsidR="005A4837" w:rsidRDefault="005A4837" w:rsidP="00084AC6">
      <w:pPr>
        <w:pStyle w:val="Bob1"/>
        <w:numPr>
          <w:ilvl w:val="0"/>
          <w:numId w:val="1"/>
        </w:numPr>
        <w:tabs>
          <w:tab w:val="clear" w:pos="720"/>
          <w:tab w:val="left" w:pos="1440"/>
        </w:tabs>
        <w:ind w:left="0" w:firstLine="0"/>
        <w:jc w:val="both"/>
      </w:pPr>
      <w:r>
        <w:t xml:space="preserve">In giving this meaning to the </w:t>
      </w:r>
      <w:r w:rsidR="00E018CF">
        <w:t>restrictive</w:t>
      </w:r>
      <w:r>
        <w:t xml:space="preserve"> words, Lord Lloyd </w:t>
      </w:r>
      <w:r w:rsidR="00E018CF">
        <w:t xml:space="preserve">was </w:t>
      </w:r>
      <w:r>
        <w:t xml:space="preserve">elaborating upon both the </w:t>
      </w:r>
      <w:proofErr w:type="spellStart"/>
      <w:r>
        <w:rPr>
          <w:i/>
        </w:rPr>
        <w:t>actus</w:t>
      </w:r>
      <w:proofErr w:type="spellEnd"/>
      <w:r>
        <w:rPr>
          <w:i/>
        </w:rPr>
        <w:t xml:space="preserve"> </w:t>
      </w:r>
      <w:proofErr w:type="spellStart"/>
      <w:r>
        <w:rPr>
          <w:i/>
        </w:rPr>
        <w:t>reus</w:t>
      </w:r>
      <w:proofErr w:type="spellEnd"/>
      <w:r>
        <w:rPr>
          <w:i/>
        </w:rPr>
        <w:t xml:space="preserve"> </w:t>
      </w:r>
      <w:r>
        <w:t xml:space="preserve">and </w:t>
      </w:r>
      <w:proofErr w:type="spellStart"/>
      <w:r>
        <w:rPr>
          <w:i/>
        </w:rPr>
        <w:t>mens</w:t>
      </w:r>
      <w:proofErr w:type="spellEnd"/>
      <w:r>
        <w:rPr>
          <w:i/>
        </w:rPr>
        <w:t xml:space="preserve"> rea </w:t>
      </w:r>
      <w:r>
        <w:t xml:space="preserve">elements of the offence.  In variants of the offence where the agent has already </w:t>
      </w:r>
      <w:r w:rsidR="002B5B06">
        <w:t>done</w:t>
      </w:r>
      <w:r>
        <w:t xml:space="preserve"> the act or forb</w:t>
      </w:r>
      <w:r w:rsidR="002B5B06">
        <w:t>orne to act</w:t>
      </w:r>
      <w:r>
        <w:t xml:space="preserve">, </w:t>
      </w:r>
      <w:r w:rsidR="004127D6">
        <w:t xml:space="preserve">his Lordship’s </w:t>
      </w:r>
      <w:r w:rsidR="004127D6">
        <w:rPr>
          <w:i/>
        </w:rPr>
        <w:t>dictum</w:t>
      </w:r>
      <w:r w:rsidR="004127D6">
        <w:t xml:space="preserve"> </w:t>
      </w:r>
      <w:r>
        <w:t xml:space="preserve">explains the quality of the relationship between the performed act or forbearance on the one hand and the principal’s affairs or </w:t>
      </w:r>
      <w:r>
        <w:lastRenderedPageBreak/>
        <w:t xml:space="preserve">business on the other </w:t>
      </w:r>
      <w:r w:rsidR="002B5B06">
        <w:t xml:space="preserve">which </w:t>
      </w:r>
      <w:r>
        <w:t>must be</w:t>
      </w:r>
      <w:r w:rsidR="002B5B06">
        <w:t xml:space="preserve"> proved: </w:t>
      </w:r>
      <w:r w:rsidR="004127D6">
        <w:t>the act or forbearance</w:t>
      </w:r>
      <w:r w:rsidR="002B5B06">
        <w:t xml:space="preserve"> must have been aimed at and intended to influence or affect the latter’s affairs or business</w:t>
      </w:r>
      <w:r>
        <w:t xml:space="preserve">.  In cases where the act or forbearance have yet to occur, Lord Lloyd identifies the mental element required: </w:t>
      </w:r>
      <w:r w:rsidR="004127D6">
        <w:t xml:space="preserve">the </w:t>
      </w:r>
      <w:r w:rsidR="00E018CF">
        <w:t>advantage</w:t>
      </w:r>
      <w:r w:rsidR="004127D6">
        <w:t xml:space="preserve"> offered or solicited </w:t>
      </w:r>
      <w:r w:rsidR="00E018CF">
        <w:t xml:space="preserve">must be intended as an inducement or reward </w:t>
      </w:r>
      <w:r w:rsidR="004127D6">
        <w:t xml:space="preserve">for an </w:t>
      </w:r>
      <w:r>
        <w:t xml:space="preserve">act or forbearance </w:t>
      </w:r>
      <w:r w:rsidR="004127D6">
        <w:t xml:space="preserve">aimed </w:t>
      </w:r>
      <w:r>
        <w:t xml:space="preserve">at the principal’s business, </w:t>
      </w:r>
      <w:r w:rsidR="00E018CF">
        <w:t>with a view to influencing</w:t>
      </w:r>
      <w:r>
        <w:t xml:space="preserve"> or affect</w:t>
      </w:r>
      <w:r w:rsidR="00E018CF">
        <w:t>ing</w:t>
      </w:r>
      <w:r>
        <w:t xml:space="preserve"> the same.</w:t>
      </w:r>
    </w:p>
    <w:p w:rsidR="00F203EF" w:rsidRDefault="00F203EF" w:rsidP="00084AC6">
      <w:pPr>
        <w:pStyle w:val="Bob1"/>
        <w:numPr>
          <w:ilvl w:val="0"/>
          <w:numId w:val="1"/>
        </w:numPr>
        <w:tabs>
          <w:tab w:val="clear" w:pos="720"/>
          <w:tab w:val="left" w:pos="1440"/>
        </w:tabs>
        <w:ind w:left="0" w:firstLine="0"/>
        <w:jc w:val="both"/>
      </w:pPr>
      <w:r w:rsidRPr="00F203EF">
        <w:t xml:space="preserve">Reliance on section 9(1)(a) </w:t>
      </w:r>
      <w:r w:rsidR="007E2B66">
        <w:t xml:space="preserve">by the Commissioner </w:t>
      </w:r>
      <w:r w:rsidRPr="00F203EF">
        <w:t xml:space="preserve">in </w:t>
      </w:r>
      <w:r w:rsidR="009B027F">
        <w:t xml:space="preserve">the </w:t>
      </w:r>
      <w:proofErr w:type="spellStart"/>
      <w:r w:rsidR="00760ABA" w:rsidRPr="00084AC6">
        <w:rPr>
          <w:i/>
        </w:rPr>
        <w:t>Ch’</w:t>
      </w:r>
      <w:r w:rsidRPr="00084AC6">
        <w:rPr>
          <w:i/>
        </w:rPr>
        <w:t>ng</w:t>
      </w:r>
      <w:proofErr w:type="spellEnd"/>
      <w:r w:rsidRPr="00084AC6">
        <w:rPr>
          <w:i/>
        </w:rPr>
        <w:t xml:space="preserve"> </w:t>
      </w:r>
      <w:proofErr w:type="spellStart"/>
      <w:r w:rsidRPr="00084AC6">
        <w:rPr>
          <w:i/>
        </w:rPr>
        <w:t>Poh</w:t>
      </w:r>
      <w:proofErr w:type="spellEnd"/>
      <w:r w:rsidRPr="00084AC6">
        <w:rPr>
          <w:i/>
        </w:rPr>
        <w:t xml:space="preserve"> </w:t>
      </w:r>
      <w:r w:rsidR="009B027F">
        <w:t xml:space="preserve">case </w:t>
      </w:r>
      <w:r w:rsidRPr="00F203EF">
        <w:t xml:space="preserve">was plainly misconceived.  There was no advantage offered to or solicited or accepted by the only relevant agent, Mr A.  And although he was a partner in X &amp; Co and was in general </w:t>
      </w:r>
      <w:r w:rsidR="009B027F">
        <w:t xml:space="preserve">an </w:t>
      </w:r>
      <w:r w:rsidRPr="00F203EF">
        <w:t>agent</w:t>
      </w:r>
      <w:r w:rsidR="009B027F">
        <w:t xml:space="preserve"> of the firm</w:t>
      </w:r>
      <w:r w:rsidRPr="00F203EF">
        <w:t xml:space="preserve">, his act of conveying a bribe to Reid was not related to X &amp; </w:t>
      </w:r>
      <w:proofErr w:type="spellStart"/>
      <w:r w:rsidRPr="00F203EF">
        <w:t>Co’s</w:t>
      </w:r>
      <w:proofErr w:type="spellEnd"/>
      <w:r w:rsidRPr="00F203EF">
        <w:t xml:space="preserve"> affairs or business.  The </w:t>
      </w:r>
      <w:r w:rsidR="005C7402">
        <w:t>importance</w:t>
      </w:r>
      <w:r w:rsidRPr="00F203EF">
        <w:t xml:space="preserve"> of Lord Lloyd’s judgment is in its explication of the </w:t>
      </w:r>
      <w:r w:rsidR="00E018CF">
        <w:t xml:space="preserve">required </w:t>
      </w:r>
      <w:r w:rsidR="00CB336C">
        <w:t xml:space="preserve">nexus between act and business </w:t>
      </w:r>
      <w:r w:rsidRPr="00F203EF">
        <w:t xml:space="preserve">which was plainly missing in </w:t>
      </w:r>
      <w:proofErr w:type="spellStart"/>
      <w:r w:rsidR="00760ABA" w:rsidRPr="00084AC6">
        <w:rPr>
          <w:i/>
        </w:rPr>
        <w:t>Ch’</w:t>
      </w:r>
      <w:r w:rsidRPr="00084AC6">
        <w:rPr>
          <w:i/>
        </w:rPr>
        <w:t>ng</w:t>
      </w:r>
      <w:proofErr w:type="spellEnd"/>
      <w:r w:rsidRPr="00084AC6">
        <w:rPr>
          <w:i/>
        </w:rPr>
        <w:t xml:space="preserve"> </w:t>
      </w:r>
      <w:proofErr w:type="spellStart"/>
      <w:r w:rsidRPr="00084AC6">
        <w:rPr>
          <w:i/>
        </w:rPr>
        <w:t>Poh</w:t>
      </w:r>
      <w:proofErr w:type="spellEnd"/>
      <w:r w:rsidR="00CB336C">
        <w:t>.</w:t>
      </w:r>
      <w:r w:rsidR="009B027F">
        <w:t xml:space="preserve"> </w:t>
      </w:r>
      <w:r w:rsidR="00E018CF">
        <w:t xml:space="preserve"> He construed the requirement that the agent’s</w:t>
      </w:r>
      <w:r w:rsidRPr="00F203EF">
        <w:t xml:space="preserve"> act or forbearance </w:t>
      </w:r>
      <w:r w:rsidR="00E018CF">
        <w:t xml:space="preserve">should be </w:t>
      </w:r>
      <w:r w:rsidRPr="00F203EF">
        <w:t>“in relation to his principal's affairs or business”</w:t>
      </w:r>
      <w:r w:rsidR="00E018CF">
        <w:t xml:space="preserve"> as </w:t>
      </w:r>
      <w:r w:rsidR="00F8599C">
        <w:t>a</w:t>
      </w:r>
      <w:r w:rsidR="00E77B1B">
        <w:t xml:space="preserve"> </w:t>
      </w:r>
      <w:r w:rsidR="00E018CF">
        <w:t xml:space="preserve">requirement that the act or forbearance be </w:t>
      </w:r>
      <w:r w:rsidR="00E018CF" w:rsidRPr="00F203EF">
        <w:t>“aimed at” and intended to “influence or affect” the principal's affairs</w:t>
      </w:r>
      <w:r w:rsidRPr="00F203EF">
        <w:t>.</w:t>
      </w:r>
    </w:p>
    <w:p w:rsidR="002717BE" w:rsidRPr="00F203EF" w:rsidRDefault="006B043B" w:rsidP="00525C4D">
      <w:pPr>
        <w:pStyle w:val="docmapheading"/>
      </w:pPr>
      <w:r>
        <w:t>G</w:t>
      </w:r>
      <w:r w:rsidR="002717BE">
        <w:t>.</w:t>
      </w:r>
      <w:r w:rsidR="002717BE">
        <w:tab/>
      </w:r>
      <w:r w:rsidR="00957D3E">
        <w:t xml:space="preserve">Question 1(ii): </w:t>
      </w:r>
      <w:r w:rsidR="002717BE">
        <w:t xml:space="preserve">The Court of Appeal and </w:t>
      </w:r>
      <w:proofErr w:type="spellStart"/>
      <w:r w:rsidR="002717BE">
        <w:t>Ch</w:t>
      </w:r>
      <w:r w:rsidR="00760ABA">
        <w:t>’</w:t>
      </w:r>
      <w:r w:rsidR="002717BE">
        <w:t>ng</w:t>
      </w:r>
      <w:proofErr w:type="spellEnd"/>
      <w:r w:rsidR="002717BE">
        <w:t xml:space="preserve"> </w:t>
      </w:r>
      <w:proofErr w:type="spellStart"/>
      <w:r w:rsidR="002717BE">
        <w:t>Poh</w:t>
      </w:r>
      <w:proofErr w:type="spellEnd"/>
      <w:r w:rsidR="002717BE">
        <w:t xml:space="preserve"> </w:t>
      </w:r>
    </w:p>
    <w:p w:rsidR="002717BE" w:rsidRDefault="00E96BC0" w:rsidP="00084AC6">
      <w:pPr>
        <w:pStyle w:val="Bob1"/>
        <w:tabs>
          <w:tab w:val="clear" w:pos="720"/>
          <w:tab w:val="left" w:pos="1440"/>
        </w:tabs>
        <w:ind w:left="0" w:firstLine="0"/>
        <w:jc w:val="both"/>
      </w:pPr>
      <w:r>
        <w:t xml:space="preserve">Although the Court of Appeal </w:t>
      </w:r>
      <w:r w:rsidR="007E2B66">
        <w:t xml:space="preserve">referred extensively to </w:t>
      </w:r>
      <w:proofErr w:type="spellStart"/>
      <w:r w:rsidR="007E2B66">
        <w:rPr>
          <w:i/>
        </w:rPr>
        <w:t>Ch</w:t>
      </w:r>
      <w:r w:rsidR="00760ABA">
        <w:rPr>
          <w:i/>
        </w:rPr>
        <w:t>’</w:t>
      </w:r>
      <w:r w:rsidR="007E2B66">
        <w:rPr>
          <w:i/>
        </w:rPr>
        <w:t>ng</w:t>
      </w:r>
      <w:proofErr w:type="spellEnd"/>
      <w:r w:rsidR="007E2B66">
        <w:rPr>
          <w:i/>
        </w:rPr>
        <w:t xml:space="preserve"> </w:t>
      </w:r>
      <w:proofErr w:type="spellStart"/>
      <w:r w:rsidR="007E2B66">
        <w:rPr>
          <w:i/>
        </w:rPr>
        <w:t>Poh</w:t>
      </w:r>
      <w:proofErr w:type="spellEnd"/>
      <w:r w:rsidR="007E2B66">
        <w:t xml:space="preserve">, I do not, with respect, think that </w:t>
      </w:r>
      <w:r w:rsidR="002717BE">
        <w:t>that authority</w:t>
      </w:r>
      <w:r w:rsidR="007E2B66">
        <w:t xml:space="preserve"> was correctly analysed and applied. </w:t>
      </w:r>
      <w:r w:rsidR="007E2B66">
        <w:rPr>
          <w:i/>
        </w:rPr>
        <w:t xml:space="preserve"> </w:t>
      </w:r>
      <w:r w:rsidR="007E2B66">
        <w:t xml:space="preserve">To take Cheung JA’s judgment first, his Lordship, as we have seen, adopted an extremely wide interpretation of the relevant phrase, holding that it was enough simply to </w:t>
      </w:r>
      <w:r w:rsidR="00F8599C">
        <w:t>prove</w:t>
      </w:r>
      <w:r w:rsidR="007E2B66">
        <w:t xml:space="preserve"> that </w:t>
      </w:r>
      <w:r w:rsidR="007E2B66" w:rsidRPr="00D14F16">
        <w:t>Chan’s show “re</w:t>
      </w:r>
      <w:r w:rsidR="007E2B66">
        <w:t xml:space="preserve">lated to TVB programmes” in some undefined way.  This is inconsistent with </w:t>
      </w:r>
      <w:proofErr w:type="spellStart"/>
      <w:r w:rsidR="007E2B66">
        <w:rPr>
          <w:i/>
        </w:rPr>
        <w:t>Ch</w:t>
      </w:r>
      <w:r w:rsidR="00760ABA">
        <w:rPr>
          <w:i/>
        </w:rPr>
        <w:t>’</w:t>
      </w:r>
      <w:r w:rsidR="007E2B66">
        <w:rPr>
          <w:i/>
        </w:rPr>
        <w:t>ng</w:t>
      </w:r>
      <w:proofErr w:type="spellEnd"/>
      <w:r w:rsidR="007E2B66">
        <w:rPr>
          <w:i/>
        </w:rPr>
        <w:t xml:space="preserve"> </w:t>
      </w:r>
      <w:proofErr w:type="spellStart"/>
      <w:r w:rsidR="007E2B66">
        <w:rPr>
          <w:i/>
        </w:rPr>
        <w:t>Poh</w:t>
      </w:r>
      <w:proofErr w:type="spellEnd"/>
      <w:r w:rsidR="007E2B66">
        <w:rPr>
          <w:i/>
        </w:rPr>
        <w:t xml:space="preserve"> </w:t>
      </w:r>
      <w:r w:rsidR="007E2B66">
        <w:t>in that it fails to assign to that phrase the restrictive function</w:t>
      </w:r>
      <w:r w:rsidR="00E018CF">
        <w:t xml:space="preserve"> referred to above</w:t>
      </w:r>
      <w:r w:rsidR="007E2B66">
        <w:t>.</w:t>
      </w:r>
      <w:r w:rsidR="002717BE">
        <w:t xml:space="preserve">  </w:t>
      </w:r>
    </w:p>
    <w:p w:rsidR="007E2B66" w:rsidRDefault="002717BE" w:rsidP="00492FF5">
      <w:pPr>
        <w:pStyle w:val="Bob1"/>
        <w:tabs>
          <w:tab w:val="clear" w:pos="720"/>
          <w:tab w:val="left" w:pos="1440"/>
        </w:tabs>
        <w:ind w:left="0" w:firstLine="0"/>
        <w:jc w:val="both"/>
      </w:pPr>
      <w:r>
        <w:t xml:space="preserve">It appears </w:t>
      </w:r>
      <w:r w:rsidR="00E018CF">
        <w:t xml:space="preserve">that </w:t>
      </w:r>
      <w:r>
        <w:t xml:space="preserve">Cheung JA </w:t>
      </w:r>
      <w:r w:rsidR="00E018CF">
        <w:t xml:space="preserve">may have </w:t>
      </w:r>
      <w:r>
        <w:t xml:space="preserve">adopted </w:t>
      </w:r>
      <w:r w:rsidR="00F8599C">
        <w:t>his</w:t>
      </w:r>
      <w:r>
        <w:t xml:space="preserve"> wide interpretation because he was not persuaded that Lord Lloyd had </w:t>
      </w:r>
      <w:r w:rsidR="004127D6">
        <w:t xml:space="preserve">meant </w:t>
      </w:r>
      <w:r>
        <w:t>the words to operate restrictively.  Cheung JA stated:</w:t>
      </w:r>
    </w:p>
    <w:p w:rsidR="002717BE" w:rsidRPr="002717BE" w:rsidRDefault="002717BE" w:rsidP="00492FF5">
      <w:pPr>
        <w:pStyle w:val="Bob1"/>
        <w:numPr>
          <w:ilvl w:val="0"/>
          <w:numId w:val="0"/>
        </w:numPr>
        <w:spacing w:line="240" w:lineRule="auto"/>
        <w:ind w:left="720"/>
        <w:jc w:val="both"/>
        <w:rPr>
          <w:sz w:val="24"/>
        </w:rPr>
      </w:pPr>
      <w:r w:rsidRPr="002717BE">
        <w:rPr>
          <w:sz w:val="24"/>
        </w:rPr>
        <w:lastRenderedPageBreak/>
        <w:t>“</w:t>
      </w:r>
      <w:r w:rsidRPr="002717BE">
        <w:rPr>
          <w:rFonts w:eastAsia="宋体"/>
          <w:sz w:val="24"/>
          <w:szCs w:val="28"/>
        </w:rPr>
        <w:t xml:space="preserve">The </w:t>
      </w:r>
      <w:r w:rsidRPr="002717BE">
        <w:rPr>
          <w:rFonts w:eastAsia="PMingLiU"/>
          <w:sz w:val="24"/>
          <w:szCs w:val="28"/>
          <w:lang w:eastAsia="zh-TW"/>
        </w:rPr>
        <w:t xml:space="preserve">words ‘influence’, </w:t>
      </w:r>
      <w:r>
        <w:rPr>
          <w:rFonts w:eastAsia="PMingLiU"/>
          <w:sz w:val="24"/>
          <w:szCs w:val="28"/>
          <w:lang w:eastAsia="zh-TW"/>
        </w:rPr>
        <w:t>‘</w:t>
      </w:r>
      <w:r w:rsidRPr="002717BE">
        <w:rPr>
          <w:rFonts w:eastAsia="PMingLiU"/>
          <w:sz w:val="24"/>
          <w:szCs w:val="28"/>
          <w:lang w:eastAsia="zh-TW"/>
        </w:rPr>
        <w:t>affect</w:t>
      </w:r>
      <w:r>
        <w:rPr>
          <w:rFonts w:eastAsia="PMingLiU"/>
          <w:sz w:val="24"/>
          <w:szCs w:val="28"/>
          <w:lang w:eastAsia="zh-TW"/>
        </w:rPr>
        <w:t>’</w:t>
      </w:r>
      <w:r w:rsidRPr="002717BE">
        <w:rPr>
          <w:rFonts w:eastAsia="PMingLiU"/>
          <w:sz w:val="24"/>
          <w:szCs w:val="28"/>
          <w:lang w:eastAsia="zh-TW"/>
        </w:rPr>
        <w:t xml:space="preserve"> </w:t>
      </w:r>
      <w:r w:rsidRPr="002717BE">
        <w:rPr>
          <w:rFonts w:eastAsia="宋体"/>
          <w:sz w:val="24"/>
          <w:szCs w:val="28"/>
        </w:rPr>
        <w:t>and</w:t>
      </w:r>
      <w:r w:rsidRPr="002717BE">
        <w:rPr>
          <w:rFonts w:eastAsia="PMingLiU"/>
          <w:sz w:val="24"/>
          <w:szCs w:val="28"/>
          <w:lang w:eastAsia="zh-TW"/>
        </w:rPr>
        <w:t xml:space="preserve"> </w:t>
      </w:r>
      <w:r>
        <w:rPr>
          <w:rFonts w:eastAsia="PMingLiU"/>
          <w:sz w:val="24"/>
          <w:szCs w:val="28"/>
          <w:lang w:eastAsia="zh-TW"/>
        </w:rPr>
        <w:t>‘</w:t>
      </w:r>
      <w:r w:rsidRPr="002717BE">
        <w:rPr>
          <w:rFonts w:eastAsia="PMingLiU"/>
          <w:sz w:val="24"/>
          <w:szCs w:val="28"/>
          <w:lang w:eastAsia="zh-TW"/>
        </w:rPr>
        <w:t>aim</w:t>
      </w:r>
      <w:r w:rsidRPr="002717BE">
        <w:rPr>
          <w:rFonts w:eastAsia="宋体"/>
          <w:sz w:val="24"/>
          <w:szCs w:val="28"/>
        </w:rPr>
        <w:t>ed</w:t>
      </w:r>
      <w:r w:rsidRPr="002717BE">
        <w:rPr>
          <w:rFonts w:eastAsia="PMingLiU"/>
          <w:sz w:val="24"/>
          <w:szCs w:val="28"/>
          <w:lang w:eastAsia="zh-TW"/>
        </w:rPr>
        <w:t xml:space="preserve"> at</w:t>
      </w:r>
      <w:r>
        <w:rPr>
          <w:rFonts w:eastAsia="PMingLiU"/>
          <w:sz w:val="24"/>
          <w:szCs w:val="28"/>
          <w:lang w:eastAsia="zh-TW"/>
        </w:rPr>
        <w:t>’</w:t>
      </w:r>
      <w:r w:rsidRPr="002717BE">
        <w:rPr>
          <w:rFonts w:eastAsia="宋体"/>
          <w:sz w:val="24"/>
          <w:szCs w:val="28"/>
        </w:rPr>
        <w:t xml:space="preserve"> do not appear in s</w:t>
      </w:r>
      <w:r w:rsidRPr="002717BE">
        <w:rPr>
          <w:rFonts w:eastAsia="PMingLiU"/>
          <w:sz w:val="24"/>
          <w:szCs w:val="28"/>
          <w:lang w:eastAsia="zh-TW"/>
        </w:rPr>
        <w:t xml:space="preserve">ection 9.  The Privy Council used these words merely because this would facilitate explanation of the causal relationship between the act of the offending agent and his principal’s business.  The Court used these words for the purpose of emphasizing the need for the prosecution to prove such a causal relationship in </w:t>
      </w:r>
      <w:r w:rsidRPr="002717BE">
        <w:rPr>
          <w:rFonts w:eastAsia="宋体"/>
          <w:sz w:val="24"/>
          <w:szCs w:val="28"/>
        </w:rPr>
        <w:t xml:space="preserve">a given </w:t>
      </w:r>
      <w:r w:rsidRPr="002717BE">
        <w:rPr>
          <w:rFonts w:eastAsia="PMingLiU"/>
          <w:sz w:val="24"/>
          <w:szCs w:val="28"/>
          <w:lang w:eastAsia="zh-TW"/>
        </w:rPr>
        <w:t xml:space="preserve">case, but this does not mean that, apart from being related to the principal’s business, the agent’s act must also have been deliberately intended to influence, affect or be aimed at the principal’s business.  Put another way, these words do not connote </w:t>
      </w:r>
      <w:r w:rsidRPr="002717BE">
        <w:rPr>
          <w:rFonts w:eastAsia="宋体"/>
          <w:sz w:val="24"/>
          <w:szCs w:val="28"/>
        </w:rPr>
        <w:t>a positive</w:t>
      </w:r>
      <w:r w:rsidRPr="002717BE">
        <w:rPr>
          <w:rFonts w:eastAsia="PMingLiU"/>
          <w:sz w:val="24"/>
          <w:szCs w:val="28"/>
          <w:lang w:eastAsia="zh-TW"/>
        </w:rPr>
        <w:t xml:space="preserve"> or </w:t>
      </w:r>
      <w:r w:rsidRPr="002717BE">
        <w:rPr>
          <w:rFonts w:eastAsia="宋体"/>
          <w:sz w:val="24"/>
          <w:szCs w:val="28"/>
        </w:rPr>
        <w:t>negative impact of the agent’s act on the principal’s business</w:t>
      </w:r>
      <w:r w:rsidRPr="002717BE">
        <w:rPr>
          <w:rFonts w:eastAsia="PMingLiU"/>
          <w:sz w:val="24"/>
          <w:szCs w:val="28"/>
          <w:lang w:eastAsia="zh-TW"/>
        </w:rPr>
        <w:t xml:space="preserve"> or any good or bad consequences of such act upon the principal’s business.  I think </w:t>
      </w:r>
      <w:r w:rsidRPr="002717BE">
        <w:rPr>
          <w:rFonts w:eastAsia="宋体"/>
          <w:sz w:val="24"/>
          <w:szCs w:val="28"/>
        </w:rPr>
        <w:t xml:space="preserve">that </w:t>
      </w:r>
      <w:r w:rsidRPr="002717BE">
        <w:rPr>
          <w:rFonts w:eastAsia="PMingLiU"/>
          <w:sz w:val="24"/>
          <w:szCs w:val="28"/>
          <w:lang w:eastAsia="zh-TW"/>
        </w:rPr>
        <w:t>this is the principle which the courts should apply when considering the agent’s intention.”</w:t>
      </w:r>
      <w:r>
        <w:rPr>
          <w:rStyle w:val="FootnoteReference"/>
          <w:rFonts w:eastAsia="PMingLiU"/>
          <w:sz w:val="24"/>
          <w:szCs w:val="28"/>
          <w:lang w:eastAsia="zh-TW"/>
        </w:rPr>
        <w:footnoteReference w:id="29"/>
      </w:r>
    </w:p>
    <w:p w:rsidR="004C7ECF" w:rsidRDefault="002717BE" w:rsidP="00492FF5">
      <w:pPr>
        <w:pStyle w:val="Bob1"/>
        <w:tabs>
          <w:tab w:val="clear" w:pos="720"/>
          <w:tab w:val="left" w:pos="1440"/>
        </w:tabs>
        <w:ind w:left="0" w:firstLine="0"/>
        <w:jc w:val="both"/>
      </w:pPr>
      <w:r>
        <w:t>T</w:t>
      </w:r>
      <w:r w:rsidR="00CA2A62">
        <w:t xml:space="preserve">wo main </w:t>
      </w:r>
      <w:r w:rsidR="007E5D4F">
        <w:t xml:space="preserve">points </w:t>
      </w:r>
      <w:r w:rsidR="00CA2A62">
        <w:t xml:space="preserve">are </w:t>
      </w:r>
      <w:r w:rsidR="007E5D4F">
        <w:t xml:space="preserve">made </w:t>
      </w:r>
      <w:r>
        <w:t>in that paragraph</w:t>
      </w:r>
      <w:r w:rsidR="00CA2A62">
        <w:t>,</w:t>
      </w:r>
      <w:r w:rsidR="007E5D4F">
        <w:t xml:space="preserve"> the important proposition </w:t>
      </w:r>
      <w:r w:rsidR="00CA2A62">
        <w:t xml:space="preserve">being </w:t>
      </w:r>
      <w:r>
        <w:t xml:space="preserve">that </w:t>
      </w:r>
      <w:r w:rsidR="007E5D4F">
        <w:t>the words “influence”</w:t>
      </w:r>
      <w:r w:rsidR="007E5D4F" w:rsidRPr="007E5D4F">
        <w:t xml:space="preserve">, </w:t>
      </w:r>
      <w:r w:rsidR="007E5D4F">
        <w:t>“affect”</w:t>
      </w:r>
      <w:r w:rsidR="007E5D4F" w:rsidRPr="007E5D4F">
        <w:t xml:space="preserve"> and </w:t>
      </w:r>
      <w:r w:rsidR="007E5D4F">
        <w:t>“aimed at”</w:t>
      </w:r>
      <w:r w:rsidR="007E5D4F" w:rsidRPr="007E5D4F">
        <w:t xml:space="preserve"> do not appear in section 9</w:t>
      </w:r>
      <w:r w:rsidR="007E5D4F">
        <w:t xml:space="preserve">.  That is certainly true and it is </w:t>
      </w:r>
      <w:r w:rsidR="008E6167">
        <w:t>correct</w:t>
      </w:r>
      <w:r w:rsidR="007E5D4F">
        <w:t xml:space="preserve"> that </w:t>
      </w:r>
      <w:r w:rsidR="00CA2A62">
        <w:t>in the relevant phrase</w:t>
      </w:r>
      <w:r w:rsidR="007E5D4F">
        <w:t xml:space="preserve">, words with a general, non-specific meaning – “in relation to his principal's affairs or business” – are used.  However, </w:t>
      </w:r>
      <w:r w:rsidR="00CA2A62">
        <w:t>I am unable to agree with Cheung JA’s statement that “</w:t>
      </w:r>
      <w:r w:rsidR="00CA2A62" w:rsidRPr="00CA2A62">
        <w:t>this does not mean that, apart from being related to the principal’s business, the agent’s act must also have been deliberately intended to influence, affect or be aimed at the principal’s business</w:t>
      </w:r>
      <w:r w:rsidR="00CA2A62">
        <w:t xml:space="preserve">” in so far as </w:t>
      </w:r>
      <w:r w:rsidR="00BF5DCF">
        <w:t xml:space="preserve">his Lordship </w:t>
      </w:r>
      <w:r w:rsidR="00CA2A62">
        <w:t xml:space="preserve">may </w:t>
      </w:r>
      <w:r w:rsidR="00BF5DCF">
        <w:t xml:space="preserve">have </w:t>
      </w:r>
      <w:r w:rsidR="00CA2A62">
        <w:t xml:space="preserve">intended to </w:t>
      </w:r>
      <w:r w:rsidR="007E5D4F">
        <w:t>question the correctness of Lord Lloyd’s construction</w:t>
      </w:r>
      <w:r w:rsidR="004C7ECF">
        <w:t xml:space="preserve">.  </w:t>
      </w:r>
    </w:p>
    <w:p w:rsidR="00055A03" w:rsidRPr="00055A03" w:rsidRDefault="004C7ECF" w:rsidP="00492FF5">
      <w:pPr>
        <w:pStyle w:val="Bob1"/>
        <w:tabs>
          <w:tab w:val="clear" w:pos="720"/>
          <w:tab w:val="left" w:pos="1440"/>
        </w:tabs>
        <w:ind w:left="0" w:firstLine="0"/>
        <w:jc w:val="both"/>
      </w:pPr>
      <w:r>
        <w:t xml:space="preserve">Lord Lloyd </w:t>
      </w:r>
      <w:r w:rsidR="007E5D4F">
        <w:t xml:space="preserve">elaborated upon the meaning of those words </w:t>
      </w:r>
      <w:r w:rsidR="005951A7">
        <w:t xml:space="preserve">by reference to </w:t>
      </w:r>
      <w:r w:rsidR="007E5D4F">
        <w:t>the mischief of the legislation (which is further discussed below</w:t>
      </w:r>
      <w:r w:rsidR="007E5D4F">
        <w:rPr>
          <w:rStyle w:val="FootnoteReference"/>
        </w:rPr>
        <w:footnoteReference w:id="30"/>
      </w:r>
      <w:r w:rsidR="007E5D4F">
        <w:t>)</w:t>
      </w:r>
      <w:r w:rsidR="005951A7">
        <w:t xml:space="preserve"> as indicated by the examples </w:t>
      </w:r>
      <w:r w:rsidR="00CA2A62">
        <w:t>he gave</w:t>
      </w:r>
      <w:r w:rsidR="007E5D4F">
        <w:t>.</w:t>
      </w:r>
      <w:r>
        <w:t xml:space="preserve">  In so doing, he was reflecting </w:t>
      </w:r>
      <w:r w:rsidR="005951A7" w:rsidRPr="00055A03">
        <w:t xml:space="preserve">the </w:t>
      </w:r>
      <w:r w:rsidR="00CA2A62">
        <w:t xml:space="preserve">Court’s </w:t>
      </w:r>
      <w:r w:rsidR="005951A7" w:rsidRPr="00055A03">
        <w:t xml:space="preserve">duty </w:t>
      </w:r>
      <w:r w:rsidRPr="00492FF5">
        <w:rPr>
          <w:iCs/>
          <w:color w:val="000000"/>
        </w:rPr>
        <w:t>to give effect to the legislative intention</w:t>
      </w:r>
      <w:r>
        <w:t xml:space="preserve"> </w:t>
      </w:r>
      <w:r w:rsidR="00CA2A62">
        <w:t xml:space="preserve">when </w:t>
      </w:r>
      <w:r w:rsidR="005951A7" w:rsidRPr="00055A03">
        <w:t>construing general words</w:t>
      </w:r>
      <w:r w:rsidR="00CA2A62" w:rsidRPr="00492FF5">
        <w:rPr>
          <w:iCs/>
          <w:color w:val="000000"/>
        </w:rPr>
        <w:t>,</w:t>
      </w:r>
      <w:r w:rsidR="00055A03" w:rsidRPr="00055A03">
        <w:t xml:space="preserve"> </w:t>
      </w:r>
      <w:r w:rsidR="005951A7" w:rsidRPr="00055A03">
        <w:t xml:space="preserve">as explained by Lord Millett NPJ in </w:t>
      </w:r>
      <w:proofErr w:type="spellStart"/>
      <w:r w:rsidR="00055A03" w:rsidRPr="00B426AE">
        <w:rPr>
          <w:i/>
          <w:color w:val="000000"/>
        </w:rPr>
        <w:t>Ho</w:t>
      </w:r>
      <w:proofErr w:type="spellEnd"/>
      <w:r w:rsidR="00055A03" w:rsidRPr="00492FF5">
        <w:rPr>
          <w:color w:val="000000"/>
        </w:rPr>
        <w:t xml:space="preserve"> </w:t>
      </w:r>
      <w:r w:rsidR="00055A03" w:rsidRPr="00492FF5">
        <w:rPr>
          <w:i/>
          <w:iCs/>
          <w:color w:val="000000"/>
        </w:rPr>
        <w:t>Choi Wan v Hong Kong Housing Authority</w:t>
      </w:r>
      <w:r w:rsidR="00055A03" w:rsidRPr="00492FF5">
        <w:rPr>
          <w:iCs/>
          <w:color w:val="000000"/>
        </w:rPr>
        <w:t>:</w:t>
      </w:r>
      <w:r w:rsidR="00055A03">
        <w:rPr>
          <w:rStyle w:val="FootnoteReference"/>
          <w:iCs/>
          <w:color w:val="000000"/>
        </w:rPr>
        <w:footnoteReference w:id="31"/>
      </w:r>
    </w:p>
    <w:p w:rsidR="00055A03" w:rsidRPr="00055A03" w:rsidRDefault="00055A03" w:rsidP="00492FF5">
      <w:pPr>
        <w:pStyle w:val="BodyText"/>
        <w:kinsoku w:val="0"/>
        <w:autoSpaceDE w:val="0"/>
        <w:autoSpaceDN w:val="0"/>
        <w:snapToGrid w:val="0"/>
        <w:spacing w:after="240"/>
        <w:ind w:left="720"/>
        <w:jc w:val="both"/>
        <w:rPr>
          <w:sz w:val="24"/>
          <w:szCs w:val="28"/>
        </w:rPr>
      </w:pPr>
      <w:r w:rsidRPr="00055A03">
        <w:rPr>
          <w:iCs/>
          <w:color w:val="000000"/>
          <w:sz w:val="24"/>
        </w:rPr>
        <w:t>“</w:t>
      </w:r>
      <w:r w:rsidRPr="00055A03">
        <w:rPr>
          <w:rFonts w:hint="eastAsia"/>
          <w:sz w:val="24"/>
          <w:szCs w:val="28"/>
        </w:rPr>
        <w:t>In construing the language of a statute, it is the task of the court to ascertain and give effect to the intention of the legislature.  But that does not mean that the Court must give a literal construction to every word or phrase in the statute.  As Lord</w:t>
      </w:r>
      <w:r w:rsidRPr="00055A03">
        <w:rPr>
          <w:sz w:val="24"/>
          <w:szCs w:val="28"/>
          <w:lang w:val="en-US"/>
        </w:rPr>
        <w:t> </w:t>
      </w:r>
      <w:r w:rsidRPr="00055A03">
        <w:rPr>
          <w:rFonts w:hint="eastAsia"/>
          <w:sz w:val="24"/>
          <w:szCs w:val="28"/>
        </w:rPr>
        <w:t xml:space="preserve">Bingham of </w:t>
      </w:r>
      <w:r w:rsidRPr="00055A03">
        <w:rPr>
          <w:rFonts w:hint="eastAsia"/>
          <w:sz w:val="24"/>
          <w:szCs w:val="28"/>
        </w:rPr>
        <w:lastRenderedPageBreak/>
        <w:t xml:space="preserve">Cornhill said in </w:t>
      </w:r>
      <w:r w:rsidRPr="00055A03">
        <w:rPr>
          <w:rFonts w:hint="eastAsia"/>
          <w:i/>
          <w:iCs/>
          <w:sz w:val="24"/>
          <w:szCs w:val="28"/>
        </w:rPr>
        <w:t>R (</w:t>
      </w:r>
      <w:proofErr w:type="spellStart"/>
      <w:r w:rsidRPr="00055A03">
        <w:rPr>
          <w:rFonts w:hint="eastAsia"/>
          <w:i/>
          <w:iCs/>
          <w:sz w:val="24"/>
          <w:szCs w:val="28"/>
        </w:rPr>
        <w:t>Quintavalle</w:t>
      </w:r>
      <w:proofErr w:type="spellEnd"/>
      <w:r w:rsidRPr="00055A03">
        <w:rPr>
          <w:rFonts w:hint="eastAsia"/>
          <w:i/>
          <w:iCs/>
          <w:sz w:val="24"/>
          <w:szCs w:val="28"/>
        </w:rPr>
        <w:t>) v. Secretary of State for Health</w:t>
      </w:r>
      <w:r w:rsidRPr="00055A03">
        <w:rPr>
          <w:rFonts w:hint="eastAsia"/>
          <w:b/>
          <w:bCs/>
          <w:sz w:val="24"/>
          <w:szCs w:val="28"/>
        </w:rPr>
        <w:t xml:space="preserve"> </w:t>
      </w:r>
      <w:r w:rsidRPr="00055A03">
        <w:rPr>
          <w:rFonts w:hint="eastAsia"/>
          <w:sz w:val="24"/>
          <w:szCs w:val="28"/>
        </w:rPr>
        <w:t>[2003]</w:t>
      </w:r>
      <w:r w:rsidRPr="00055A03">
        <w:rPr>
          <w:sz w:val="24"/>
          <w:szCs w:val="28"/>
          <w:lang w:val="en-US"/>
        </w:rPr>
        <w:t> </w:t>
      </w:r>
      <w:r w:rsidRPr="00055A03">
        <w:rPr>
          <w:rFonts w:hint="eastAsia"/>
          <w:sz w:val="24"/>
          <w:szCs w:val="28"/>
        </w:rPr>
        <w:t>2 AC</w:t>
      </w:r>
      <w:r w:rsidRPr="00055A03">
        <w:rPr>
          <w:sz w:val="24"/>
          <w:szCs w:val="28"/>
          <w:lang w:val="en-US"/>
        </w:rPr>
        <w:t> </w:t>
      </w:r>
      <w:r w:rsidRPr="00055A03">
        <w:rPr>
          <w:rFonts w:hint="eastAsia"/>
          <w:sz w:val="24"/>
          <w:szCs w:val="28"/>
        </w:rPr>
        <w:t>687 at p.695</w:t>
      </w:r>
      <w:r>
        <w:rPr>
          <w:sz w:val="24"/>
          <w:szCs w:val="28"/>
        </w:rPr>
        <w:t>:</w:t>
      </w:r>
    </w:p>
    <w:p w:rsidR="00055A03" w:rsidRPr="00055A03" w:rsidRDefault="00055A03" w:rsidP="00492FF5">
      <w:pPr>
        <w:pStyle w:val="BodyText"/>
        <w:kinsoku w:val="0"/>
        <w:autoSpaceDE w:val="0"/>
        <w:autoSpaceDN w:val="0"/>
        <w:snapToGrid w:val="0"/>
        <w:spacing w:after="240"/>
        <w:ind w:left="1440"/>
        <w:jc w:val="both"/>
        <w:rPr>
          <w:sz w:val="24"/>
          <w:szCs w:val="28"/>
        </w:rPr>
      </w:pPr>
      <w:r>
        <w:rPr>
          <w:sz w:val="24"/>
          <w:szCs w:val="28"/>
        </w:rPr>
        <w:t>‘</w:t>
      </w:r>
      <w:r w:rsidRPr="00055A03">
        <w:rPr>
          <w:rFonts w:hint="eastAsia"/>
          <w:sz w:val="24"/>
          <w:szCs w:val="28"/>
        </w:rPr>
        <w:t>The court</w:t>
      </w:r>
      <w:r w:rsidRPr="00055A03">
        <w:rPr>
          <w:sz w:val="24"/>
          <w:szCs w:val="28"/>
        </w:rPr>
        <w:t>’</w:t>
      </w:r>
      <w:r w:rsidRPr="00055A03">
        <w:rPr>
          <w:rFonts w:hint="eastAsia"/>
          <w:sz w:val="24"/>
          <w:szCs w:val="28"/>
        </w:rPr>
        <w:t>s task, within the permissible bounds of interpretation, is to give effect to Parliament</w:t>
      </w:r>
      <w:r w:rsidRPr="00055A03">
        <w:rPr>
          <w:sz w:val="24"/>
          <w:szCs w:val="28"/>
        </w:rPr>
        <w:t>’</w:t>
      </w:r>
      <w:r w:rsidRPr="00055A03">
        <w:rPr>
          <w:rFonts w:hint="eastAsia"/>
          <w:sz w:val="24"/>
          <w:szCs w:val="28"/>
        </w:rPr>
        <w:t>s purpose.</w:t>
      </w:r>
      <w:r>
        <w:rPr>
          <w:sz w:val="24"/>
          <w:szCs w:val="28"/>
        </w:rPr>
        <w:t>’</w:t>
      </w:r>
    </w:p>
    <w:p w:rsidR="002717BE" w:rsidRPr="00055A03" w:rsidRDefault="00055A03" w:rsidP="00492FF5">
      <w:pPr>
        <w:pStyle w:val="Bob1"/>
        <w:numPr>
          <w:ilvl w:val="0"/>
          <w:numId w:val="0"/>
        </w:numPr>
        <w:spacing w:line="240" w:lineRule="auto"/>
        <w:ind w:left="720"/>
        <w:jc w:val="both"/>
        <w:rPr>
          <w:sz w:val="24"/>
        </w:rPr>
      </w:pPr>
      <w:r w:rsidRPr="00055A03">
        <w:rPr>
          <w:rFonts w:hint="eastAsia"/>
          <w:sz w:val="24"/>
          <w:szCs w:val="28"/>
        </w:rPr>
        <w:t xml:space="preserve">Whenever the legislature enacts or amends an Ordinance, its purpose is to remedy a perceived mischief or defect in the pre-existing legislation.  It is to be presumed that it did not intend the statute to go wider in its operation than is necessary to remedy the mischief or defect in question.  If it has inadvertently employed general words which, if given their fullest effect, are wider than necessary, the court not only may but must restrict them by construing them in a narrower sense which, while still falling </w:t>
      </w:r>
      <w:r w:rsidRPr="00055A03">
        <w:rPr>
          <w:sz w:val="24"/>
          <w:szCs w:val="28"/>
        </w:rPr>
        <w:t>within</w:t>
      </w:r>
      <w:r w:rsidRPr="00055A03">
        <w:rPr>
          <w:rFonts w:hint="eastAsia"/>
          <w:sz w:val="24"/>
          <w:szCs w:val="28"/>
        </w:rPr>
        <w:t xml:space="preserve"> the ordinary meaning of the words, gives effect to the legislative intent but does not go beyond it, still less frustrate it</w:t>
      </w:r>
      <w:r>
        <w:rPr>
          <w:iCs/>
          <w:color w:val="000000"/>
          <w:sz w:val="24"/>
        </w:rPr>
        <w:t>.”</w:t>
      </w:r>
    </w:p>
    <w:p w:rsidR="00055A03" w:rsidRDefault="00CA2A62" w:rsidP="00492FF5">
      <w:pPr>
        <w:pStyle w:val="Bob1"/>
        <w:tabs>
          <w:tab w:val="clear" w:pos="720"/>
          <w:tab w:val="left" w:pos="1440"/>
        </w:tabs>
        <w:ind w:left="0" w:firstLine="0"/>
        <w:jc w:val="both"/>
      </w:pPr>
      <w:r>
        <w:t xml:space="preserve">I am less clear about </w:t>
      </w:r>
      <w:r w:rsidR="004C7ECF">
        <w:t xml:space="preserve">the meaning of </w:t>
      </w:r>
      <w:r>
        <w:t xml:space="preserve">Cheung JA’s </w:t>
      </w:r>
      <w:r w:rsidR="008E6167">
        <w:t xml:space="preserve">second </w:t>
      </w:r>
      <w:r>
        <w:t xml:space="preserve">point regarding a “causal relationship.” </w:t>
      </w:r>
      <w:r w:rsidR="004C7ECF">
        <w:t xml:space="preserve"> The suggestion that Lord Lloyd was “</w:t>
      </w:r>
      <w:r w:rsidR="004C7ECF" w:rsidRPr="004C7ECF">
        <w:t xml:space="preserve">emphasizing the need for the prosecution to prove </w:t>
      </w:r>
      <w:r w:rsidR="004C7ECF">
        <w:t>[some]</w:t>
      </w:r>
      <w:r w:rsidR="004C7ECF" w:rsidRPr="004C7ECF">
        <w:t xml:space="preserve"> causal relationship</w:t>
      </w:r>
      <w:r w:rsidR="004C7ECF">
        <w:t>” is puzzling especially since it is juxtaposed with the statement that the words in question “</w:t>
      </w:r>
      <w:r w:rsidR="004C7ECF" w:rsidRPr="004C7ECF">
        <w:t>do not connote a positive or negative impact of the agent’s act on the principal’s business</w:t>
      </w:r>
      <w:r w:rsidR="004C7ECF">
        <w:t>”.  If this is a reference to the rule laid down by POBO section 11</w:t>
      </w:r>
      <w:r w:rsidR="004B7C74">
        <w:t xml:space="preserve"> that inability or failure to carry out the corrupt purpose is not </w:t>
      </w:r>
      <w:r w:rsidR="00760ABA">
        <w:t xml:space="preserve">a </w:t>
      </w:r>
      <w:r w:rsidR="004B7C74">
        <w:t>defence, then it is uncontroversial.  Otherwise, its relevance is not evident.</w:t>
      </w:r>
      <w:r w:rsidR="004C7ECF">
        <w:t xml:space="preserve"> </w:t>
      </w:r>
      <w:r w:rsidR="00C314F6">
        <w:t xml:space="preserve"> </w:t>
      </w:r>
    </w:p>
    <w:p w:rsidR="00F33898" w:rsidRDefault="00FA08A8" w:rsidP="00492FF5">
      <w:pPr>
        <w:pStyle w:val="Bob1"/>
        <w:tabs>
          <w:tab w:val="clear" w:pos="720"/>
          <w:tab w:val="left" w:pos="1440"/>
        </w:tabs>
        <w:ind w:left="0" w:firstLine="0"/>
        <w:jc w:val="both"/>
      </w:pPr>
      <w:r>
        <w:t>T</w:t>
      </w:r>
      <w:r w:rsidR="00F33898">
        <w:t>urning to t</w:t>
      </w:r>
      <w:r>
        <w:t xml:space="preserve">he </w:t>
      </w:r>
      <w:r w:rsidR="00AE685E">
        <w:t xml:space="preserve">joint judgment, </w:t>
      </w:r>
      <w:r w:rsidR="00F33898">
        <w:t xml:space="preserve">it held, </w:t>
      </w:r>
      <w:r>
        <w:t xml:space="preserve">as we have seen, that the appellants’ conduct was caught by the relevant phrase because TVB’s </w:t>
      </w:r>
      <w:r w:rsidR="004A5CA4">
        <w:t xml:space="preserve">enthusiasm for </w:t>
      </w:r>
      <w:r>
        <w:t>having Chan’s segment as part of the Countdown</w:t>
      </w:r>
      <w:r w:rsidR="004127D6">
        <w:t xml:space="preserve"> show</w:t>
      </w:r>
      <w:r>
        <w:t xml:space="preserve"> </w:t>
      </w:r>
      <w:r w:rsidR="00E77B1B">
        <w:t>to achieve</w:t>
      </w:r>
      <w:r>
        <w:t xml:space="preserve"> </w:t>
      </w:r>
      <w:r w:rsidR="004127D6">
        <w:t xml:space="preserve">higher </w:t>
      </w:r>
      <w:r>
        <w:t>audience rating</w:t>
      </w:r>
      <w:r w:rsidR="004127D6">
        <w:t>s</w:t>
      </w:r>
      <w:r>
        <w:t xml:space="preserve"> </w:t>
      </w:r>
      <w:r w:rsidR="004127D6">
        <w:t xml:space="preserve">meant that </w:t>
      </w:r>
      <w:r>
        <w:t xml:space="preserve">his participation </w:t>
      </w:r>
      <w:r w:rsidR="004127D6">
        <w:t xml:space="preserve">was </w:t>
      </w:r>
      <w:r>
        <w:t xml:space="preserve">an act “in relation to his principal's affairs or business”.  </w:t>
      </w:r>
      <w:r w:rsidR="004127D6">
        <w:t>T</w:t>
      </w:r>
      <w:r>
        <w:t>h</w:t>
      </w:r>
      <w:r w:rsidR="00F33898">
        <w:t>at</w:t>
      </w:r>
      <w:r>
        <w:t xml:space="preserve"> </w:t>
      </w:r>
      <w:r w:rsidR="004127D6">
        <w:t>is</w:t>
      </w:r>
      <w:r>
        <w:t xml:space="preserve"> not an approach consistent with </w:t>
      </w:r>
      <w:proofErr w:type="spellStart"/>
      <w:r w:rsidRPr="00492FF5">
        <w:rPr>
          <w:i/>
        </w:rPr>
        <w:t>Ch</w:t>
      </w:r>
      <w:r w:rsidR="00760ABA" w:rsidRPr="00492FF5">
        <w:rPr>
          <w:i/>
        </w:rPr>
        <w:t>’</w:t>
      </w:r>
      <w:r w:rsidRPr="00492FF5">
        <w:rPr>
          <w:i/>
        </w:rPr>
        <w:t>ng</w:t>
      </w:r>
      <w:proofErr w:type="spellEnd"/>
      <w:r w:rsidRPr="00492FF5">
        <w:rPr>
          <w:i/>
        </w:rPr>
        <w:t xml:space="preserve"> </w:t>
      </w:r>
      <w:proofErr w:type="spellStart"/>
      <w:r w:rsidRPr="00492FF5">
        <w:rPr>
          <w:i/>
        </w:rPr>
        <w:t>Poh</w:t>
      </w:r>
      <w:proofErr w:type="spellEnd"/>
      <w:r>
        <w:t xml:space="preserve">.  It </w:t>
      </w:r>
      <w:r w:rsidR="004A5CA4">
        <w:t>appears</w:t>
      </w:r>
      <w:r>
        <w:t xml:space="preserve"> that </w:t>
      </w:r>
      <w:r w:rsidR="00784E91">
        <w:t xml:space="preserve">in arriving at its decision, </w:t>
      </w:r>
      <w:r>
        <w:t xml:space="preserve">the joint judgment </w:t>
      </w:r>
      <w:r w:rsidR="004A5CA4">
        <w:t xml:space="preserve">sought </w:t>
      </w:r>
      <w:r w:rsidR="008E6167">
        <w:t>to distinguish the Privy Council</w:t>
      </w:r>
      <w:r w:rsidR="004127D6">
        <w:t>’s</w:t>
      </w:r>
      <w:r w:rsidR="008E6167">
        <w:t xml:space="preserve"> decision.  First, it treats </w:t>
      </w:r>
      <w:proofErr w:type="spellStart"/>
      <w:r w:rsidR="004A5CA4" w:rsidRPr="00492FF5">
        <w:rPr>
          <w:i/>
        </w:rPr>
        <w:t>Ch</w:t>
      </w:r>
      <w:r w:rsidR="00760ABA" w:rsidRPr="00492FF5">
        <w:rPr>
          <w:i/>
        </w:rPr>
        <w:t>’</w:t>
      </w:r>
      <w:r w:rsidR="004A5CA4" w:rsidRPr="00492FF5">
        <w:rPr>
          <w:i/>
        </w:rPr>
        <w:t>ng</w:t>
      </w:r>
      <w:proofErr w:type="spellEnd"/>
      <w:r w:rsidR="004A5CA4" w:rsidRPr="00492FF5">
        <w:rPr>
          <w:i/>
        </w:rPr>
        <w:t xml:space="preserve"> </w:t>
      </w:r>
      <w:proofErr w:type="spellStart"/>
      <w:r w:rsidR="004A5CA4" w:rsidRPr="00492FF5">
        <w:rPr>
          <w:i/>
        </w:rPr>
        <w:t>Poh</w:t>
      </w:r>
      <w:proofErr w:type="spellEnd"/>
      <w:r w:rsidR="004A5CA4" w:rsidRPr="00492FF5">
        <w:rPr>
          <w:i/>
        </w:rPr>
        <w:t xml:space="preserve"> </w:t>
      </w:r>
      <w:r w:rsidR="008E6167">
        <w:t xml:space="preserve">as authority </w:t>
      </w:r>
      <w:r w:rsidR="00E77B1B">
        <w:t xml:space="preserve">merely </w:t>
      </w:r>
      <w:r w:rsidR="008E6167">
        <w:t>for the proposition that where an “</w:t>
      </w:r>
      <w:r w:rsidR="0071575A" w:rsidRPr="00492FF5">
        <w:rPr>
          <w:rFonts w:eastAsia="PMingLiU"/>
          <w:szCs w:val="28"/>
          <w:lang w:eastAsia="zh-TW"/>
        </w:rPr>
        <w:t>agent’s act has nothing to do with his principal’s affairs or goes beyond the agent’s</w:t>
      </w:r>
      <w:r w:rsidR="0071575A" w:rsidRPr="00492FF5" w:rsidDel="003229F0">
        <w:rPr>
          <w:rFonts w:eastAsia="PMingLiU"/>
          <w:szCs w:val="28"/>
          <w:lang w:eastAsia="zh-TW"/>
        </w:rPr>
        <w:t xml:space="preserve"> </w:t>
      </w:r>
      <w:r w:rsidR="0071575A" w:rsidRPr="00492FF5">
        <w:rPr>
          <w:rFonts w:eastAsia="PMingLiU"/>
          <w:szCs w:val="28"/>
          <w:lang w:eastAsia="zh-TW"/>
        </w:rPr>
        <w:t>official powers and duties and is not authorized by his principal” no section 9 offence is committed.</w:t>
      </w:r>
      <w:r w:rsidR="0071575A">
        <w:rPr>
          <w:rStyle w:val="FootnoteReference"/>
          <w:rFonts w:eastAsia="PMingLiU"/>
          <w:szCs w:val="28"/>
          <w:lang w:eastAsia="zh-TW"/>
        </w:rPr>
        <w:footnoteReference w:id="32"/>
      </w:r>
      <w:r w:rsidR="008E6167">
        <w:t xml:space="preserve"> </w:t>
      </w:r>
      <w:r w:rsidR="0071575A">
        <w:t xml:space="preserve"> </w:t>
      </w:r>
      <w:r w:rsidR="00F33898">
        <w:t>T</w:t>
      </w:r>
      <w:r w:rsidR="0071575A">
        <w:t xml:space="preserve">his </w:t>
      </w:r>
      <w:r w:rsidR="00F33898">
        <w:t xml:space="preserve">was </w:t>
      </w:r>
      <w:r w:rsidR="0071575A">
        <w:lastRenderedPageBreak/>
        <w:t xml:space="preserve">certainly the position on the facts of </w:t>
      </w:r>
      <w:proofErr w:type="spellStart"/>
      <w:r w:rsidR="0071575A" w:rsidRPr="00492FF5">
        <w:rPr>
          <w:i/>
        </w:rPr>
        <w:t>Ch</w:t>
      </w:r>
      <w:r w:rsidR="00760ABA" w:rsidRPr="00492FF5">
        <w:rPr>
          <w:i/>
        </w:rPr>
        <w:t>’</w:t>
      </w:r>
      <w:r w:rsidR="0071575A" w:rsidRPr="00492FF5">
        <w:rPr>
          <w:i/>
        </w:rPr>
        <w:t>ng</w:t>
      </w:r>
      <w:proofErr w:type="spellEnd"/>
      <w:r w:rsidR="0071575A" w:rsidRPr="00492FF5">
        <w:rPr>
          <w:i/>
        </w:rPr>
        <w:t xml:space="preserve"> </w:t>
      </w:r>
      <w:proofErr w:type="spellStart"/>
      <w:r w:rsidR="0071575A" w:rsidRPr="00492FF5">
        <w:rPr>
          <w:i/>
        </w:rPr>
        <w:t>Poh</w:t>
      </w:r>
      <w:proofErr w:type="spellEnd"/>
      <w:r w:rsidR="00F379D5">
        <w:rPr>
          <w:rStyle w:val="FootnoteReference"/>
        </w:rPr>
        <w:footnoteReference w:id="33"/>
      </w:r>
      <w:r w:rsidR="004A5CA4">
        <w:t xml:space="preserve"> and may be said to be its </w:t>
      </w:r>
      <w:r w:rsidR="004A5CA4" w:rsidRPr="00492FF5">
        <w:rPr>
          <w:i/>
        </w:rPr>
        <w:t xml:space="preserve">ratio </w:t>
      </w:r>
      <w:proofErr w:type="spellStart"/>
      <w:r w:rsidR="004A5CA4" w:rsidRPr="00492FF5">
        <w:rPr>
          <w:i/>
        </w:rPr>
        <w:t>decidendi</w:t>
      </w:r>
      <w:proofErr w:type="spellEnd"/>
      <w:r w:rsidR="004A5CA4">
        <w:t>.</w:t>
      </w:r>
      <w:r w:rsidR="00F33898">
        <w:t xml:space="preserve">  However,</w:t>
      </w:r>
      <w:r w:rsidR="0071575A" w:rsidRPr="00492FF5">
        <w:rPr>
          <w:i/>
        </w:rPr>
        <w:t xml:space="preserve"> </w:t>
      </w:r>
      <w:r w:rsidR="0071575A">
        <w:t>as noted above</w:t>
      </w:r>
      <w:r w:rsidR="00F33898">
        <w:t>,</w:t>
      </w:r>
      <w:r w:rsidR="00F33898">
        <w:rPr>
          <w:rStyle w:val="FootnoteReference"/>
        </w:rPr>
        <w:footnoteReference w:id="34"/>
      </w:r>
      <w:r w:rsidR="00F33898">
        <w:t xml:space="preserve"> the importance of Lord Lloyd’s judgment </w:t>
      </w:r>
      <w:r w:rsidR="004127D6">
        <w:t xml:space="preserve">lies </w:t>
      </w:r>
      <w:r w:rsidR="00F33898">
        <w:t xml:space="preserve">in its </w:t>
      </w:r>
      <w:r w:rsidR="004127D6">
        <w:t>elaboration of</w:t>
      </w:r>
      <w:r w:rsidR="00F33898">
        <w:t xml:space="preserve"> the phrase currently under discussion.  </w:t>
      </w:r>
    </w:p>
    <w:p w:rsidR="004B7C74" w:rsidRDefault="00F33898" w:rsidP="00492FF5">
      <w:pPr>
        <w:pStyle w:val="Bob1"/>
        <w:tabs>
          <w:tab w:val="clear" w:pos="720"/>
          <w:tab w:val="left" w:pos="1440"/>
        </w:tabs>
        <w:ind w:left="0" w:firstLine="0"/>
        <w:jc w:val="both"/>
      </w:pPr>
      <w:r>
        <w:t xml:space="preserve">The joint judgment </w:t>
      </w:r>
      <w:r w:rsidR="00EB64E0">
        <w:t xml:space="preserve">seeks next </w:t>
      </w:r>
      <w:r>
        <w:t xml:space="preserve">to distinguish </w:t>
      </w:r>
      <w:r w:rsidR="00EB64E0">
        <w:t xml:space="preserve">Lord Lloyd’s </w:t>
      </w:r>
      <w:r>
        <w:t>explication by asserting that:</w:t>
      </w:r>
    </w:p>
    <w:p w:rsidR="00F33898" w:rsidRPr="00F33898" w:rsidRDefault="00F33898" w:rsidP="00492FF5">
      <w:pPr>
        <w:pStyle w:val="Bob1"/>
        <w:numPr>
          <w:ilvl w:val="0"/>
          <w:numId w:val="0"/>
        </w:numPr>
        <w:spacing w:line="240" w:lineRule="auto"/>
        <w:ind w:left="720"/>
        <w:jc w:val="both"/>
        <w:rPr>
          <w:sz w:val="24"/>
        </w:rPr>
      </w:pPr>
      <w:r w:rsidRPr="00F33898">
        <w:rPr>
          <w:sz w:val="24"/>
        </w:rPr>
        <w:t>“</w:t>
      </w:r>
      <w:r w:rsidRPr="00F33898">
        <w:rPr>
          <w:rFonts w:eastAsia="PMingLiU"/>
          <w:sz w:val="24"/>
          <w:szCs w:val="28"/>
          <w:lang w:eastAsia="zh-TW"/>
        </w:rPr>
        <w:t xml:space="preserve">The intention with which </w:t>
      </w:r>
      <w:proofErr w:type="spellStart"/>
      <w:r w:rsidRPr="00F33898">
        <w:rPr>
          <w:rFonts w:eastAsia="MingLiU"/>
          <w:i/>
          <w:sz w:val="24"/>
          <w:szCs w:val="28"/>
          <w:lang w:eastAsia="zh-TW"/>
        </w:rPr>
        <w:t>Ch’ng</w:t>
      </w:r>
      <w:proofErr w:type="spellEnd"/>
      <w:r w:rsidRPr="00F33898">
        <w:rPr>
          <w:rFonts w:eastAsia="MingLiU"/>
          <w:i/>
          <w:sz w:val="24"/>
          <w:szCs w:val="28"/>
          <w:lang w:eastAsia="zh-TW"/>
        </w:rPr>
        <w:t xml:space="preserve"> </w:t>
      </w:r>
      <w:proofErr w:type="spellStart"/>
      <w:r w:rsidRPr="00F33898">
        <w:rPr>
          <w:rFonts w:eastAsia="MingLiU"/>
          <w:i/>
          <w:sz w:val="24"/>
          <w:szCs w:val="28"/>
          <w:lang w:eastAsia="zh-TW"/>
        </w:rPr>
        <w:t>Poh</w:t>
      </w:r>
      <w:proofErr w:type="spellEnd"/>
      <w:r w:rsidRPr="00F33898">
        <w:rPr>
          <w:rFonts w:eastAsia="PMingLiU"/>
          <w:sz w:val="24"/>
          <w:szCs w:val="28"/>
          <w:lang w:eastAsia="zh-TW"/>
        </w:rPr>
        <w:t xml:space="preserve"> was concerned is the intention in relation to the offering of the bribe, not the intention of the agent who accepts the advantage.  This point is not difficult to understand.  The person offering the bribe will not give an advantage to the agent for no reason.  He certainly wants the agent who has accepted the advantage to do certain acts which will influence or affect his principal and which will benefit him.  It is possible that an agent accepts an advantage solely out of greed, with no intention to actually influence or affect his principal’s affair</w:t>
      </w:r>
      <w:r w:rsidRPr="00F33898">
        <w:rPr>
          <w:rFonts w:eastAsia="宋体"/>
          <w:sz w:val="24"/>
          <w:szCs w:val="28"/>
        </w:rPr>
        <w:t>s</w:t>
      </w:r>
      <w:r w:rsidRPr="00F33898">
        <w:rPr>
          <w:rFonts w:eastAsia="PMingLiU"/>
          <w:sz w:val="24"/>
          <w:szCs w:val="28"/>
          <w:lang w:eastAsia="zh-TW"/>
        </w:rPr>
        <w:t xml:space="preserve"> by doing his act, but it does not follow that he has not committed the offence under section 9(1)(a) of the Prevention of Bribery Ordinance.”</w:t>
      </w:r>
      <w:r>
        <w:rPr>
          <w:rStyle w:val="FootnoteReference"/>
          <w:rFonts w:eastAsia="PMingLiU"/>
          <w:sz w:val="24"/>
          <w:szCs w:val="28"/>
          <w:lang w:eastAsia="zh-TW"/>
        </w:rPr>
        <w:footnoteReference w:id="35"/>
      </w:r>
    </w:p>
    <w:p w:rsidR="00EB64E0" w:rsidRDefault="00EB64E0" w:rsidP="00492FF5">
      <w:pPr>
        <w:pStyle w:val="Bob1"/>
        <w:tabs>
          <w:tab w:val="clear" w:pos="720"/>
          <w:tab w:val="left" w:pos="1440"/>
        </w:tabs>
        <w:ind w:left="0" w:firstLine="0"/>
        <w:jc w:val="both"/>
      </w:pPr>
      <w:r>
        <w:t>I</w:t>
      </w:r>
      <w:r w:rsidR="00E46419">
        <w:t xml:space="preserve">n </w:t>
      </w:r>
      <w:proofErr w:type="spellStart"/>
      <w:r w:rsidR="00760ABA">
        <w:rPr>
          <w:i/>
        </w:rPr>
        <w:t>Ch’</w:t>
      </w:r>
      <w:r w:rsidR="00E46419">
        <w:rPr>
          <w:i/>
        </w:rPr>
        <w:t>ng</w:t>
      </w:r>
      <w:proofErr w:type="spellEnd"/>
      <w:r w:rsidR="00E46419">
        <w:rPr>
          <w:i/>
        </w:rPr>
        <w:t xml:space="preserve"> </w:t>
      </w:r>
      <w:proofErr w:type="spellStart"/>
      <w:r w:rsidR="00E46419">
        <w:rPr>
          <w:i/>
        </w:rPr>
        <w:t>Poh</w:t>
      </w:r>
      <w:proofErr w:type="spellEnd"/>
      <w:r w:rsidR="00E46419">
        <w:t xml:space="preserve">, Lord Lloyd was analysing the position from the point of view of the </w:t>
      </w:r>
      <w:proofErr w:type="spellStart"/>
      <w:r w:rsidR="00E46419">
        <w:t>offeror</w:t>
      </w:r>
      <w:proofErr w:type="spellEnd"/>
      <w:r w:rsidR="00E46419">
        <w:t xml:space="preserve">, giving hypothetical </w:t>
      </w:r>
      <w:r w:rsidR="00760ABA">
        <w:t xml:space="preserve">examples involving </w:t>
      </w:r>
      <w:proofErr w:type="spellStart"/>
      <w:r w:rsidR="00760ABA">
        <w:t>Ch’</w:t>
      </w:r>
      <w:r w:rsidR="004127D6">
        <w:t>ng</w:t>
      </w:r>
      <w:proofErr w:type="spellEnd"/>
      <w:r w:rsidR="004127D6">
        <w:t xml:space="preserve"> </w:t>
      </w:r>
      <w:proofErr w:type="spellStart"/>
      <w:r w:rsidR="004127D6">
        <w:t>Poh</w:t>
      </w:r>
      <w:proofErr w:type="spellEnd"/>
      <w:r w:rsidR="004127D6">
        <w:t xml:space="preserve"> off</w:t>
      </w:r>
      <w:r w:rsidR="00E46419">
        <w:t xml:space="preserve">ering a bribe to Mr A.  But his Lordship </w:t>
      </w:r>
      <w:r w:rsidR="004127D6">
        <w:t xml:space="preserve">was not suggesting that the </w:t>
      </w:r>
      <w:r>
        <w:t xml:space="preserve">need to establish the relationship </w:t>
      </w:r>
      <w:r w:rsidR="00E46419">
        <w:t xml:space="preserve">in question </w:t>
      </w:r>
      <w:r>
        <w:t xml:space="preserve">only </w:t>
      </w:r>
      <w:r w:rsidR="00E46419">
        <w:t xml:space="preserve">arises </w:t>
      </w:r>
      <w:r w:rsidR="004127D6">
        <w:t xml:space="preserve">in the variant of the offence </w:t>
      </w:r>
      <w:r w:rsidR="004A5CA4">
        <w:t xml:space="preserve">involving </w:t>
      </w:r>
      <w:r w:rsidR="00E46419">
        <w:t xml:space="preserve">the offering </w:t>
      </w:r>
      <w:r w:rsidR="004127D6">
        <w:t xml:space="preserve">of a </w:t>
      </w:r>
      <w:r w:rsidR="00E46419">
        <w:t xml:space="preserve">bribe.  </w:t>
      </w:r>
      <w:r w:rsidR="004A5CA4">
        <w:t xml:space="preserve">Lord Lloyd </w:t>
      </w:r>
      <w:r w:rsidR="00E46419">
        <w:t>stated generally that “the act done (or not done) by the agent must be an act done or not done ‘in relation to his principal's affairs’</w:t>
      </w:r>
      <w:r w:rsidR="0055481E">
        <w:t>”</w:t>
      </w:r>
      <w:r w:rsidR="00E46419">
        <w:t xml:space="preserve"> and that it was “an essential ingredient of the offence under s.9 that the action or forbearance of the agent should be aimed at the principal”.</w:t>
      </w:r>
      <w:r w:rsidR="00E46419">
        <w:rPr>
          <w:rStyle w:val="FootnoteReference"/>
        </w:rPr>
        <w:footnoteReference w:id="36"/>
      </w:r>
      <w:r w:rsidR="00E46419">
        <w:t xml:space="preserve">  The section itself employs the same </w:t>
      </w:r>
      <w:r w:rsidR="004A5CA4">
        <w:t xml:space="preserve">restrictive </w:t>
      </w:r>
      <w:r w:rsidR="00E46419">
        <w:t xml:space="preserve">phrase in both subsections, dealing first with </w:t>
      </w:r>
      <w:r w:rsidR="004127D6">
        <w:t xml:space="preserve">the variant involving </w:t>
      </w:r>
      <w:r w:rsidR="00E46419">
        <w:t xml:space="preserve">an agent who solicits or accepts the advantage and secondly with </w:t>
      </w:r>
      <w:r w:rsidR="004A5CA4">
        <w:t>the variant</w:t>
      </w:r>
      <w:r w:rsidR="004127D6">
        <w:t xml:space="preserve"> involving a </w:t>
      </w:r>
      <w:r w:rsidR="00E46419">
        <w:t>person who offers the advantage.</w:t>
      </w:r>
    </w:p>
    <w:p w:rsidR="00E46419" w:rsidRDefault="00E46419" w:rsidP="00492FF5">
      <w:pPr>
        <w:pStyle w:val="Bob1"/>
        <w:tabs>
          <w:tab w:val="clear" w:pos="720"/>
          <w:tab w:val="left" w:pos="1440"/>
        </w:tabs>
        <w:ind w:left="0" w:firstLine="0"/>
        <w:jc w:val="both"/>
      </w:pPr>
      <w:r>
        <w:lastRenderedPageBreak/>
        <w:t xml:space="preserve">But even on the </w:t>
      </w:r>
      <w:r w:rsidR="004A5CA4">
        <w:t xml:space="preserve">narrow </w:t>
      </w:r>
      <w:r>
        <w:t xml:space="preserve">view </w:t>
      </w:r>
      <w:r w:rsidR="004127D6">
        <w:t xml:space="preserve">of </w:t>
      </w:r>
      <w:proofErr w:type="spellStart"/>
      <w:r w:rsidR="004127D6" w:rsidRPr="00492FF5">
        <w:rPr>
          <w:i/>
        </w:rPr>
        <w:t>Ch</w:t>
      </w:r>
      <w:r w:rsidR="00760ABA" w:rsidRPr="00492FF5">
        <w:rPr>
          <w:i/>
        </w:rPr>
        <w:t>’</w:t>
      </w:r>
      <w:r w:rsidR="004127D6" w:rsidRPr="00492FF5">
        <w:rPr>
          <w:i/>
        </w:rPr>
        <w:t>ng</w:t>
      </w:r>
      <w:proofErr w:type="spellEnd"/>
      <w:r w:rsidR="004127D6" w:rsidRPr="00492FF5">
        <w:rPr>
          <w:i/>
        </w:rPr>
        <w:t xml:space="preserve"> </w:t>
      </w:r>
      <w:proofErr w:type="spellStart"/>
      <w:r w:rsidR="004127D6" w:rsidRPr="00492FF5">
        <w:rPr>
          <w:i/>
        </w:rPr>
        <w:t>Poh</w:t>
      </w:r>
      <w:proofErr w:type="spellEnd"/>
      <w:r w:rsidR="004127D6" w:rsidRPr="00492FF5">
        <w:rPr>
          <w:i/>
        </w:rPr>
        <w:t xml:space="preserve"> </w:t>
      </w:r>
      <w:r>
        <w:t xml:space="preserve">taken </w:t>
      </w:r>
      <w:r w:rsidR="004127D6">
        <w:t xml:space="preserve">by </w:t>
      </w:r>
      <w:r>
        <w:t xml:space="preserve">the joint judgment, </w:t>
      </w:r>
      <w:r w:rsidR="006635CB">
        <w:t xml:space="preserve">the question which had to be </w:t>
      </w:r>
      <w:r w:rsidR="003A603D">
        <w:t xml:space="preserve">– but was not – </w:t>
      </w:r>
      <w:r w:rsidR="006635CB">
        <w:t xml:space="preserve">posed was </w:t>
      </w:r>
      <w:r w:rsidR="00750242">
        <w:t>whether Tseng, acting on behalf of IEAP and OC, in offering remuneration of $112,000 to Chan as an appearance fee</w:t>
      </w:r>
      <w:r w:rsidR="00E77B1B">
        <w:t>,</w:t>
      </w:r>
      <w:r w:rsidR="00750242">
        <w:t xml:space="preserve"> </w:t>
      </w:r>
      <w:r w:rsidR="00E77B1B">
        <w:t xml:space="preserve">intended </w:t>
      </w:r>
      <w:r w:rsidR="00750242">
        <w:t xml:space="preserve">his performance in the “Be My Guest” segment </w:t>
      </w:r>
      <w:r w:rsidR="00E77B1B">
        <w:t>to be an act</w:t>
      </w:r>
      <w:r w:rsidR="003A603D">
        <w:t xml:space="preserve"> aim</w:t>
      </w:r>
      <w:r w:rsidR="004A5CA4">
        <w:t>ed</w:t>
      </w:r>
      <w:r w:rsidR="003A603D">
        <w:t xml:space="preserve"> at and </w:t>
      </w:r>
      <w:r w:rsidR="00750242">
        <w:t xml:space="preserve">intended to influence or affect TVB’s business.  </w:t>
      </w:r>
      <w:r w:rsidR="003A603D">
        <w:t xml:space="preserve">I find it impossible </w:t>
      </w:r>
      <w:r w:rsidR="00B426AE">
        <w:t xml:space="preserve">to see how the answer could </w:t>
      </w:r>
      <w:r w:rsidR="003A603D">
        <w:t xml:space="preserve">be </w:t>
      </w:r>
      <w:r w:rsidR="006635CB">
        <w:t>in the affirmative.  Tseng</w:t>
      </w:r>
      <w:r w:rsidR="00E77B1B">
        <w:t>’s</w:t>
      </w:r>
      <w:r w:rsidR="006635CB">
        <w:t xml:space="preserve"> position was in principle no different </w:t>
      </w:r>
      <w:r w:rsidR="00E77B1B">
        <w:t xml:space="preserve">from </w:t>
      </w:r>
      <w:r w:rsidR="006635CB">
        <w:t xml:space="preserve">that of OC which </w:t>
      </w:r>
      <w:r w:rsidR="003A603D">
        <w:t xml:space="preserve">had provided </w:t>
      </w:r>
      <w:r w:rsidR="006635CB">
        <w:t>the fee to secure Chan’s performance</w:t>
      </w:r>
      <w:r w:rsidR="00E77B1B">
        <w:t xml:space="preserve"> as OC’s guest in a show promoting its shopping mall</w:t>
      </w:r>
      <w:r w:rsidR="006635CB">
        <w:t xml:space="preserve">.  </w:t>
      </w:r>
      <w:r w:rsidR="004A5CA4">
        <w:t xml:space="preserve">It cannot plausibly be </w:t>
      </w:r>
      <w:r w:rsidR="006635CB">
        <w:t>suggest</w:t>
      </w:r>
      <w:r w:rsidR="003A603D">
        <w:t>ed</w:t>
      </w:r>
      <w:r w:rsidR="006635CB">
        <w:t xml:space="preserve"> that OC committed a section 9 offence</w:t>
      </w:r>
      <w:r w:rsidR="00E77B1B">
        <w:t xml:space="preserve"> involving TVB’s affairs or business</w:t>
      </w:r>
      <w:r w:rsidR="006635CB">
        <w:t>.</w:t>
      </w:r>
    </w:p>
    <w:p w:rsidR="00F203EF" w:rsidRDefault="006635CB" w:rsidP="00492FF5">
      <w:pPr>
        <w:pStyle w:val="Bob1"/>
        <w:tabs>
          <w:tab w:val="clear" w:pos="720"/>
          <w:tab w:val="left" w:pos="1440"/>
        </w:tabs>
        <w:ind w:left="0" w:firstLine="0"/>
        <w:jc w:val="both"/>
      </w:pPr>
      <w:r>
        <w:t xml:space="preserve">Properly applying </w:t>
      </w:r>
      <w:proofErr w:type="spellStart"/>
      <w:r w:rsidR="00760ABA" w:rsidRPr="00492FF5">
        <w:rPr>
          <w:i/>
        </w:rPr>
        <w:t>Ch’</w:t>
      </w:r>
      <w:r w:rsidRPr="00492FF5">
        <w:rPr>
          <w:i/>
        </w:rPr>
        <w:t>ng</w:t>
      </w:r>
      <w:proofErr w:type="spellEnd"/>
      <w:r w:rsidRPr="00492FF5">
        <w:rPr>
          <w:i/>
        </w:rPr>
        <w:t xml:space="preserve"> </w:t>
      </w:r>
      <w:proofErr w:type="spellStart"/>
      <w:r w:rsidRPr="00492FF5">
        <w:rPr>
          <w:i/>
        </w:rPr>
        <w:t>Poh</w:t>
      </w:r>
      <w:proofErr w:type="spellEnd"/>
      <w:r w:rsidR="000754F2">
        <w:t>,</w:t>
      </w:r>
      <w:r w:rsidRPr="00492FF5">
        <w:rPr>
          <w:i/>
        </w:rPr>
        <w:t xml:space="preserve"> </w:t>
      </w:r>
      <w:r>
        <w:t xml:space="preserve">the joint judgment should also have </w:t>
      </w:r>
      <w:r w:rsidR="00750242">
        <w:t>ask</w:t>
      </w:r>
      <w:r>
        <w:t>ed</w:t>
      </w:r>
      <w:r w:rsidR="00750242">
        <w:t xml:space="preserve"> whether, </w:t>
      </w:r>
      <w:r w:rsidR="003533D1">
        <w:t xml:space="preserve">in accepting the fee and doing the show, Chan knew or believed that </w:t>
      </w:r>
      <w:r w:rsidR="003A603D">
        <w:t xml:space="preserve">his fee had been provided by Tseng as an inducement or reward for appearing on the show as an act </w:t>
      </w:r>
      <w:r w:rsidR="003533D1">
        <w:t xml:space="preserve">aimed at TVB’s affairs or business </w:t>
      </w:r>
      <w:r>
        <w:t xml:space="preserve">and </w:t>
      </w:r>
      <w:r w:rsidR="003533D1">
        <w:t xml:space="preserve">intended to influence or affect the same.  </w:t>
      </w:r>
      <w:r>
        <w:t xml:space="preserve">As </w:t>
      </w:r>
      <w:r w:rsidR="004A5CA4">
        <w:t>discussed above</w:t>
      </w:r>
      <w:r w:rsidR="004A5CA4">
        <w:rPr>
          <w:rStyle w:val="FootnoteReference"/>
        </w:rPr>
        <w:footnoteReference w:id="37"/>
      </w:r>
      <w:r>
        <w:t xml:space="preserve">, this represents the agent’s </w:t>
      </w:r>
      <w:proofErr w:type="spellStart"/>
      <w:r w:rsidRPr="00492FF5">
        <w:rPr>
          <w:i/>
        </w:rPr>
        <w:t>mens</w:t>
      </w:r>
      <w:proofErr w:type="spellEnd"/>
      <w:r w:rsidRPr="00492FF5">
        <w:rPr>
          <w:i/>
        </w:rPr>
        <w:t xml:space="preserve"> rea </w:t>
      </w:r>
      <w:r>
        <w:t xml:space="preserve">requirement in a section 9 </w:t>
      </w:r>
      <w:r w:rsidR="004A5CA4">
        <w:t xml:space="preserve">offence involving </w:t>
      </w:r>
      <w:r>
        <w:t xml:space="preserve">solicitation or acceptance.  Again, I can see no basis for an affirmative answer.  </w:t>
      </w:r>
      <w:r w:rsidR="00FF581D">
        <w:t xml:space="preserve">  </w:t>
      </w:r>
    </w:p>
    <w:p w:rsidR="00FF581D" w:rsidRDefault="00915E48" w:rsidP="00492FF5">
      <w:pPr>
        <w:pStyle w:val="Bob1"/>
        <w:tabs>
          <w:tab w:val="clear" w:pos="720"/>
          <w:tab w:val="left" w:pos="1440"/>
        </w:tabs>
        <w:ind w:left="0" w:firstLine="0"/>
        <w:jc w:val="both"/>
      </w:pPr>
      <w:r>
        <w:t xml:space="preserve">It follows, in my view, that the Court of Appeal misconstrued section 9 and applied the wrong test for determining whether the </w:t>
      </w:r>
      <w:r w:rsidR="003A603D">
        <w:t xml:space="preserve">necessary </w:t>
      </w:r>
      <w:r>
        <w:t xml:space="preserve">relationship between the agent’s act or forbearance and the principal’s affairs or business was proved.  On this basis alone, the Court of Appeal’s decision to reverse the </w:t>
      </w:r>
      <w:r w:rsidR="003A603D">
        <w:t xml:space="preserve">trial Judge’s </w:t>
      </w:r>
      <w:r>
        <w:t xml:space="preserve">acquittals cannot stand.  However, one other aspect of the </w:t>
      </w:r>
      <w:r w:rsidR="00E77B1B">
        <w:t xml:space="preserve">Court of Appeal’s </w:t>
      </w:r>
      <w:r>
        <w:t xml:space="preserve">decision, </w:t>
      </w:r>
      <w:r w:rsidR="00E77B1B">
        <w:t xml:space="preserve">also </w:t>
      </w:r>
      <w:r w:rsidR="004A5CA4">
        <w:t xml:space="preserve">bearing </w:t>
      </w:r>
      <w:r>
        <w:t>on that relationship, is of general importance and ought to be addressed.  This involves the question whether</w:t>
      </w:r>
      <w:r w:rsidR="00806795">
        <w:t xml:space="preserve">, on the true </w:t>
      </w:r>
      <w:r w:rsidR="00806795">
        <w:lastRenderedPageBreak/>
        <w:t>construction of the section,</w:t>
      </w:r>
      <w:r>
        <w:t xml:space="preserve"> the contemplated act or forbearance by the agent </w:t>
      </w:r>
      <w:r w:rsidR="00806795">
        <w:t>has to</w:t>
      </w:r>
      <w:r>
        <w:t xml:space="preserve"> be adverse to the principal’s interests.</w:t>
      </w:r>
    </w:p>
    <w:p w:rsidR="00915E48" w:rsidRDefault="006B043B" w:rsidP="00525C4D">
      <w:pPr>
        <w:pStyle w:val="docmapheading"/>
      </w:pPr>
      <w:r>
        <w:t>H</w:t>
      </w:r>
      <w:r w:rsidR="0024672B" w:rsidRPr="0024672B">
        <w:t>.</w:t>
      </w:r>
      <w:r w:rsidR="0024672B" w:rsidRPr="0024672B">
        <w:tab/>
        <w:t xml:space="preserve">The need for conduct </w:t>
      </w:r>
      <w:proofErr w:type="gramStart"/>
      <w:r w:rsidR="0024672B" w:rsidRPr="0024672B">
        <w:t>adverse</w:t>
      </w:r>
      <w:proofErr w:type="gramEnd"/>
      <w:r w:rsidR="0024672B" w:rsidRPr="0024672B">
        <w:t xml:space="preserve"> to the principal’s interests</w:t>
      </w:r>
    </w:p>
    <w:p w:rsidR="0024672B" w:rsidRDefault="0024672B" w:rsidP="00492FF5">
      <w:pPr>
        <w:pStyle w:val="Bob1"/>
        <w:tabs>
          <w:tab w:val="clear" w:pos="720"/>
          <w:tab w:val="left" w:pos="1440"/>
        </w:tabs>
        <w:ind w:left="0" w:firstLine="0"/>
        <w:jc w:val="both"/>
      </w:pPr>
      <w:r>
        <w:t>As noted above,</w:t>
      </w:r>
      <w:r>
        <w:rPr>
          <w:rStyle w:val="FootnoteReference"/>
        </w:rPr>
        <w:footnoteReference w:id="38"/>
      </w:r>
      <w:r>
        <w:t xml:space="preserve"> the joint judgment was not troubled by the fact that Chan’s appearance on the show would only have beneficial consequences for TVB and involved no conflict of interest or other detriment to the principal’s interests</w:t>
      </w:r>
      <w:r w:rsidR="001A6512">
        <w:t>.  I</w:t>
      </w:r>
      <w:r>
        <w:t>t took the view that “[</w:t>
      </w:r>
      <w:r w:rsidRPr="0024672B">
        <w:t>There</w:t>
      </w:r>
      <w:r>
        <w:t>]</w:t>
      </w:r>
      <w:r w:rsidRPr="0024672B">
        <w:t xml:space="preserve"> is no requirement that the agent’s act has to cause prejudice to his </w:t>
      </w:r>
      <w:r>
        <w:t>principal’s affairs or business” and that</w:t>
      </w:r>
      <w:r w:rsidRPr="0024672B">
        <w:t xml:space="preserve"> </w:t>
      </w:r>
      <w:r>
        <w:t>“</w:t>
      </w:r>
      <w:proofErr w:type="spellStart"/>
      <w:r w:rsidRPr="0024672B">
        <w:rPr>
          <w:i/>
        </w:rPr>
        <w:t>Ch’ng</w:t>
      </w:r>
      <w:proofErr w:type="spellEnd"/>
      <w:r w:rsidRPr="0024672B">
        <w:rPr>
          <w:i/>
        </w:rPr>
        <w:t xml:space="preserve"> </w:t>
      </w:r>
      <w:proofErr w:type="spellStart"/>
      <w:r w:rsidRPr="0024672B">
        <w:rPr>
          <w:i/>
        </w:rPr>
        <w:t>Poh</w:t>
      </w:r>
      <w:proofErr w:type="spellEnd"/>
      <w:r w:rsidRPr="0024672B">
        <w:t xml:space="preserve"> did not say that the ‘influence’ or ‘effect’ must be adverse</w:t>
      </w:r>
      <w:r>
        <w:t>”</w:t>
      </w:r>
      <w:r w:rsidRPr="0024672B">
        <w:t>, the term ‘aimed at’ not carry</w:t>
      </w:r>
      <w:r>
        <w:t>ing</w:t>
      </w:r>
      <w:r w:rsidRPr="0024672B">
        <w:t xml:space="preserve"> a negative meaning.</w:t>
      </w:r>
      <w:r>
        <w:rPr>
          <w:rStyle w:val="FootnoteReference"/>
        </w:rPr>
        <w:footnoteReference w:id="39"/>
      </w:r>
    </w:p>
    <w:p w:rsidR="00E52AC6" w:rsidRDefault="00E52AC6" w:rsidP="00492FF5">
      <w:pPr>
        <w:pStyle w:val="Bob1"/>
        <w:tabs>
          <w:tab w:val="clear" w:pos="720"/>
          <w:tab w:val="left" w:pos="1440"/>
        </w:tabs>
        <w:ind w:left="0" w:firstLine="0"/>
        <w:jc w:val="both"/>
      </w:pPr>
      <w:r w:rsidRPr="00E52AC6">
        <w:rPr>
          <w:rFonts w:hint="eastAsia"/>
        </w:rPr>
        <w:t xml:space="preserve">I respectfully disagree.  </w:t>
      </w:r>
      <w:r w:rsidR="00E77B1B">
        <w:t>In my view, o</w:t>
      </w:r>
      <w:r>
        <w:t>n a proper construction of section 9</w:t>
      </w:r>
      <w:r w:rsidR="0095001D">
        <w:t xml:space="preserve"> in the light of its mischief</w:t>
      </w:r>
      <w:r w:rsidR="00B26C51">
        <w:t xml:space="preserve">, the </w:t>
      </w:r>
      <w:r w:rsidR="001A6512">
        <w:t xml:space="preserve">induced or rewarded </w:t>
      </w:r>
      <w:r w:rsidR="00B26C51">
        <w:t xml:space="preserve">conduct </w:t>
      </w:r>
      <w:r w:rsidR="00E31CE3">
        <w:t xml:space="preserve">“aimed at the principal’s business” </w:t>
      </w:r>
      <w:r w:rsidR="001F7962">
        <w:t xml:space="preserve">has to be </w:t>
      </w:r>
      <w:r w:rsidR="00B26C51">
        <w:t xml:space="preserve">conduct which subverts the integrity of the agency relationship to the detriment of the principal’s interests.  It is </w:t>
      </w:r>
      <w:r w:rsidRPr="00E52AC6">
        <w:rPr>
          <w:rFonts w:hint="eastAsia"/>
        </w:rPr>
        <w:t xml:space="preserve">not the legislative intent to stigmatize as criminal, conduct of an agent which </w:t>
      </w:r>
      <w:r w:rsidR="00F8599C">
        <w:t xml:space="preserve">is </w:t>
      </w:r>
      <w:r w:rsidRPr="00E52AC6">
        <w:rPr>
          <w:rFonts w:hint="eastAsia"/>
        </w:rPr>
        <w:t xml:space="preserve">beneficial to and </w:t>
      </w:r>
      <w:r w:rsidR="00A9628C">
        <w:t xml:space="preserve">congruent </w:t>
      </w:r>
      <w:r w:rsidRPr="00E52AC6">
        <w:rPr>
          <w:rFonts w:hint="eastAsia"/>
        </w:rPr>
        <w:t>with the interests of the principal</w:t>
      </w:r>
      <w:r w:rsidR="00B26C51">
        <w:t xml:space="preserve"> </w:t>
      </w:r>
      <w:r w:rsidR="00FD3162">
        <w:t>(as in the present case)</w:t>
      </w:r>
      <w:r w:rsidR="00B26C51">
        <w:t>.</w:t>
      </w:r>
    </w:p>
    <w:p w:rsidR="00B71FEF" w:rsidRDefault="00B71FEF" w:rsidP="00492FF5">
      <w:pPr>
        <w:pStyle w:val="Bob1"/>
        <w:tabs>
          <w:tab w:val="clear" w:pos="720"/>
          <w:tab w:val="left" w:pos="1440"/>
        </w:tabs>
        <w:ind w:left="0" w:firstLine="0"/>
        <w:jc w:val="both"/>
      </w:pPr>
      <w:r>
        <w:t>I hasten to add that</w:t>
      </w:r>
      <w:r w:rsidR="00AD5B8B">
        <w:t xml:space="preserve"> </w:t>
      </w:r>
      <w:r>
        <w:t xml:space="preserve">the prejudice to the principal’s interests </w:t>
      </w:r>
      <w:r w:rsidR="0063479D">
        <w:t xml:space="preserve">to which I refer </w:t>
      </w:r>
      <w:r w:rsidR="00AD5B8B">
        <w:t xml:space="preserve">does not need to </w:t>
      </w:r>
      <w:r>
        <w:t>involve immediate or tangible economic loss</w:t>
      </w:r>
      <w:r w:rsidR="001A0C4C">
        <w:t xml:space="preserve"> to the principal</w:t>
      </w:r>
      <w:r w:rsidR="00EB0D2E">
        <w:t xml:space="preserve"> or benefit to the agent at the principal’s expense</w:t>
      </w:r>
      <w:r w:rsidR="00AD5B8B">
        <w:t xml:space="preserve">.  Of course, it will frequently </w:t>
      </w:r>
      <w:r w:rsidR="001A0C4C">
        <w:t xml:space="preserve">(or indeed, usually) </w:t>
      </w:r>
      <w:r w:rsidR="00AD5B8B">
        <w:t xml:space="preserve">do so, but that is not </w:t>
      </w:r>
      <w:r w:rsidR="008D5D4E">
        <w:t>essential</w:t>
      </w:r>
      <w:r w:rsidR="00AD5B8B">
        <w:t xml:space="preserve"> on the true construction of the section</w:t>
      </w:r>
      <w:r>
        <w:t xml:space="preserve">.  </w:t>
      </w:r>
      <w:r w:rsidR="00AD5B8B">
        <w:t>The</w:t>
      </w:r>
      <w:r w:rsidR="0063479D">
        <w:t xml:space="preserve"> agent</w:t>
      </w:r>
      <w:r w:rsidR="00AD5B8B">
        <w:t xml:space="preserve"> may, for instance, </w:t>
      </w:r>
      <w:r w:rsidR="0063479D">
        <w:t xml:space="preserve">be induced to act </w:t>
      </w:r>
      <w:r w:rsidR="001F7962">
        <w:t>prejudicially</w:t>
      </w:r>
      <w:r>
        <w:t xml:space="preserve"> to the reputation of the principal’s business or </w:t>
      </w:r>
      <w:r w:rsidR="0063479D">
        <w:t xml:space="preserve">to </w:t>
      </w:r>
      <w:r>
        <w:t>divulg</w:t>
      </w:r>
      <w:r w:rsidR="0063479D">
        <w:t>e</w:t>
      </w:r>
      <w:r>
        <w:t xml:space="preserve"> confidential information without any immediately palpable loss</w:t>
      </w:r>
      <w:r w:rsidR="0063479D">
        <w:t xml:space="preserve"> to the principal</w:t>
      </w:r>
      <w:r>
        <w:t xml:space="preserve">.  </w:t>
      </w:r>
      <w:r w:rsidR="0055481E">
        <w:t>W</w:t>
      </w:r>
      <w:r>
        <w:t xml:space="preserve">here the offering, solicitation or acceptance of an advantage </w:t>
      </w:r>
      <w:r w:rsidR="00AD5B8B">
        <w:t xml:space="preserve">is </w:t>
      </w:r>
      <w:r w:rsidR="0063479D">
        <w:t xml:space="preserve">of </w:t>
      </w:r>
      <w:r w:rsidR="00AD5B8B">
        <w:t xml:space="preserve">such </w:t>
      </w:r>
      <w:r w:rsidR="0063479D">
        <w:t xml:space="preserve">a nature </w:t>
      </w:r>
      <w:r w:rsidR="00AD5B8B">
        <w:lastRenderedPageBreak/>
        <w:t xml:space="preserve">as to undermine the integrity of the agency relationship, </w:t>
      </w:r>
      <w:r w:rsidR="00EB0D2E">
        <w:t xml:space="preserve">that is, of such a nature as to injure the relationship of trust and loyalty that a principal is entitled to expect from his agent, </w:t>
      </w:r>
      <w:r w:rsidR="00AD5B8B">
        <w:t xml:space="preserve">this </w:t>
      </w:r>
      <w:r>
        <w:t xml:space="preserve">in itself </w:t>
      </w:r>
      <w:r w:rsidR="00116249">
        <w:t>is capable of constituting</w:t>
      </w:r>
      <w:r>
        <w:t xml:space="preserve"> the necessary detriment. </w:t>
      </w:r>
      <w:r w:rsidR="00113F88">
        <w:t xml:space="preserve">This reflects increasing recognition in the field of employment law, </w:t>
      </w:r>
      <w:r w:rsidR="00960AEA">
        <w:t xml:space="preserve">of the importance of the reciprocal duties of trust and confidence in </w:t>
      </w:r>
      <w:r w:rsidR="00113F88">
        <w:t xml:space="preserve">the relationship </w:t>
      </w:r>
      <w:r w:rsidR="00960AEA">
        <w:t xml:space="preserve">of </w:t>
      </w:r>
      <w:r w:rsidR="00113F88">
        <w:t>employer and employee – perhaps the most common agency relationship</w:t>
      </w:r>
      <w:r w:rsidR="00960AEA">
        <w:t xml:space="preserve"> –</w:t>
      </w:r>
      <w:r w:rsidR="00113F88">
        <w:t xml:space="preserve"> with </w:t>
      </w:r>
      <w:r w:rsidR="00960AEA">
        <w:t xml:space="preserve">the evolution of </w:t>
      </w:r>
      <w:r w:rsidR="00113F88">
        <w:t>remedies for damage to that relationship.</w:t>
      </w:r>
      <w:r w:rsidR="00113F88">
        <w:rPr>
          <w:rStyle w:val="FootnoteReference"/>
        </w:rPr>
        <w:footnoteReference w:id="40"/>
      </w:r>
      <w:r w:rsidR="00113F88">
        <w:t xml:space="preserve">  </w:t>
      </w:r>
    </w:p>
    <w:p w:rsidR="00216629" w:rsidRDefault="00C665D4" w:rsidP="00492FF5">
      <w:pPr>
        <w:pStyle w:val="Bob1"/>
        <w:tabs>
          <w:tab w:val="clear" w:pos="720"/>
          <w:tab w:val="left" w:pos="1440"/>
        </w:tabs>
        <w:ind w:left="0" w:firstLine="0"/>
        <w:jc w:val="both"/>
      </w:pPr>
      <w:r>
        <w:t xml:space="preserve">Corrupt transactions with agents which undermine that </w:t>
      </w:r>
      <w:r w:rsidR="00960AEA">
        <w:t xml:space="preserve">relationship of trust and loyalty </w:t>
      </w:r>
      <w:r w:rsidR="00113F88">
        <w:t xml:space="preserve">may well give rise to serious reputational damage to the principal even if no </w:t>
      </w:r>
      <w:r w:rsidR="00960AEA">
        <w:t xml:space="preserve">direct </w:t>
      </w:r>
      <w:r w:rsidR="00113F88">
        <w:t>economic detriment is suffered.  This may be illustrated by some hypothetical examples:</w:t>
      </w:r>
    </w:p>
    <w:p w:rsidR="00113F88" w:rsidRDefault="00113F88" w:rsidP="00492FF5">
      <w:pPr>
        <w:pStyle w:val="Bob1"/>
        <w:numPr>
          <w:ilvl w:val="1"/>
          <w:numId w:val="11"/>
        </w:numPr>
        <w:jc w:val="both"/>
      </w:pPr>
      <w:r>
        <w:t>An employee, A, is a manager with authority to select subordinate employees in his department for promotion.  He accepts gifts from a subordinate’s parents who make it plain that they expect their daughter to get promotion, as she does.  The employer suffers no detriment (if she is up to the job) but the corrupt transaction, if revealed, will damage its reputation with its other employees.</w:t>
      </w:r>
    </w:p>
    <w:p w:rsidR="00113F88" w:rsidRDefault="00113F88" w:rsidP="00492FF5">
      <w:pPr>
        <w:pStyle w:val="Bob1"/>
        <w:numPr>
          <w:ilvl w:val="1"/>
          <w:numId w:val="11"/>
        </w:numPr>
        <w:jc w:val="both"/>
      </w:pPr>
      <w:r>
        <w:t xml:space="preserve">An employee, B, is in charge of a confidential tendering process.  Shortly before the closing date B accepts a bribe from X to reveal the lowest tender price so far submitted (say $900,000), thus enabling X to submit a successful tender of $850,000.  B has </w:t>
      </w:r>
      <w:r w:rsidRPr="00023A51">
        <w:rPr>
          <w:szCs w:val="28"/>
        </w:rPr>
        <w:t xml:space="preserve">apparently saved his employer $50,000 (if X does the job properly) </w:t>
      </w:r>
      <w:r w:rsidRPr="00023A51">
        <w:rPr>
          <w:szCs w:val="28"/>
          <w:shd w:val="clear" w:color="auto" w:fill="FFFFFF" w:themeFill="background1"/>
        </w:rPr>
        <w:t xml:space="preserve">but </w:t>
      </w:r>
      <w:r w:rsidR="00023A51" w:rsidRPr="00023A51">
        <w:rPr>
          <w:szCs w:val="28"/>
          <w:shd w:val="clear" w:color="auto" w:fill="FFFFFF" w:themeFill="background1"/>
        </w:rPr>
        <w:t xml:space="preserve">the breach of confidence has impaired the relationship of trust </w:t>
      </w:r>
      <w:r w:rsidR="00023A51" w:rsidRPr="00023A51">
        <w:rPr>
          <w:szCs w:val="28"/>
          <w:shd w:val="clear" w:color="auto" w:fill="FFFFFF" w:themeFill="background1"/>
        </w:rPr>
        <w:lastRenderedPageBreak/>
        <w:t>and loyalty and</w:t>
      </w:r>
      <w:r w:rsidR="00023A51" w:rsidRPr="00023A51">
        <w:rPr>
          <w:szCs w:val="28"/>
        </w:rPr>
        <w:t xml:space="preserve"> </w:t>
      </w:r>
      <w:r w:rsidRPr="00023A51">
        <w:rPr>
          <w:szCs w:val="28"/>
        </w:rPr>
        <w:t>the corrupt transaction, if revealed, w</w:t>
      </w:r>
      <w:r>
        <w:t>ill damage the employer’s reputation with its regular suppliers.</w:t>
      </w:r>
    </w:p>
    <w:p w:rsidR="00113F88" w:rsidRPr="00FD3162" w:rsidRDefault="00113F88" w:rsidP="00492FF5">
      <w:pPr>
        <w:pStyle w:val="Bob1"/>
        <w:numPr>
          <w:ilvl w:val="1"/>
          <w:numId w:val="11"/>
        </w:numPr>
        <w:jc w:val="both"/>
      </w:pPr>
      <w:r>
        <w:t>An employee, C, runs the department selling electronic toys in a large store.  At Christmas there is intense demand, exceeding supply for a particular toy.  C takes a bribe of $500 from a customer to jump the queue on the waiting list.  The store suffers no financial loss but the corrupt transaction, if revealed, would damage the store’s reputation with its regular customers.</w:t>
      </w:r>
    </w:p>
    <w:p w:rsidR="00FD3162" w:rsidRPr="002D1231" w:rsidRDefault="006B043B" w:rsidP="00FD3162">
      <w:pPr>
        <w:pStyle w:val="Bob1"/>
        <w:keepNext/>
        <w:numPr>
          <w:ilvl w:val="0"/>
          <w:numId w:val="0"/>
        </w:numPr>
        <w:kinsoku/>
        <w:autoSpaceDE/>
        <w:autoSpaceDN/>
        <w:snapToGrid/>
        <w:spacing w:before="120" w:after="360" w:line="276" w:lineRule="auto"/>
        <w:outlineLvl w:val="1"/>
        <w:rPr>
          <w:b/>
          <w:i/>
        </w:rPr>
      </w:pPr>
      <w:r w:rsidRPr="002D1231">
        <w:rPr>
          <w:b/>
          <w:i/>
        </w:rPr>
        <w:t>H</w:t>
      </w:r>
      <w:r w:rsidR="00FD3162" w:rsidRPr="002D1231">
        <w:rPr>
          <w:b/>
          <w:i/>
        </w:rPr>
        <w:t>.1</w:t>
      </w:r>
      <w:r w:rsidR="00FD3162" w:rsidRPr="002D1231">
        <w:rPr>
          <w:b/>
          <w:i/>
        </w:rPr>
        <w:tab/>
        <w:t>The mischief of the Ordinance and of section 9</w:t>
      </w:r>
    </w:p>
    <w:p w:rsidR="00FD3162" w:rsidRDefault="00FD3162" w:rsidP="00492FF5">
      <w:pPr>
        <w:pStyle w:val="Bob1"/>
        <w:numPr>
          <w:ilvl w:val="0"/>
          <w:numId w:val="1"/>
        </w:numPr>
        <w:tabs>
          <w:tab w:val="clear" w:pos="720"/>
          <w:tab w:val="num" w:pos="1440"/>
        </w:tabs>
        <w:ind w:left="0" w:firstLine="0"/>
        <w:jc w:val="both"/>
      </w:pPr>
      <w:r w:rsidRPr="00FD3162">
        <w:t>At the risk of stating the obvious, the object of the POBO is the suppression of bribery and corruption.  The long title makes this clear</w:t>
      </w:r>
      <w:r w:rsidRPr="00FD3162">
        <w:rPr>
          <w:rStyle w:val="FootnoteReference"/>
        </w:rPr>
        <w:footnoteReference w:id="41"/>
      </w:r>
      <w:r w:rsidRPr="00FD3162">
        <w:t xml:space="preserve"> and the purpose of the legislation has been acknowledged in many reported cases.</w:t>
      </w:r>
      <w:r w:rsidRPr="00FD3162">
        <w:rPr>
          <w:rStyle w:val="FootnoteReference"/>
        </w:rPr>
        <w:footnoteReference w:id="42"/>
      </w:r>
      <w:r w:rsidRPr="00FD3162">
        <w:t xml:space="preserve"> In </w:t>
      </w:r>
      <w:proofErr w:type="spellStart"/>
      <w:r w:rsidR="00760ABA">
        <w:rPr>
          <w:i/>
        </w:rPr>
        <w:t>Ch’</w:t>
      </w:r>
      <w:r w:rsidRPr="00FD3162">
        <w:rPr>
          <w:i/>
        </w:rPr>
        <w:t>ng</w:t>
      </w:r>
      <w:proofErr w:type="spellEnd"/>
      <w:r w:rsidRPr="00FD3162">
        <w:rPr>
          <w:i/>
        </w:rPr>
        <w:t xml:space="preserve"> </w:t>
      </w:r>
      <w:proofErr w:type="spellStart"/>
      <w:r w:rsidRPr="00FD3162">
        <w:rPr>
          <w:i/>
        </w:rPr>
        <w:t>Poh</w:t>
      </w:r>
      <w:proofErr w:type="spellEnd"/>
      <w:r w:rsidRPr="00FD3162">
        <w:t>, Lord Lloyd noted that “section 9(1)(a) criminalises corrupt transactions with agents</w:t>
      </w:r>
      <w:r w:rsidR="000754F2">
        <w:t xml:space="preserve"> </w:t>
      </w:r>
      <w:r w:rsidRPr="00FD3162">
        <w:t>...”</w:t>
      </w:r>
      <w:r w:rsidRPr="00FD3162">
        <w:rPr>
          <w:rStyle w:val="FootnoteReference"/>
        </w:rPr>
        <w:footnoteReference w:id="43"/>
      </w:r>
      <w:r w:rsidR="00E31CE3">
        <w:t xml:space="preserve">  In the example he gave of a case which would fall within the section, he </w:t>
      </w:r>
      <w:r w:rsidR="00760ABA">
        <w:t xml:space="preserve">spoke of </w:t>
      </w:r>
      <w:proofErr w:type="spellStart"/>
      <w:r w:rsidR="00760ABA">
        <w:t>Ch’</w:t>
      </w:r>
      <w:r w:rsidR="00297117">
        <w:t>ng</w:t>
      </w:r>
      <w:proofErr w:type="spellEnd"/>
      <w:r w:rsidR="00297117">
        <w:t xml:space="preserve"> </w:t>
      </w:r>
      <w:proofErr w:type="spellStart"/>
      <w:r w:rsidR="00297117">
        <w:t>Poh</w:t>
      </w:r>
      <w:proofErr w:type="spellEnd"/>
      <w:r w:rsidR="00297117">
        <w:t xml:space="preserve"> hypothetically bribing Mr A “to secure </w:t>
      </w:r>
      <w:r w:rsidR="002D1231">
        <w:t xml:space="preserve">him </w:t>
      </w:r>
      <w:r w:rsidR="00297117">
        <w:t xml:space="preserve">a benefit </w:t>
      </w:r>
      <w:r w:rsidR="00297117" w:rsidRPr="0095001D">
        <w:rPr>
          <w:i/>
        </w:rPr>
        <w:t xml:space="preserve">at X &amp; </w:t>
      </w:r>
      <w:proofErr w:type="spellStart"/>
      <w:r w:rsidR="00297117" w:rsidRPr="0095001D">
        <w:rPr>
          <w:i/>
        </w:rPr>
        <w:t>Co’s</w:t>
      </w:r>
      <w:proofErr w:type="spellEnd"/>
      <w:r w:rsidR="00297117" w:rsidRPr="0095001D">
        <w:rPr>
          <w:i/>
        </w:rPr>
        <w:t xml:space="preserve"> expense</w:t>
      </w:r>
      <w:r w:rsidR="00297117">
        <w:t>”.</w:t>
      </w:r>
      <w:r w:rsidR="00297117">
        <w:rPr>
          <w:rStyle w:val="FootnoteReference"/>
        </w:rPr>
        <w:footnoteReference w:id="44"/>
      </w:r>
    </w:p>
    <w:p w:rsidR="00B407AB" w:rsidRDefault="00FD3162" w:rsidP="00492FF5">
      <w:pPr>
        <w:pStyle w:val="Bob1"/>
        <w:numPr>
          <w:ilvl w:val="0"/>
          <w:numId w:val="1"/>
        </w:numPr>
        <w:tabs>
          <w:tab w:val="clear" w:pos="720"/>
          <w:tab w:val="num" w:pos="1440"/>
        </w:tabs>
        <w:ind w:left="0" w:firstLine="0"/>
        <w:jc w:val="both"/>
      </w:pPr>
      <w:r w:rsidRPr="00FD3162">
        <w:t>The respondent sought to make something of the fact that the word “corruptly”, used in the equivalent provision previously in force,</w:t>
      </w:r>
      <w:r w:rsidRPr="00FD3162">
        <w:rPr>
          <w:rStyle w:val="FootnoteReference"/>
        </w:rPr>
        <w:footnoteReference w:id="45"/>
      </w:r>
      <w:r w:rsidRPr="00FD3162">
        <w:t xml:space="preserve"> has been removed from the current Ordinance. However, its removal obviously does not change the mischief at which the Ordinance is aimed.  In a debate on the Bribery </w:t>
      </w:r>
      <w:r w:rsidRPr="00FD3162">
        <w:lastRenderedPageBreak/>
        <w:t>Bill 1970, Mr Oswald Cheung, a Legislative Councillor, expressed doubts as to removal of the word and suggested an amendment to restore it.</w:t>
      </w:r>
      <w:r w:rsidR="00B407AB">
        <w:rPr>
          <w:rStyle w:val="FootnoteReference"/>
        </w:rPr>
        <w:footnoteReference w:id="46"/>
      </w:r>
      <w:r w:rsidRPr="00FD3162">
        <w:t xml:space="preserve">  </w:t>
      </w:r>
      <w:r w:rsidR="00913CE4">
        <w:t>T</w:t>
      </w:r>
      <w:r w:rsidRPr="00FD3162">
        <w:t xml:space="preserve">he Attorney-General </w:t>
      </w:r>
      <w:r w:rsidR="00B407AB">
        <w:t>responded</w:t>
      </w:r>
      <w:r w:rsidRPr="00FD3162">
        <w:t xml:space="preserve"> that it was removed </w:t>
      </w:r>
      <w:r w:rsidR="00B407AB">
        <w:t>lest inclusion of a reference to corruption “would oblige the Crown</w:t>
      </w:r>
      <w:r w:rsidR="005A44F6">
        <w:t>,</w:t>
      </w:r>
      <w:r w:rsidR="00B407AB">
        <w:t xml:space="preserve"> before an accused had a case to answer, to establish that the soliciting or acceptance of a bribe was attributable to a corrupt motive”, experience showing that this </w:t>
      </w:r>
      <w:r w:rsidR="00913CE4">
        <w:t xml:space="preserve">had </w:t>
      </w:r>
      <w:r w:rsidR="00B407AB">
        <w:t>caused difficulties.</w:t>
      </w:r>
      <w:r w:rsidR="00B407AB">
        <w:rPr>
          <w:rStyle w:val="FootnoteReference"/>
        </w:rPr>
        <w:footnoteReference w:id="47"/>
      </w:r>
      <w:r w:rsidR="00B407AB">
        <w:t xml:space="preserve"> He went on to explain that, as drafted, “the Crown </w:t>
      </w:r>
      <w:r w:rsidR="00B65A8E">
        <w:t>w</w:t>
      </w:r>
      <w:r w:rsidR="00B407AB">
        <w:t>ill need to prove only a payment to the public servant, or agent, or other person.  It will then be for the accused to show that he received it for reasons which are unconnected with bribery...”</w:t>
      </w:r>
    </w:p>
    <w:p w:rsidR="00FD3162" w:rsidRPr="00492FF5" w:rsidRDefault="000D4825" w:rsidP="00492FF5">
      <w:pPr>
        <w:pStyle w:val="Bob1"/>
        <w:numPr>
          <w:ilvl w:val="0"/>
          <w:numId w:val="1"/>
        </w:numPr>
        <w:tabs>
          <w:tab w:val="clear" w:pos="720"/>
          <w:tab w:val="num" w:pos="1440"/>
        </w:tabs>
        <w:ind w:left="0" w:firstLine="0"/>
        <w:jc w:val="both"/>
      </w:pPr>
      <w:r>
        <w:t>With respect, it was an over-simplification for the Attorney-General to suggest that the Crown would need “to prove only a payment”.  As is evident</w:t>
      </w:r>
      <w:r w:rsidR="00B407AB">
        <w:t xml:space="preserve"> from the structure and elements of the section 9 offence discussed in Section </w:t>
      </w:r>
      <w:r>
        <w:t xml:space="preserve">H.2 below, </w:t>
      </w:r>
      <w:r w:rsidR="00913CE4">
        <w:t xml:space="preserve">while </w:t>
      </w:r>
      <w:r>
        <w:t>the need to prove</w:t>
      </w:r>
      <w:r w:rsidR="00FD3162" w:rsidRPr="00FD3162">
        <w:t xml:space="preserve"> a corrupt motive</w:t>
      </w:r>
      <w:r>
        <w:t xml:space="preserve"> was avoided by removing a reference to corruption in the wording</w:t>
      </w:r>
      <w:r w:rsidR="00FD3162" w:rsidRPr="00FD3162">
        <w:t xml:space="preserve">, the approach adopted </w:t>
      </w:r>
      <w:r w:rsidR="00913CE4">
        <w:t>involves</w:t>
      </w:r>
      <w:r w:rsidR="00FD3162" w:rsidRPr="00FD3162">
        <w:t xml:space="preserve"> creat</w:t>
      </w:r>
      <w:r w:rsidR="00913CE4">
        <w:t>ing</w:t>
      </w:r>
      <w:r w:rsidR="00FD3162" w:rsidRPr="00FD3162">
        <w:t xml:space="preserve"> offences requiring proof of </w:t>
      </w:r>
      <w:r w:rsidR="00913CE4">
        <w:t xml:space="preserve">actual or proposed </w:t>
      </w:r>
      <w:r w:rsidR="00FD3162" w:rsidRPr="00FD3162">
        <w:t xml:space="preserve">transactions </w:t>
      </w:r>
      <w:r w:rsidR="00247A62">
        <w:t xml:space="preserve">involving </w:t>
      </w:r>
      <w:r w:rsidR="00FD3162" w:rsidRPr="00FD3162">
        <w:t xml:space="preserve">particular </w:t>
      </w:r>
      <w:r w:rsidR="00722E50">
        <w:t xml:space="preserve">classes of </w:t>
      </w:r>
      <w:r w:rsidR="00FD3162" w:rsidRPr="00FD3162">
        <w:t xml:space="preserve">defendants (including agents in the private sector) which </w:t>
      </w:r>
      <w:r w:rsidR="00247A62">
        <w:t>are</w:t>
      </w:r>
      <w:r w:rsidR="00FD3162" w:rsidRPr="00FD3162">
        <w:t xml:space="preserve"> of such a nature as to </w:t>
      </w:r>
      <w:r w:rsidR="00256F40">
        <w:t xml:space="preserve">savour </w:t>
      </w:r>
      <w:r w:rsidR="00FD3162" w:rsidRPr="00FD3162">
        <w:t>implicitly</w:t>
      </w:r>
      <w:r w:rsidR="00256F40">
        <w:t xml:space="preserve"> of corruption</w:t>
      </w:r>
      <w:r w:rsidR="00FD3162" w:rsidRPr="00FD3162">
        <w:t xml:space="preserve">.  </w:t>
      </w:r>
      <w:r w:rsidR="00247A62">
        <w:t xml:space="preserve">Thus proof of a payment (or an offer or solicitation) meeting the conditions defined by section 9 implicitly establishes a corrupt transaction, subject to </w:t>
      </w:r>
      <w:r w:rsidR="00820BB8">
        <w:t>the d</w:t>
      </w:r>
      <w:r w:rsidR="00FD3162" w:rsidRPr="00FD3162">
        <w:t xml:space="preserve">efences of lawful authority </w:t>
      </w:r>
      <w:r w:rsidR="00820BB8">
        <w:t xml:space="preserve">and </w:t>
      </w:r>
      <w:r w:rsidR="00FD3162" w:rsidRPr="00FD3162">
        <w:t xml:space="preserve">reasonable excuse.  </w:t>
      </w:r>
    </w:p>
    <w:p w:rsidR="00FD3162" w:rsidRPr="00FD3162" w:rsidRDefault="006B043B" w:rsidP="00525C4D">
      <w:pPr>
        <w:pStyle w:val="docmapheading"/>
      </w:pPr>
      <w:r>
        <w:t>H</w:t>
      </w:r>
      <w:r w:rsidR="00FD3162" w:rsidRPr="00FD3162">
        <w:t>.2</w:t>
      </w:r>
      <w:r w:rsidR="00FD3162" w:rsidRPr="00FD3162">
        <w:tab/>
        <w:t xml:space="preserve">The structure of section 9 </w:t>
      </w:r>
    </w:p>
    <w:p w:rsidR="00A6642F" w:rsidRDefault="00FD3162" w:rsidP="00A6642F">
      <w:pPr>
        <w:pStyle w:val="Bob1"/>
        <w:tabs>
          <w:tab w:val="clear" w:pos="720"/>
          <w:tab w:val="num" w:pos="1440"/>
        </w:tabs>
        <w:ind w:left="0" w:firstLine="0"/>
        <w:jc w:val="both"/>
      </w:pPr>
      <w:r w:rsidRPr="00FD3162">
        <w:t xml:space="preserve">As Li CJ stated in </w:t>
      </w:r>
      <w:r w:rsidRPr="00FD3162">
        <w:rPr>
          <w:rFonts w:eastAsia="宋体"/>
          <w:i/>
          <w:szCs w:val="28"/>
        </w:rPr>
        <w:t xml:space="preserve">HKSAR v Cheung </w:t>
      </w:r>
      <w:proofErr w:type="spellStart"/>
      <w:r w:rsidRPr="00FD3162">
        <w:rPr>
          <w:rFonts w:eastAsia="宋体"/>
          <w:i/>
          <w:szCs w:val="28"/>
        </w:rPr>
        <w:t>Kwun</w:t>
      </w:r>
      <w:proofErr w:type="spellEnd"/>
      <w:r w:rsidRPr="00FD3162">
        <w:rPr>
          <w:rFonts w:eastAsia="宋体"/>
          <w:i/>
          <w:szCs w:val="28"/>
        </w:rPr>
        <w:t xml:space="preserve"> Yin</w:t>
      </w:r>
      <w:r w:rsidRPr="00FD3162">
        <w:rPr>
          <w:rFonts w:eastAsia="宋体"/>
          <w:szCs w:val="28"/>
        </w:rPr>
        <w:t>,</w:t>
      </w:r>
      <w:r w:rsidRPr="00FD3162">
        <w:rPr>
          <w:rStyle w:val="FootnoteReference"/>
          <w:rFonts w:eastAsia="宋体"/>
          <w:szCs w:val="28"/>
        </w:rPr>
        <w:footnoteReference w:id="48"/>
      </w:r>
      <w:r w:rsidRPr="00FD3162">
        <w:rPr>
          <w:rFonts w:eastAsia="宋体"/>
          <w:i/>
          <w:szCs w:val="28"/>
        </w:rPr>
        <w:t xml:space="preserve"> </w:t>
      </w:r>
      <w:r w:rsidRPr="00FD3162">
        <w:rPr>
          <w:rFonts w:eastAsia="宋体"/>
          <w:szCs w:val="28"/>
        </w:rPr>
        <w:t>t</w:t>
      </w:r>
      <w:r w:rsidRPr="00FD3162">
        <w:rPr>
          <w:szCs w:val="28"/>
        </w:rPr>
        <w:t xml:space="preserve">he purpose of a statutory provision may be evident from the provision itself.  </w:t>
      </w:r>
      <w:r w:rsidRPr="00FD3162">
        <w:t xml:space="preserve">The structure and </w:t>
      </w:r>
      <w:r w:rsidRPr="00FD3162">
        <w:lastRenderedPageBreak/>
        <w:t xml:space="preserve">elements of the section 9 offence </w:t>
      </w:r>
      <w:r w:rsidR="00820BB8">
        <w:t xml:space="preserve">give a strong indication of </w:t>
      </w:r>
      <w:r w:rsidRPr="00FD3162">
        <w:t xml:space="preserve">the legislative intent.  Thus, the section concerns transactions between third persons and agents who have been entrusted with power to act on their principals’ behalf.   It focuses on an advantage solicited or accepted by, or offered to, the agent as an </w:t>
      </w:r>
      <w:r w:rsidRPr="00820BB8">
        <w:t>inducement</w:t>
      </w:r>
      <w:r w:rsidRPr="00FD3162">
        <w:rPr>
          <w:i/>
        </w:rPr>
        <w:t xml:space="preserve"> </w:t>
      </w:r>
      <w:r w:rsidRPr="00FD3162">
        <w:t xml:space="preserve">for him to act or forbear to act in some way in relation to his principal’s affairs or business.   If the agent were duly acting in the ordinary course of his principal’s business, </w:t>
      </w:r>
      <w:r w:rsidR="00820BB8">
        <w:t xml:space="preserve">one would expect no </w:t>
      </w:r>
      <w:r w:rsidRPr="00FD3162">
        <w:t xml:space="preserve">such inducement to enter the picture.  The situation targeted by section 9 is thus evidently one where the agent is being offered or solicits </w:t>
      </w:r>
      <w:r w:rsidR="00256F40">
        <w:t xml:space="preserve">without permission, lawful authority or reasonable excuse, </w:t>
      </w:r>
      <w:r w:rsidRPr="00FD3162">
        <w:t>an inducement to do (or forbear from doing) something “in relation to his principal's affairs or business”</w:t>
      </w:r>
      <w:r w:rsidR="00256F40">
        <w:t>.</w:t>
      </w:r>
      <w:r w:rsidRPr="00FD3162">
        <w:t xml:space="preserve"> </w:t>
      </w:r>
      <w:r w:rsidR="00256F40">
        <w:t xml:space="preserve"> It is a situation </w:t>
      </w:r>
      <w:r w:rsidRPr="00FD3162">
        <w:t xml:space="preserve">which </w:t>
      </w:r>
      <w:r w:rsidR="00256F40">
        <w:t xml:space="preserve">is implicitly likely to </w:t>
      </w:r>
      <w:r w:rsidRPr="00FD3162">
        <w:t>involve some deviation from his normal duties</w:t>
      </w:r>
      <w:r w:rsidR="00256F40">
        <w:t xml:space="preserve"> and is likely to </w:t>
      </w:r>
      <w:r w:rsidRPr="00FD3162">
        <w:t>undermine the integrity of the</w:t>
      </w:r>
      <w:r w:rsidR="00744AA7">
        <w:t xml:space="preserve"> agency</w:t>
      </w:r>
      <w:r w:rsidRPr="00FD3162">
        <w:t xml:space="preserve"> relationship.</w:t>
      </w:r>
      <w:r w:rsidR="003628DA">
        <w:t xml:space="preserve">  </w:t>
      </w:r>
      <w:r w:rsidR="00A6642F">
        <w:t>This is reflected in paragraph (b) of each of sections 9(1) and 9(2)</w:t>
      </w:r>
      <w:r w:rsidR="00A6642F">
        <w:rPr>
          <w:rStyle w:val="FootnoteReference"/>
        </w:rPr>
        <w:footnoteReference w:id="49"/>
      </w:r>
      <w:r w:rsidR="00A6642F">
        <w:t xml:space="preserve"> which, by focussing on an agent’s “showing or forbearing to show ... favour or disfavour to any person in relation to his principal’s affairs or business” as the basis of guilt, indicate that section 9 targets transactions tending to undermine the integrity of the agency relationship.</w:t>
      </w:r>
    </w:p>
    <w:p w:rsidR="00FD3162" w:rsidRPr="00FD3162" w:rsidRDefault="00FD3162" w:rsidP="00492FF5">
      <w:pPr>
        <w:pStyle w:val="Bob1"/>
        <w:numPr>
          <w:ilvl w:val="0"/>
          <w:numId w:val="1"/>
        </w:numPr>
        <w:tabs>
          <w:tab w:val="clear" w:pos="720"/>
          <w:tab w:val="left" w:pos="1440"/>
        </w:tabs>
        <w:ind w:left="0" w:firstLine="0"/>
        <w:jc w:val="both"/>
      </w:pPr>
      <w:r w:rsidRPr="00FD3162">
        <w:t xml:space="preserve">As Blair-Kerr J, in </w:t>
      </w:r>
      <w:r w:rsidRPr="00492FF5">
        <w:rPr>
          <w:i/>
        </w:rPr>
        <w:t>R v R E Low</w:t>
      </w:r>
      <w:r w:rsidRPr="00FD3162">
        <w:t>,</w:t>
      </w:r>
      <w:r w:rsidRPr="00FD3162">
        <w:rPr>
          <w:rStyle w:val="FootnoteReference"/>
        </w:rPr>
        <w:footnoteReference w:id="50"/>
      </w:r>
      <w:r w:rsidRPr="00FD3162">
        <w:t xml:space="preserve"> put it in relation to an earlier version of section 9:</w:t>
      </w:r>
      <w:r w:rsidRPr="00FD3162">
        <w:rPr>
          <w:rStyle w:val="FootnoteReference"/>
        </w:rPr>
        <w:footnoteReference w:id="51"/>
      </w:r>
    </w:p>
    <w:p w:rsidR="00FD3162" w:rsidRPr="00FD3162" w:rsidRDefault="00FD3162" w:rsidP="00492FF5">
      <w:pPr>
        <w:pStyle w:val="Bob1"/>
        <w:numPr>
          <w:ilvl w:val="0"/>
          <w:numId w:val="0"/>
        </w:numPr>
        <w:spacing w:line="240" w:lineRule="auto"/>
        <w:ind w:left="720"/>
        <w:jc w:val="both"/>
        <w:rPr>
          <w:sz w:val="24"/>
        </w:rPr>
      </w:pPr>
      <w:r w:rsidRPr="00FD3162">
        <w:rPr>
          <w:sz w:val="24"/>
        </w:rPr>
        <w:t>“It is the inducing influence of the gift in relation to the recipient's performance or non-performance of his duty which is the essence of the offence.”</w:t>
      </w:r>
    </w:p>
    <w:p w:rsidR="00E270C2" w:rsidRDefault="00E270C2">
      <w:pPr>
        <w:spacing w:after="200" w:line="276" w:lineRule="auto"/>
        <w:rPr>
          <w:rFonts w:eastAsia="PMingLiU"/>
          <w:b/>
          <w:i/>
          <w:spacing w:val="15"/>
          <w:szCs w:val="28"/>
        </w:rPr>
      </w:pPr>
      <w:r>
        <w:br w:type="page"/>
      </w:r>
    </w:p>
    <w:p w:rsidR="002F377F" w:rsidRDefault="006B043B" w:rsidP="00525C4D">
      <w:pPr>
        <w:pStyle w:val="docmapheading"/>
      </w:pPr>
      <w:r>
        <w:lastRenderedPageBreak/>
        <w:t>H</w:t>
      </w:r>
      <w:r w:rsidR="002F377F">
        <w:t>.3</w:t>
      </w:r>
      <w:r w:rsidR="002F377F">
        <w:tab/>
      </w:r>
      <w:r w:rsidR="00B71FEF" w:rsidRPr="00B71FEF">
        <w:rPr>
          <w:rFonts w:hint="eastAsia"/>
        </w:rPr>
        <w:t xml:space="preserve">Fung </w:t>
      </w:r>
      <w:proofErr w:type="spellStart"/>
      <w:r w:rsidR="00B71FEF" w:rsidRPr="00B71FEF">
        <w:rPr>
          <w:rFonts w:hint="eastAsia"/>
        </w:rPr>
        <w:t>Hok</w:t>
      </w:r>
      <w:proofErr w:type="spellEnd"/>
      <w:r w:rsidR="00B71FEF" w:rsidRPr="00B71FEF">
        <w:rPr>
          <w:rFonts w:hint="eastAsia"/>
        </w:rPr>
        <w:t xml:space="preserve"> Cheung  </w:t>
      </w:r>
    </w:p>
    <w:p w:rsidR="004B1767" w:rsidRDefault="004A47C7" w:rsidP="00492FF5">
      <w:pPr>
        <w:pStyle w:val="Bob1"/>
        <w:tabs>
          <w:tab w:val="clear" w:pos="720"/>
          <w:tab w:val="left" w:pos="1440"/>
        </w:tabs>
        <w:ind w:left="0" w:firstLine="0"/>
        <w:jc w:val="both"/>
      </w:pPr>
      <w:r>
        <w:t xml:space="preserve">In rejecting the argument that </w:t>
      </w:r>
      <w:r w:rsidRPr="004A47C7">
        <w:t>the “influence” or “effect” must be adverse</w:t>
      </w:r>
      <w:r>
        <w:t xml:space="preserve">, the Court of Appeal relied on </w:t>
      </w:r>
      <w:r w:rsidRPr="004A47C7">
        <w:rPr>
          <w:i/>
        </w:rPr>
        <w:t xml:space="preserve">HKSAR v Fung </w:t>
      </w:r>
      <w:proofErr w:type="spellStart"/>
      <w:r w:rsidRPr="004A47C7">
        <w:rPr>
          <w:i/>
        </w:rPr>
        <w:t>Hok</w:t>
      </w:r>
      <w:proofErr w:type="spellEnd"/>
      <w:r w:rsidRPr="004A47C7">
        <w:rPr>
          <w:i/>
        </w:rPr>
        <w:t xml:space="preserve"> Cheung</w:t>
      </w:r>
      <w:r>
        <w:t>.</w:t>
      </w:r>
      <w:r>
        <w:rPr>
          <w:rStyle w:val="FootnoteReference"/>
        </w:rPr>
        <w:footnoteReference w:id="52"/>
      </w:r>
      <w:r>
        <w:t xml:space="preserve"> </w:t>
      </w:r>
      <w:r w:rsidR="005F168E">
        <w:t>T</w:t>
      </w:r>
      <w:r w:rsidR="004B1767">
        <w:t>he facts were described as follows:</w:t>
      </w:r>
    </w:p>
    <w:p w:rsidR="004A47C7" w:rsidRPr="004B1767" w:rsidRDefault="004B1767" w:rsidP="00492FF5">
      <w:pPr>
        <w:pStyle w:val="Bob1"/>
        <w:numPr>
          <w:ilvl w:val="0"/>
          <w:numId w:val="0"/>
        </w:numPr>
        <w:spacing w:line="240" w:lineRule="auto"/>
        <w:ind w:left="720"/>
        <w:jc w:val="both"/>
        <w:rPr>
          <w:sz w:val="24"/>
        </w:rPr>
      </w:pPr>
      <w:r w:rsidRPr="004B1767">
        <w:rPr>
          <w:sz w:val="24"/>
        </w:rPr>
        <w:t xml:space="preserve">“... the applicant had access to a corrupt jockey, one </w:t>
      </w:r>
      <w:proofErr w:type="spellStart"/>
      <w:r w:rsidRPr="004B1767">
        <w:rPr>
          <w:sz w:val="24"/>
        </w:rPr>
        <w:t>Munce</w:t>
      </w:r>
      <w:proofErr w:type="spellEnd"/>
      <w:r w:rsidRPr="004B1767">
        <w:rPr>
          <w:sz w:val="24"/>
        </w:rPr>
        <w:t xml:space="preserve">, who was prepared to provide tips as to the prospects of success of horses in respect of which he had peculiar information as a result of having ridden them at the request of various trainers; the applicant would pass this information on to PW1 [an ICAC undercover agent] who would place bets in his own name but on </w:t>
      </w:r>
      <w:proofErr w:type="spellStart"/>
      <w:r w:rsidRPr="004B1767">
        <w:rPr>
          <w:sz w:val="24"/>
        </w:rPr>
        <w:t>Munce's</w:t>
      </w:r>
      <w:proofErr w:type="spellEnd"/>
      <w:r w:rsidRPr="004B1767">
        <w:rPr>
          <w:sz w:val="24"/>
        </w:rPr>
        <w:t xml:space="preserve"> behalf; if a bet was successful a proportion of the winnings would be paid over to </w:t>
      </w:r>
      <w:proofErr w:type="spellStart"/>
      <w:r w:rsidRPr="004B1767">
        <w:rPr>
          <w:sz w:val="24"/>
        </w:rPr>
        <w:t>Munce</w:t>
      </w:r>
      <w:proofErr w:type="spellEnd"/>
      <w:r w:rsidRPr="004B1767">
        <w:rPr>
          <w:sz w:val="24"/>
        </w:rPr>
        <w:t>, via the applicant who would retain a share, whereas if it was unsuccessful the loss would be borne by, ostensibly, PW1.”</w:t>
      </w:r>
      <w:r>
        <w:rPr>
          <w:rStyle w:val="FootnoteReference"/>
          <w:sz w:val="24"/>
        </w:rPr>
        <w:footnoteReference w:id="53"/>
      </w:r>
    </w:p>
    <w:p w:rsidR="004A47C7" w:rsidRDefault="004B1767" w:rsidP="00492FF5">
      <w:pPr>
        <w:pStyle w:val="Bob1"/>
        <w:tabs>
          <w:tab w:val="clear" w:pos="720"/>
          <w:tab w:val="left" w:pos="1440"/>
        </w:tabs>
        <w:ind w:left="0" w:firstLine="0"/>
        <w:jc w:val="both"/>
      </w:pPr>
      <w:r>
        <w:t xml:space="preserve">The jockey was held to be the agent of the trainers for whom he was riding and Wright J, </w:t>
      </w:r>
      <w:r w:rsidR="00256F40">
        <w:t>giving judgment</w:t>
      </w:r>
      <w:r>
        <w:t xml:space="preserve"> for the</w:t>
      </w:r>
      <w:r w:rsidR="005F168E">
        <w:t xml:space="preserve"> Court of Appeal</w:t>
      </w:r>
      <w:r>
        <w:t>, described the case as one in which the agent “</w:t>
      </w:r>
      <w:r w:rsidRPr="004B1767">
        <w:t>surreptitiously provides confidential information concerning his employer's business to a thir</w:t>
      </w:r>
      <w:r>
        <w:t>d party in return for payment”.</w:t>
      </w:r>
      <w:r>
        <w:rPr>
          <w:rStyle w:val="FootnoteReference"/>
        </w:rPr>
        <w:footnoteReference w:id="54"/>
      </w:r>
      <w:r>
        <w:t xml:space="preserve">  The applicant was convicted of </w:t>
      </w:r>
      <w:r w:rsidRPr="004B1767">
        <w:t>conspiracy to offer an adva</w:t>
      </w:r>
      <w:r>
        <w:t xml:space="preserve">ntage </w:t>
      </w:r>
      <w:r w:rsidR="0055481E">
        <w:t>to</w:t>
      </w:r>
      <w:r>
        <w:t xml:space="preserve"> an agent, contrary to POBO section </w:t>
      </w:r>
      <w:r w:rsidRPr="004B1767">
        <w:t>9(2)(a)</w:t>
      </w:r>
      <w:r>
        <w:t>, read together with sections</w:t>
      </w:r>
      <w:r w:rsidR="002D1231">
        <w:t xml:space="preserve"> </w:t>
      </w:r>
      <w:r w:rsidRPr="004B1767">
        <w:t>159A and 159C of the Crimes Ordinance</w:t>
      </w:r>
      <w:r w:rsidR="00AA5208">
        <w:t xml:space="preserve"> (“</w:t>
      </w:r>
      <w:r w:rsidR="00AA5208">
        <w:rPr>
          <w:u w:val="single"/>
        </w:rPr>
        <w:t>CO</w:t>
      </w:r>
      <w:r w:rsidR="00AA5208">
        <w:t>”)</w:t>
      </w:r>
      <w:r>
        <w:t>.</w:t>
      </w:r>
      <w:r>
        <w:rPr>
          <w:rStyle w:val="FootnoteReference"/>
        </w:rPr>
        <w:footnoteReference w:id="55"/>
      </w:r>
      <w:r w:rsidR="005F168E">
        <w:t xml:space="preserve"> In the passage relied on below, Wright J stated:</w:t>
      </w:r>
    </w:p>
    <w:p w:rsidR="005F168E" w:rsidRPr="005F168E" w:rsidRDefault="005F168E" w:rsidP="00492FF5">
      <w:pPr>
        <w:pStyle w:val="Bob1"/>
        <w:numPr>
          <w:ilvl w:val="0"/>
          <w:numId w:val="0"/>
        </w:numPr>
        <w:spacing w:line="240" w:lineRule="auto"/>
        <w:ind w:left="720"/>
        <w:jc w:val="both"/>
        <w:rPr>
          <w:sz w:val="24"/>
        </w:rPr>
      </w:pPr>
      <w:r w:rsidRPr="005F168E">
        <w:rPr>
          <w:sz w:val="24"/>
        </w:rPr>
        <w:t xml:space="preserve">“The section does not require, nor should the phrase </w:t>
      </w:r>
      <w:r>
        <w:rPr>
          <w:sz w:val="24"/>
        </w:rPr>
        <w:t>‘</w:t>
      </w:r>
      <w:r w:rsidRPr="005F168E">
        <w:rPr>
          <w:sz w:val="24"/>
        </w:rPr>
        <w:t>aimed at</w:t>
      </w:r>
      <w:r>
        <w:rPr>
          <w:sz w:val="24"/>
        </w:rPr>
        <w:t>’</w:t>
      </w:r>
      <w:r w:rsidRPr="005F168E">
        <w:rPr>
          <w:sz w:val="24"/>
        </w:rPr>
        <w:t xml:space="preserve"> in </w:t>
      </w:r>
      <w:r w:rsidRPr="00256F40">
        <w:rPr>
          <w:i/>
          <w:sz w:val="24"/>
        </w:rPr>
        <w:t>Commissioner of the Independent Com</w:t>
      </w:r>
      <w:r w:rsidR="00760ABA">
        <w:rPr>
          <w:i/>
          <w:sz w:val="24"/>
        </w:rPr>
        <w:t xml:space="preserve">mission Against Corruption v </w:t>
      </w:r>
      <w:proofErr w:type="spellStart"/>
      <w:r w:rsidR="00760ABA">
        <w:rPr>
          <w:i/>
          <w:sz w:val="24"/>
        </w:rPr>
        <w:t>Ch’</w:t>
      </w:r>
      <w:r w:rsidRPr="00256F40">
        <w:rPr>
          <w:i/>
          <w:sz w:val="24"/>
        </w:rPr>
        <w:t>ng</w:t>
      </w:r>
      <w:proofErr w:type="spellEnd"/>
      <w:r w:rsidRPr="00256F40">
        <w:rPr>
          <w:i/>
          <w:sz w:val="24"/>
        </w:rPr>
        <w:t xml:space="preserve"> </w:t>
      </w:r>
      <w:proofErr w:type="spellStart"/>
      <w:r w:rsidRPr="00256F40">
        <w:rPr>
          <w:i/>
          <w:sz w:val="24"/>
        </w:rPr>
        <w:t>Poh</w:t>
      </w:r>
      <w:proofErr w:type="spellEnd"/>
      <w:r w:rsidRPr="005F168E">
        <w:rPr>
          <w:sz w:val="24"/>
        </w:rPr>
        <w:t xml:space="preserve"> be read as importing, any direct adverse proprietary consequence to the principal's affairs or business. What it requires is that the person offering the inducement intended that the act to be carried out by the agent itself in some way would influence or affect the affairs or business of the principal.”</w:t>
      </w:r>
      <w:r>
        <w:rPr>
          <w:rStyle w:val="FootnoteReference"/>
          <w:sz w:val="24"/>
        </w:rPr>
        <w:footnoteReference w:id="56"/>
      </w:r>
      <w:r w:rsidRPr="005F168E">
        <w:rPr>
          <w:sz w:val="24"/>
        </w:rPr>
        <w:t xml:space="preserve"> </w:t>
      </w:r>
    </w:p>
    <w:p w:rsidR="00C52C78" w:rsidRDefault="00C52C78">
      <w:pPr>
        <w:spacing w:after="200" w:line="276" w:lineRule="auto"/>
        <w:rPr>
          <w:rFonts w:eastAsiaTheme="minorEastAsia"/>
          <w:lang w:eastAsia="zh-CN"/>
        </w:rPr>
      </w:pPr>
      <w:r>
        <w:br w:type="page"/>
      </w:r>
    </w:p>
    <w:p w:rsidR="005F168E" w:rsidRDefault="005F168E" w:rsidP="00492FF5">
      <w:pPr>
        <w:pStyle w:val="Bob1"/>
        <w:tabs>
          <w:tab w:val="clear" w:pos="720"/>
          <w:tab w:val="left" w:pos="1440"/>
        </w:tabs>
        <w:ind w:left="0" w:firstLine="0"/>
      </w:pPr>
      <w:r>
        <w:lastRenderedPageBreak/>
        <w:t>His Lordship added:</w:t>
      </w:r>
    </w:p>
    <w:p w:rsidR="005F168E" w:rsidRDefault="005F168E" w:rsidP="00492FF5">
      <w:pPr>
        <w:pStyle w:val="Bob1"/>
        <w:numPr>
          <w:ilvl w:val="0"/>
          <w:numId w:val="0"/>
        </w:numPr>
        <w:spacing w:line="240" w:lineRule="auto"/>
        <w:ind w:left="720"/>
        <w:jc w:val="both"/>
        <w:rPr>
          <w:sz w:val="24"/>
        </w:rPr>
      </w:pPr>
      <w:r w:rsidRPr="005F168E">
        <w:rPr>
          <w:sz w:val="24"/>
        </w:rPr>
        <w:t xml:space="preserve">“The Deputy Judge was fully justified in finding on the evidence before her that the use by the applicant, for financial gain, of the confidential information obtained by </w:t>
      </w:r>
      <w:proofErr w:type="spellStart"/>
      <w:r w:rsidRPr="005F168E">
        <w:rPr>
          <w:sz w:val="24"/>
        </w:rPr>
        <w:t>Munce</w:t>
      </w:r>
      <w:proofErr w:type="spellEnd"/>
      <w:r w:rsidRPr="005F168E">
        <w:rPr>
          <w:sz w:val="24"/>
        </w:rPr>
        <w:t xml:space="preserve"> as jockey for and agent of the trainer, potentially would affect the trainer's reputation. It requires nothing more than </w:t>
      </w:r>
      <w:proofErr w:type="spellStart"/>
      <w:r w:rsidRPr="005F168E">
        <w:rPr>
          <w:sz w:val="24"/>
        </w:rPr>
        <w:t>commonsense</w:t>
      </w:r>
      <w:proofErr w:type="spellEnd"/>
      <w:r w:rsidRPr="005F168E">
        <w:rPr>
          <w:sz w:val="24"/>
        </w:rPr>
        <w:t xml:space="preserve"> to appreciate that such a situation would affect the trainer's affairs or business, from which it is self-evident that </w:t>
      </w:r>
      <w:proofErr w:type="spellStart"/>
      <w:r w:rsidRPr="005F168E">
        <w:rPr>
          <w:sz w:val="24"/>
        </w:rPr>
        <w:t>Munce's</w:t>
      </w:r>
      <w:proofErr w:type="spellEnd"/>
      <w:r w:rsidRPr="005F168E">
        <w:rPr>
          <w:sz w:val="24"/>
        </w:rPr>
        <w:t xml:space="preserve"> conduct was an act in relation to his principal's affairs or business and that the applicant intended that consequence.”</w:t>
      </w:r>
      <w:r>
        <w:rPr>
          <w:rStyle w:val="FootnoteReference"/>
          <w:sz w:val="24"/>
        </w:rPr>
        <w:footnoteReference w:id="57"/>
      </w:r>
      <w:r w:rsidRPr="005F168E">
        <w:rPr>
          <w:sz w:val="24"/>
        </w:rPr>
        <w:t xml:space="preserve"> </w:t>
      </w:r>
    </w:p>
    <w:p w:rsidR="00543FC6" w:rsidRDefault="00543FC6" w:rsidP="00492FF5">
      <w:pPr>
        <w:pStyle w:val="Bob1"/>
        <w:tabs>
          <w:tab w:val="clear" w:pos="720"/>
          <w:tab w:val="left" w:pos="1440"/>
        </w:tabs>
        <w:ind w:left="0" w:firstLine="0"/>
        <w:jc w:val="both"/>
      </w:pPr>
      <w:r>
        <w:t xml:space="preserve">It is clear from these two paragraphs that </w:t>
      </w:r>
      <w:r w:rsidRPr="00543FC6">
        <w:rPr>
          <w:rFonts w:hint="eastAsia"/>
          <w:i/>
        </w:rPr>
        <w:t xml:space="preserve">Fung </w:t>
      </w:r>
      <w:proofErr w:type="spellStart"/>
      <w:r w:rsidRPr="00543FC6">
        <w:rPr>
          <w:rFonts w:hint="eastAsia"/>
          <w:i/>
        </w:rPr>
        <w:t>Hok</w:t>
      </w:r>
      <w:proofErr w:type="spellEnd"/>
      <w:r w:rsidRPr="00543FC6">
        <w:rPr>
          <w:rFonts w:hint="eastAsia"/>
          <w:i/>
        </w:rPr>
        <w:t xml:space="preserve"> Cheung</w:t>
      </w:r>
      <w:r>
        <w:rPr>
          <w:i/>
        </w:rPr>
        <w:t xml:space="preserve"> </w:t>
      </w:r>
      <w:r>
        <w:t>is not authority for the proposition that a person can be guilty of a section 9 offence even where the contemplated act or forbearance has no</w:t>
      </w:r>
      <w:r w:rsidR="00E81262">
        <w:t xml:space="preserve"> potentially</w:t>
      </w:r>
      <w:r>
        <w:t xml:space="preserve"> adverse impact on the principal’s interests.  Wright J was stating that there was no need to show </w:t>
      </w:r>
      <w:r w:rsidR="00E81262">
        <w:t>any “</w:t>
      </w:r>
      <w:r w:rsidR="00E81262" w:rsidRPr="00E81262">
        <w:t>any direct adverse proprietary consequence to the principal's affairs or business</w:t>
      </w:r>
      <w:r w:rsidR="00E81262">
        <w:t xml:space="preserve">”.  In the next paragraph he endorsed the trial judge’s finding that </w:t>
      </w:r>
      <w:proofErr w:type="spellStart"/>
      <w:r w:rsidR="00E81262">
        <w:t>Munce’s</w:t>
      </w:r>
      <w:proofErr w:type="spellEnd"/>
      <w:r w:rsidR="00E81262">
        <w:t xml:space="preserve"> acts potentially damaged the trainer’s reputation and thus would affect his affairs or business.  Such reputational damage is not a direct “proprietary” or “economic” consequence, but it is plainly a consequence inimical to the integrity of the agency relationship between </w:t>
      </w:r>
      <w:proofErr w:type="spellStart"/>
      <w:r w:rsidR="00E81262">
        <w:t>Munce</w:t>
      </w:r>
      <w:proofErr w:type="spellEnd"/>
      <w:r w:rsidR="00E81262">
        <w:t xml:space="preserve"> and the trainer.  It might moreover lead to indirect economic </w:t>
      </w:r>
      <w:r w:rsidR="00820BB8">
        <w:t xml:space="preserve">harm </w:t>
      </w:r>
      <w:r w:rsidR="00E81262">
        <w:t>to the trainer’s business.</w:t>
      </w:r>
    </w:p>
    <w:p w:rsidR="008E402A" w:rsidRDefault="008E402A" w:rsidP="00492FF5">
      <w:pPr>
        <w:pStyle w:val="Bob1"/>
        <w:tabs>
          <w:tab w:val="clear" w:pos="720"/>
          <w:tab w:val="left" w:pos="1440"/>
        </w:tabs>
        <w:ind w:left="0" w:firstLine="0"/>
        <w:jc w:val="both"/>
      </w:pPr>
      <w:r>
        <w:t xml:space="preserve">I pause to note that in the leading textbook </w:t>
      </w:r>
      <w:r w:rsidR="00BC189C">
        <w:t xml:space="preserve">in this jurisdiction </w:t>
      </w:r>
      <w:r>
        <w:t>on the subject,</w:t>
      </w:r>
      <w:r>
        <w:rPr>
          <w:rStyle w:val="FootnoteReference"/>
        </w:rPr>
        <w:footnoteReference w:id="58"/>
      </w:r>
      <w:r>
        <w:t xml:space="preserve"> the learned author asserts the need for prejudice to the principal’s interests:</w:t>
      </w:r>
    </w:p>
    <w:p w:rsidR="008E402A" w:rsidRDefault="008E402A" w:rsidP="00492FF5">
      <w:pPr>
        <w:pStyle w:val="Bob1"/>
        <w:numPr>
          <w:ilvl w:val="0"/>
          <w:numId w:val="0"/>
        </w:numPr>
        <w:spacing w:line="240" w:lineRule="auto"/>
        <w:ind w:left="720"/>
        <w:jc w:val="both"/>
        <w:rPr>
          <w:sz w:val="24"/>
        </w:rPr>
      </w:pPr>
      <w:r w:rsidRPr="00BC189C">
        <w:rPr>
          <w:sz w:val="24"/>
        </w:rPr>
        <w:t>“</w:t>
      </w:r>
      <w:r w:rsidR="00BC189C" w:rsidRPr="00BC189C">
        <w:rPr>
          <w:sz w:val="24"/>
        </w:rPr>
        <w:t xml:space="preserve">Section 9 is the only offence in the POBO dedicated solely to corruption in the private sector but it is limited in its scope by the requirement that there exists a principal/agent relationship and that the principal’s interests are prejudiced or at risk of being prejudiced by the secret actions either of his corrupt agent or by a person with whom he is having dealings who seeks to corrupt his agent.  This is the traditional narrow view of corruption which is typically found in anti-corruption legislation and is even reflected in Article 21 of the United Nations Convention Against Corruption (UNCAC) which proscribes the offering solicitation or acceptance of undue advantages to or by the employees of private sector entitles “in order that he or she, in breach of his or her </w:t>
      </w:r>
      <w:r w:rsidR="00BC189C" w:rsidRPr="00BC189C">
        <w:rPr>
          <w:sz w:val="24"/>
        </w:rPr>
        <w:lastRenderedPageBreak/>
        <w:t>duties, act or refrain from acting”.  Thus the focus of the UNCAC and other similar offences is on conduct which undermines the integrity of the agent in his relationship with his principal ...”</w:t>
      </w:r>
    </w:p>
    <w:p w:rsidR="001134EB" w:rsidRDefault="001134EB" w:rsidP="00525C4D">
      <w:pPr>
        <w:pStyle w:val="docmapheading"/>
      </w:pPr>
      <w:r>
        <w:t>I.</w:t>
      </w:r>
      <w:r>
        <w:tab/>
        <w:t>Conclusions on section 9 summarised</w:t>
      </w:r>
    </w:p>
    <w:p w:rsidR="006A6F5E" w:rsidRDefault="006A6F5E" w:rsidP="00492FF5">
      <w:pPr>
        <w:pStyle w:val="Bob1"/>
        <w:numPr>
          <w:ilvl w:val="0"/>
          <w:numId w:val="1"/>
        </w:numPr>
        <w:tabs>
          <w:tab w:val="clear" w:pos="720"/>
          <w:tab w:val="left" w:pos="1440"/>
        </w:tabs>
        <w:ind w:left="0" w:firstLine="0"/>
        <w:jc w:val="both"/>
      </w:pPr>
      <w:r>
        <w:t xml:space="preserve">There are variants of section 9 offences differing according to whether they are committed by the agent soliciting or accepting the advantage or by the person offering the same; and whether the act or forbearance is contemplated or already performed.  </w:t>
      </w:r>
    </w:p>
    <w:p w:rsidR="006A6F5E" w:rsidRDefault="006A6F5E" w:rsidP="00492FF5">
      <w:pPr>
        <w:pStyle w:val="Bob1"/>
        <w:numPr>
          <w:ilvl w:val="0"/>
          <w:numId w:val="1"/>
        </w:numPr>
        <w:tabs>
          <w:tab w:val="clear" w:pos="720"/>
          <w:tab w:val="left" w:pos="1440"/>
        </w:tabs>
        <w:ind w:left="0" w:firstLine="0"/>
        <w:jc w:val="both"/>
      </w:pPr>
      <w:r>
        <w:t xml:space="preserve">The </w:t>
      </w:r>
      <w:proofErr w:type="spellStart"/>
      <w:r w:rsidRPr="00531A28">
        <w:rPr>
          <w:i/>
        </w:rPr>
        <w:t>mens</w:t>
      </w:r>
      <w:proofErr w:type="spellEnd"/>
      <w:r w:rsidRPr="00531A28">
        <w:rPr>
          <w:i/>
        </w:rPr>
        <w:t xml:space="preserve"> rea </w:t>
      </w:r>
      <w:r>
        <w:t xml:space="preserve">requirements of knowledge, belief and intention adhere in their appropriately adapted forms to the essential </w:t>
      </w:r>
      <w:proofErr w:type="spellStart"/>
      <w:r w:rsidR="00433540">
        <w:rPr>
          <w:i/>
        </w:rPr>
        <w:t>actus</w:t>
      </w:r>
      <w:proofErr w:type="spellEnd"/>
      <w:r w:rsidR="00433540">
        <w:rPr>
          <w:i/>
        </w:rPr>
        <w:t xml:space="preserve"> </w:t>
      </w:r>
      <w:proofErr w:type="spellStart"/>
      <w:r w:rsidR="00433540">
        <w:rPr>
          <w:i/>
        </w:rPr>
        <w:t>reus</w:t>
      </w:r>
      <w:proofErr w:type="spellEnd"/>
      <w:r w:rsidR="00433540">
        <w:rPr>
          <w:i/>
        </w:rPr>
        <w:t xml:space="preserve"> </w:t>
      </w:r>
      <w:r>
        <w:t xml:space="preserve">ingredients of each of these variants, applied independently to each </w:t>
      </w:r>
      <w:r w:rsidR="00820BB8">
        <w:t>person</w:t>
      </w:r>
      <w:r>
        <w:t xml:space="preserve"> allegedly involved in the transaction.</w:t>
      </w:r>
    </w:p>
    <w:p w:rsidR="006A6F5E" w:rsidRDefault="006A6F5E" w:rsidP="00492FF5">
      <w:pPr>
        <w:pStyle w:val="Bob1"/>
        <w:numPr>
          <w:ilvl w:val="0"/>
          <w:numId w:val="1"/>
        </w:numPr>
        <w:tabs>
          <w:tab w:val="clear" w:pos="720"/>
          <w:tab w:val="left" w:pos="1440"/>
        </w:tabs>
        <w:ind w:left="0" w:firstLine="0"/>
        <w:jc w:val="both"/>
      </w:pPr>
      <w:r>
        <w:t>The reference in section 9 to the agent’s act or forbearance being “in relation to his principal's affairs or business” is properly construed to mean that the agent’s act or forbearance must be aimed at and intended to influence or affect the principal’s affairs or business in a manner that undermines the integrity of the agency</w:t>
      </w:r>
      <w:r w:rsidR="00D12EA3">
        <w:t xml:space="preserve"> relationship</w:t>
      </w:r>
      <w:r w:rsidR="00315B3B">
        <w:t xml:space="preserve"> by injuring the </w:t>
      </w:r>
      <w:r w:rsidR="00D12EA3">
        <w:t xml:space="preserve">bond </w:t>
      </w:r>
      <w:r w:rsidR="00315B3B">
        <w:t>of trust and loyalty between principal and agent</w:t>
      </w:r>
      <w:r>
        <w:t>.</w:t>
      </w:r>
    </w:p>
    <w:p w:rsidR="006A6F5E" w:rsidRDefault="006A6F5E" w:rsidP="00492FF5">
      <w:pPr>
        <w:pStyle w:val="Bob1"/>
        <w:numPr>
          <w:ilvl w:val="0"/>
          <w:numId w:val="1"/>
        </w:numPr>
        <w:tabs>
          <w:tab w:val="clear" w:pos="720"/>
          <w:tab w:val="left" w:pos="1440"/>
        </w:tabs>
        <w:ind w:left="0" w:firstLine="0"/>
        <w:jc w:val="both"/>
      </w:pPr>
      <w:r>
        <w:t xml:space="preserve">In offering cases, the prosecution must prove that the </w:t>
      </w:r>
      <w:proofErr w:type="spellStart"/>
      <w:r w:rsidR="00315B3B">
        <w:t>offeror</w:t>
      </w:r>
      <w:proofErr w:type="spellEnd"/>
      <w:r w:rsidR="00315B3B">
        <w:t xml:space="preserve"> </w:t>
      </w:r>
      <w:r>
        <w:t>intended that the advantage would be accepted as an inducement or reward for or otherwise on account of the agent’s act or forbearance which is aimed at and intended to influence or affect the principal’s affairs or business.</w:t>
      </w:r>
    </w:p>
    <w:p w:rsidR="006A6F5E" w:rsidRDefault="006A6F5E" w:rsidP="00492FF5">
      <w:pPr>
        <w:pStyle w:val="Bob1"/>
        <w:numPr>
          <w:ilvl w:val="0"/>
          <w:numId w:val="1"/>
        </w:numPr>
        <w:tabs>
          <w:tab w:val="clear" w:pos="720"/>
          <w:tab w:val="left" w:pos="1440"/>
        </w:tabs>
        <w:ind w:left="0" w:firstLine="0"/>
        <w:jc w:val="both"/>
      </w:pPr>
      <w:r>
        <w:t xml:space="preserve">In soliciting or accepting cases, the prosecution must prove that the accused agent knew or believed </w:t>
      </w:r>
      <w:r w:rsidR="00820BB8">
        <w:t xml:space="preserve">that </w:t>
      </w:r>
      <w:r>
        <w:t xml:space="preserve">the advantage </w:t>
      </w:r>
      <w:r w:rsidR="00820BB8">
        <w:t xml:space="preserve">was </w:t>
      </w:r>
      <w:r>
        <w:t>provided as an inducement or reward or otherwise on account of his actual or contemplated act or forbearance as conduct aimed at or intended to influence or affect the principal’s affairs or business.</w:t>
      </w:r>
    </w:p>
    <w:p w:rsidR="00CF2D5A" w:rsidRDefault="00CF2D5A" w:rsidP="00525C4D">
      <w:pPr>
        <w:pStyle w:val="docmapheading"/>
      </w:pPr>
      <w:r>
        <w:lastRenderedPageBreak/>
        <w:t>J.</w:t>
      </w:r>
      <w:r>
        <w:tab/>
        <w:t xml:space="preserve">Question 2: reasonable excuse </w:t>
      </w:r>
    </w:p>
    <w:p w:rsidR="001E17E4" w:rsidRDefault="001E17E4" w:rsidP="00492FF5">
      <w:pPr>
        <w:pStyle w:val="Bob1"/>
        <w:tabs>
          <w:tab w:val="clear" w:pos="720"/>
          <w:tab w:val="left" w:pos="1440"/>
        </w:tabs>
        <w:ind w:left="0" w:firstLine="0"/>
        <w:jc w:val="both"/>
      </w:pPr>
      <w:r>
        <w:t xml:space="preserve">Section 9 </w:t>
      </w:r>
      <w:r w:rsidR="00087220">
        <w:t xml:space="preserve">creates an offence based on </w:t>
      </w:r>
      <w:r>
        <w:t>conduct performed without lawful authority or reasonable excuse and section 24 lays it down that these are matters of defence which the accused bears the onus of proving:</w:t>
      </w:r>
    </w:p>
    <w:p w:rsidR="001E17E4" w:rsidRPr="00F003D1" w:rsidRDefault="001E17E4" w:rsidP="00492FF5">
      <w:pPr>
        <w:pStyle w:val="Bob1"/>
        <w:numPr>
          <w:ilvl w:val="0"/>
          <w:numId w:val="0"/>
        </w:numPr>
        <w:spacing w:line="240" w:lineRule="auto"/>
        <w:ind w:left="720"/>
        <w:jc w:val="both"/>
        <w:rPr>
          <w:sz w:val="24"/>
        </w:rPr>
      </w:pPr>
      <w:r w:rsidRPr="00F003D1">
        <w:rPr>
          <w:sz w:val="24"/>
        </w:rPr>
        <w:t>“In any proceedings against a person for an offence under this Ordinance, the burden of proving a defence of lawful authority or reasonable excuse shall lie upon the accused.”</w:t>
      </w:r>
    </w:p>
    <w:p w:rsidR="00A96854" w:rsidRPr="00492FF5" w:rsidRDefault="00A96854" w:rsidP="00492FF5">
      <w:pPr>
        <w:pStyle w:val="Bob1"/>
        <w:tabs>
          <w:tab w:val="clear" w:pos="720"/>
          <w:tab w:val="left" w:pos="1440"/>
        </w:tabs>
        <w:ind w:left="0" w:firstLine="0"/>
        <w:jc w:val="both"/>
      </w:pPr>
      <w:r>
        <w:t xml:space="preserve">In </w:t>
      </w:r>
      <w:r>
        <w:rPr>
          <w:i/>
        </w:rPr>
        <w:t xml:space="preserve">HKSAR v </w:t>
      </w:r>
      <w:proofErr w:type="spellStart"/>
      <w:r>
        <w:rPr>
          <w:i/>
        </w:rPr>
        <w:t>Ho</w:t>
      </w:r>
      <w:proofErr w:type="spellEnd"/>
      <w:r>
        <w:rPr>
          <w:i/>
        </w:rPr>
        <w:t xml:space="preserve"> Loy</w:t>
      </w:r>
      <w:r>
        <w:t>,</w:t>
      </w:r>
      <w:r>
        <w:rPr>
          <w:rStyle w:val="FootnoteReference"/>
          <w:rFonts w:eastAsia="宋体"/>
          <w:szCs w:val="28"/>
        </w:rPr>
        <w:footnoteReference w:id="59"/>
      </w:r>
      <w:r>
        <w:t xml:space="preserve"> </w:t>
      </w:r>
      <w:proofErr w:type="spellStart"/>
      <w:r>
        <w:t>Fok</w:t>
      </w:r>
      <w:proofErr w:type="spellEnd"/>
      <w:r>
        <w:t xml:space="preserve"> PJ </w:t>
      </w:r>
      <w:r w:rsidR="001E17E4">
        <w:t>pointed out that a defence of reasonable excuse involves (</w:t>
      </w:r>
      <w:proofErr w:type="spellStart"/>
      <w:r w:rsidR="001E17E4">
        <w:t>i</w:t>
      </w:r>
      <w:proofErr w:type="spellEnd"/>
      <w:r w:rsidR="001E17E4">
        <w:t xml:space="preserve">) identifying the matters relied on as constituting the excuse; (ii) determining the genuineness of the excuse; and (iii)  assessing “... </w:t>
      </w:r>
      <w:r w:rsidR="001E17E4" w:rsidRPr="001E17E4">
        <w:rPr>
          <w:rFonts w:eastAsia="宋体"/>
          <w:szCs w:val="28"/>
        </w:rPr>
        <w:t>whether that excuse is reasonable, which the court will do on an objective standard depending on the particular facts of the case</w:t>
      </w:r>
      <w:r w:rsidR="001E17E4">
        <w:rPr>
          <w:rFonts w:eastAsia="宋体"/>
          <w:szCs w:val="28"/>
        </w:rPr>
        <w:t>”.</w:t>
      </w:r>
    </w:p>
    <w:p w:rsidR="00A96854" w:rsidRDefault="007F2F8C" w:rsidP="00492FF5">
      <w:pPr>
        <w:pStyle w:val="Bob1"/>
        <w:tabs>
          <w:tab w:val="clear" w:pos="720"/>
          <w:tab w:val="left" w:pos="1440"/>
        </w:tabs>
        <w:ind w:left="0" w:firstLine="0"/>
        <w:jc w:val="both"/>
      </w:pPr>
      <w:r>
        <w:t xml:space="preserve">An issue as to reasonable excuse </w:t>
      </w:r>
      <w:r w:rsidR="001E17E4">
        <w:t xml:space="preserve">only arises </w:t>
      </w:r>
      <w:r>
        <w:t xml:space="preserve">if there is </w:t>
      </w:r>
      <w:r w:rsidR="001E17E4">
        <w:t xml:space="preserve">proof of conduct which prima facie constitutes the </w:t>
      </w:r>
      <w:r w:rsidR="00F40B55">
        <w:t xml:space="preserve">section 9 </w:t>
      </w:r>
      <w:r w:rsidR="001E17E4">
        <w:t xml:space="preserve">offence </w:t>
      </w:r>
      <w:r>
        <w:t xml:space="preserve">so that an </w:t>
      </w:r>
      <w:r w:rsidR="001E17E4">
        <w:t xml:space="preserve">assessment of the </w:t>
      </w:r>
      <w:r>
        <w:t xml:space="preserve">facts </w:t>
      </w:r>
      <w:r w:rsidR="001E17E4">
        <w:t xml:space="preserve">relied on </w:t>
      </w:r>
      <w:r w:rsidR="007203DA">
        <w:t xml:space="preserve">as an </w:t>
      </w:r>
      <w:r w:rsidR="001E17E4">
        <w:t xml:space="preserve">excuse </w:t>
      </w:r>
      <w:r>
        <w:t>is required</w:t>
      </w:r>
      <w:r w:rsidR="001E17E4">
        <w:t>.  Since</w:t>
      </w:r>
      <w:r w:rsidR="00A96854">
        <w:t xml:space="preserve"> I have concluded that the </w:t>
      </w:r>
      <w:r w:rsidR="001E17E4">
        <w:t xml:space="preserve">appellants </w:t>
      </w:r>
      <w:r w:rsidR="00087220">
        <w:t xml:space="preserve">do </w:t>
      </w:r>
      <w:r w:rsidR="00A96854">
        <w:t>not fall within section 9</w:t>
      </w:r>
      <w:r w:rsidR="001E17E4">
        <w:t xml:space="preserve">, there is </w:t>
      </w:r>
      <w:r w:rsidR="008D1FB2">
        <w:t xml:space="preserve">no </w:t>
      </w:r>
      <w:r w:rsidR="00B438FA">
        <w:t>realistic</w:t>
      </w:r>
      <w:r w:rsidR="001E17E4">
        <w:t xml:space="preserve"> basis for </w:t>
      </w:r>
      <w:r w:rsidR="007203DA">
        <w:t xml:space="preserve">assessing </w:t>
      </w:r>
      <w:r w:rsidR="001E17E4">
        <w:t xml:space="preserve">the defence in the present case.  </w:t>
      </w:r>
      <w:r w:rsidR="00087220">
        <w:t>T</w:t>
      </w:r>
      <w:r w:rsidR="008D1FB2">
        <w:t xml:space="preserve">he prosecution </w:t>
      </w:r>
      <w:r w:rsidR="00087220">
        <w:t>has not</w:t>
      </w:r>
      <w:r w:rsidR="008D1FB2">
        <w:t xml:space="preserve"> proved that the</w:t>
      </w:r>
      <w:r w:rsidR="00087220">
        <w:t>y</w:t>
      </w:r>
      <w:r w:rsidR="008D1FB2">
        <w:t xml:space="preserve"> </w:t>
      </w:r>
      <w:r w:rsidR="00087220">
        <w:t xml:space="preserve">respectively </w:t>
      </w:r>
      <w:r w:rsidR="008D1FB2">
        <w:t xml:space="preserve">offered and accepted an advantage to induce </w:t>
      </w:r>
      <w:r w:rsidR="00087220">
        <w:t xml:space="preserve">or reward </w:t>
      </w:r>
      <w:r w:rsidR="008D1FB2">
        <w:t xml:space="preserve">conduct </w:t>
      </w:r>
      <w:r w:rsidR="00087220">
        <w:t xml:space="preserve">by Chan </w:t>
      </w:r>
      <w:r w:rsidR="007203DA">
        <w:t xml:space="preserve">aimed at TVB </w:t>
      </w:r>
      <w:r w:rsidR="008D1FB2">
        <w:t>which prima facie undermined the integrity of the agency relationship to TVB’s detriment</w:t>
      </w:r>
      <w:r w:rsidR="00087220">
        <w:t xml:space="preserve">. It is thus not a meaningful exercise to </w:t>
      </w:r>
      <w:r w:rsidR="008D1FB2">
        <w:t xml:space="preserve">search for </w:t>
      </w:r>
      <w:r w:rsidR="00DF273B">
        <w:t xml:space="preserve">and assess the reasonableness of </w:t>
      </w:r>
      <w:r w:rsidR="00087220">
        <w:t xml:space="preserve">matters </w:t>
      </w:r>
      <w:r w:rsidR="00DF273B">
        <w:t>relied on to excuse a state of affairs that never came into existence</w:t>
      </w:r>
      <w:r w:rsidR="008D1FB2">
        <w:t xml:space="preserve">. </w:t>
      </w:r>
      <w:r w:rsidR="002C67E6">
        <w:t xml:space="preserve"> This applies, for instance, to Chan’s reliance on his belief that he effectively had TVB’s permission </w:t>
      </w:r>
      <w:r w:rsidR="00F40B55">
        <w:t xml:space="preserve">to perform </w:t>
      </w:r>
      <w:r w:rsidR="00087220">
        <w:t>versus</w:t>
      </w:r>
      <w:r w:rsidR="002C67E6">
        <w:t xml:space="preserve"> the prosecution’s assertion that permission would have been refused.  What divided the parties on that issue was whether Chan’s act could be regarded as aimed at and intended to influence or affect TVB’s business – questions bearing on prima facie guilt rather</w:t>
      </w:r>
      <w:r w:rsidR="00CE6BD2">
        <w:t xml:space="preserve"> than</w:t>
      </w:r>
      <w:r w:rsidR="002C67E6">
        <w:t xml:space="preserve"> on reasonable excuse.</w:t>
      </w:r>
      <w:r w:rsidR="00532EA6">
        <w:t xml:space="preserve">  I shall accordingly confine myself to a discussion of one </w:t>
      </w:r>
      <w:r w:rsidR="00532EA6">
        <w:lastRenderedPageBreak/>
        <w:t xml:space="preserve">question of principle </w:t>
      </w:r>
      <w:r w:rsidR="00F40B55">
        <w:t xml:space="preserve">relating to reasonable excuse </w:t>
      </w:r>
      <w:r w:rsidR="00532EA6">
        <w:t>that was canvassed at the hearing.</w:t>
      </w:r>
    </w:p>
    <w:p w:rsidR="00E65B79" w:rsidRDefault="00532EA6" w:rsidP="00525C4D">
      <w:pPr>
        <w:pStyle w:val="docmapheading"/>
      </w:pPr>
      <w:r>
        <w:t>K.</w:t>
      </w:r>
      <w:r>
        <w:tab/>
        <w:t xml:space="preserve">Conspiracy, section 24 and the burden of proof </w:t>
      </w:r>
    </w:p>
    <w:p w:rsidR="00532EA6" w:rsidRDefault="00532EA6" w:rsidP="00492FF5">
      <w:pPr>
        <w:pStyle w:val="Bob1"/>
        <w:tabs>
          <w:tab w:val="clear" w:pos="720"/>
          <w:tab w:val="left" w:pos="1440"/>
        </w:tabs>
        <w:ind w:left="0" w:firstLine="0"/>
        <w:jc w:val="both"/>
      </w:pPr>
      <w:r>
        <w:t>As noted above, section 24 provides that the “</w:t>
      </w:r>
      <w:r w:rsidRPr="00532EA6">
        <w:t>burden of proving a defence of lawful authority or reasonable excuse shall lie upon the accused</w:t>
      </w:r>
      <w:r>
        <w:t>”.  If that section is engaged and a constitutional challenge mounted on the basis that it infringes the presumption of innocence, a proportionality analysis may be required.  I do not, however, intend to enter into that discussion.</w:t>
      </w:r>
    </w:p>
    <w:p w:rsidR="00532EA6" w:rsidRDefault="00532EA6" w:rsidP="00492FF5">
      <w:pPr>
        <w:pStyle w:val="Bob1"/>
        <w:tabs>
          <w:tab w:val="clear" w:pos="720"/>
          <w:tab w:val="left" w:pos="1440"/>
        </w:tabs>
        <w:ind w:left="0" w:firstLine="0"/>
        <w:jc w:val="both"/>
      </w:pPr>
      <w:r>
        <w:t>The point of principle which I wish to address arises out of the Court of Appeal’s direction</w:t>
      </w:r>
      <w:r w:rsidR="0087753C">
        <w:t xml:space="preserve"> </w:t>
      </w:r>
      <w:r w:rsidR="00C27FC0">
        <w:t>requiring</w:t>
      </w:r>
      <w:r w:rsidR="0087753C">
        <w:t xml:space="preserve"> </w:t>
      </w:r>
      <w:r>
        <w:t>the Judge</w:t>
      </w:r>
      <w:r w:rsidR="0087753C">
        <w:t xml:space="preserve"> </w:t>
      </w:r>
      <w:r w:rsidR="00C27FC0">
        <w:t xml:space="preserve">to </w:t>
      </w:r>
      <w:r w:rsidR="0087753C">
        <w:t>find the appellants guilty solely on the charge of conspiracy for an agent to accept an advantage.</w:t>
      </w:r>
      <w:r w:rsidR="0087753C">
        <w:rPr>
          <w:rStyle w:val="FootnoteReference"/>
        </w:rPr>
        <w:footnoteReference w:id="60"/>
      </w:r>
      <w:r>
        <w:t xml:space="preserve"> </w:t>
      </w:r>
      <w:r w:rsidR="0087753C">
        <w:t xml:space="preserve"> The question is whether, in cases of conspiracy, section 24 is engaged so that a reverse onus </w:t>
      </w:r>
      <w:r w:rsidR="00C27FC0">
        <w:t xml:space="preserve">to prove lawful authority or reasonable excuse </w:t>
      </w:r>
      <w:r w:rsidR="0087753C">
        <w:t>is placed on the accused.</w:t>
      </w:r>
      <w:r w:rsidR="00C50213">
        <w:t xml:space="preserve">  </w:t>
      </w:r>
    </w:p>
    <w:p w:rsidR="003E70F8" w:rsidRPr="00492FF5" w:rsidRDefault="00C50213" w:rsidP="00492FF5">
      <w:pPr>
        <w:pStyle w:val="Bob1"/>
        <w:tabs>
          <w:tab w:val="clear" w:pos="720"/>
          <w:tab w:val="left" w:pos="1440"/>
        </w:tabs>
        <w:ind w:left="0" w:firstLine="0"/>
        <w:jc w:val="both"/>
      </w:pPr>
      <w:r>
        <w:t xml:space="preserve">In </w:t>
      </w:r>
      <w:r w:rsidRPr="00492FF5">
        <w:rPr>
          <w:rFonts w:eastAsia="宋体"/>
          <w:i/>
          <w:szCs w:val="28"/>
        </w:rPr>
        <w:t>HKSAR v Ng Po On</w:t>
      </w:r>
      <w:r w:rsidRPr="00492FF5">
        <w:rPr>
          <w:rFonts w:eastAsia="宋体"/>
          <w:szCs w:val="28"/>
        </w:rPr>
        <w:t>,</w:t>
      </w:r>
      <w:r>
        <w:rPr>
          <w:rStyle w:val="FootnoteReference"/>
          <w:rFonts w:eastAsia="宋体"/>
          <w:szCs w:val="28"/>
        </w:rPr>
        <w:footnoteReference w:id="61"/>
      </w:r>
      <w:r w:rsidRPr="00492FF5">
        <w:rPr>
          <w:rFonts w:eastAsia="宋体"/>
          <w:szCs w:val="28"/>
        </w:rPr>
        <w:t xml:space="preserve"> the effect of section 24 was considered in relation to POBO section 14 which made it an offence to fail “without reasonable excuse” to comply with a notice requiring the person served to furnish information relevant to an ICAC investigation.  The prosecution argued that section 24 made it clear that reasonable excuse was a matter of defence to be proved by the respondent on the balance of probabilities.  This Court held that</w:t>
      </w:r>
      <w:r w:rsidR="004E7ADE" w:rsidRPr="00492FF5">
        <w:rPr>
          <w:rFonts w:eastAsia="宋体"/>
          <w:szCs w:val="28"/>
        </w:rPr>
        <w:t xml:space="preserve"> on a proportionality analysis,</w:t>
      </w:r>
      <w:r w:rsidRPr="00492FF5">
        <w:rPr>
          <w:rFonts w:eastAsia="宋体"/>
          <w:szCs w:val="28"/>
        </w:rPr>
        <w:t xml:space="preserve"> </w:t>
      </w:r>
      <w:r w:rsidR="004E7ADE" w:rsidRPr="00492FF5">
        <w:rPr>
          <w:rFonts w:eastAsia="宋体"/>
          <w:szCs w:val="28"/>
        </w:rPr>
        <w:t xml:space="preserve">the validity of the section 14 offence could be upheld as consistent with the presumption of innocence provided that section 24 was read down to impose merely an evidential burden on the person failing to comply with </w:t>
      </w:r>
      <w:r w:rsidR="00037E86" w:rsidRPr="00492FF5">
        <w:rPr>
          <w:rFonts w:eastAsia="宋体"/>
          <w:szCs w:val="28"/>
        </w:rPr>
        <w:t>the</w:t>
      </w:r>
      <w:r w:rsidR="004E7ADE" w:rsidRPr="00492FF5">
        <w:rPr>
          <w:rFonts w:eastAsia="宋体"/>
          <w:szCs w:val="28"/>
        </w:rPr>
        <w:t xml:space="preserve"> notice to raise the issue of reasonable excuse while the prosecution bore </w:t>
      </w:r>
      <w:r w:rsidR="004E7ADE" w:rsidRPr="00492FF5">
        <w:rPr>
          <w:rFonts w:eastAsia="宋体"/>
          <w:szCs w:val="28"/>
        </w:rPr>
        <w:lastRenderedPageBreak/>
        <w:t xml:space="preserve">throughout the persuasive burden of proving non-compliance and </w:t>
      </w:r>
      <w:r w:rsidR="00037E86" w:rsidRPr="00492FF5">
        <w:rPr>
          <w:rFonts w:eastAsia="宋体"/>
          <w:szCs w:val="28"/>
        </w:rPr>
        <w:t xml:space="preserve">of </w:t>
      </w:r>
      <w:r w:rsidR="004E7ADE" w:rsidRPr="00492FF5">
        <w:rPr>
          <w:rFonts w:eastAsia="宋体"/>
          <w:szCs w:val="28"/>
        </w:rPr>
        <w:t>negating reasonable excuse.</w:t>
      </w:r>
    </w:p>
    <w:p w:rsidR="00037E86" w:rsidRDefault="00883494" w:rsidP="00492FF5">
      <w:pPr>
        <w:pStyle w:val="Bob1"/>
        <w:tabs>
          <w:tab w:val="clear" w:pos="720"/>
          <w:tab w:val="left" w:pos="1440"/>
        </w:tabs>
        <w:ind w:left="0" w:firstLine="0"/>
        <w:jc w:val="both"/>
      </w:pPr>
      <w:r>
        <w:t>In connection with inchoate offences including the offence of conspiracy, I stated:</w:t>
      </w:r>
      <w:r>
        <w:rPr>
          <w:rStyle w:val="FootnoteReference"/>
        </w:rPr>
        <w:footnoteReference w:id="62"/>
      </w:r>
    </w:p>
    <w:p w:rsidR="00883494" w:rsidRDefault="00883494" w:rsidP="00492FF5">
      <w:pPr>
        <w:pStyle w:val="Bob1"/>
        <w:numPr>
          <w:ilvl w:val="0"/>
          <w:numId w:val="0"/>
        </w:numPr>
        <w:spacing w:line="240" w:lineRule="auto"/>
        <w:ind w:left="720"/>
        <w:jc w:val="both"/>
        <w:rPr>
          <w:sz w:val="24"/>
        </w:rPr>
      </w:pPr>
      <w:r w:rsidRPr="00883494">
        <w:rPr>
          <w:sz w:val="24"/>
        </w:rPr>
        <w:t>“The precise offence charged has to be borne in mind. Thus, if a defendant is charged with an inchoate offence of conspiracy, attempt or incitement relating to a statutory offence, it does not matter that the substantive statutory offence may, on construction, be found to contain a reverse onus provision. The inchoate offence exists at common law and, in accordance with the general common law rule, does not involve any reverse onus. This is unaffected by s</w:t>
      </w:r>
      <w:r w:rsidR="00CA49FD">
        <w:rPr>
          <w:sz w:val="24"/>
        </w:rPr>
        <w:t>.</w:t>
      </w:r>
      <w:r w:rsidRPr="00883494">
        <w:rPr>
          <w:sz w:val="24"/>
        </w:rPr>
        <w:t>94A.</w:t>
      </w:r>
      <w:r w:rsidR="00E02D35">
        <w:rPr>
          <w:rStyle w:val="FootnoteReference"/>
          <w:sz w:val="24"/>
        </w:rPr>
        <w:footnoteReference w:id="63"/>
      </w:r>
      <w:r w:rsidRPr="00883494">
        <w:rPr>
          <w:sz w:val="24"/>
        </w:rPr>
        <w:t xml:space="preserve"> Thus, in </w:t>
      </w:r>
      <w:r w:rsidRPr="00883494">
        <w:rPr>
          <w:i/>
          <w:sz w:val="24"/>
        </w:rPr>
        <w:t>HKSAR v Lam Yuk Fai</w:t>
      </w:r>
      <w:r>
        <w:rPr>
          <w:sz w:val="24"/>
        </w:rPr>
        <w:t xml:space="preserve"> (2006) 9 HKCFAR 281, §33</w:t>
      </w:r>
      <w:r w:rsidRPr="00883494">
        <w:rPr>
          <w:sz w:val="24"/>
        </w:rPr>
        <w:t>, a count alleging a conspiracy to commit the statutory offence of transferring a passport to another person without reasonable excuse was held not to involve the imposition of any persuasive burden on the accused and the presumption of innocence was not engaged. Lord Woolf NPJ stated: As Count 3 alleges a conspiracy, the task of the prosecution was to prove in the normal way the nature of the conspiracy; namely that (a) there was an agreement alleged between the appellant and Philip Chu and; (b) the purpose of the agreement, which on the case for the prosecution, was that the passport sho</w:t>
      </w:r>
      <w:r w:rsidR="002D1231">
        <w:rPr>
          <w:sz w:val="24"/>
        </w:rPr>
        <w:t>uld be used for an unlawful pur</w:t>
      </w:r>
      <w:r w:rsidRPr="00883494">
        <w:rPr>
          <w:sz w:val="24"/>
        </w:rPr>
        <w:t xml:space="preserve">pose and so without reasonable excuse (see for example </w:t>
      </w:r>
      <w:r w:rsidRPr="00883494">
        <w:rPr>
          <w:i/>
          <w:sz w:val="24"/>
        </w:rPr>
        <w:t>Yip Chiu Cheung v R</w:t>
      </w:r>
      <w:r w:rsidRPr="00883494">
        <w:rPr>
          <w:sz w:val="24"/>
        </w:rPr>
        <w:t xml:space="preserve"> [1995] 1 AC 111). This cons</w:t>
      </w:r>
      <w:r w:rsidR="002D1231">
        <w:rPr>
          <w:sz w:val="24"/>
        </w:rPr>
        <w:t>piracy could not either under S.</w:t>
      </w:r>
      <w:r w:rsidRPr="00883494">
        <w:rPr>
          <w:sz w:val="24"/>
        </w:rPr>
        <w:t>94A or at common law give rise to any reverse burden. In view of the ingredients of the offence of conspiracy it is unlikely that any charge of conspiracy should give rise to any burden being placed on a defendant.</w:t>
      </w:r>
      <w:r w:rsidR="00E02D35">
        <w:rPr>
          <w:sz w:val="24"/>
        </w:rPr>
        <w:t>”</w:t>
      </w:r>
    </w:p>
    <w:p w:rsidR="000A5707" w:rsidRDefault="000A5707" w:rsidP="00492FF5">
      <w:pPr>
        <w:pStyle w:val="Bob1"/>
        <w:tabs>
          <w:tab w:val="clear" w:pos="720"/>
          <w:tab w:val="left" w:pos="1440"/>
        </w:tabs>
        <w:ind w:left="0" w:firstLine="0"/>
        <w:jc w:val="both"/>
      </w:pPr>
      <w:r>
        <w:t xml:space="preserve">It may also be noted that </w:t>
      </w:r>
      <w:r w:rsidR="00AA5208">
        <w:t xml:space="preserve">CO </w:t>
      </w:r>
      <w:r>
        <w:t>section 159A(2),</w:t>
      </w:r>
      <w:r w:rsidR="0007519B">
        <w:rPr>
          <w:rStyle w:val="FootnoteReference"/>
        </w:rPr>
        <w:footnoteReference w:id="64"/>
      </w:r>
      <w:r>
        <w:t xml:space="preserve"> which places the offence of conspiracy on a statutory footing</w:t>
      </w:r>
      <w:r w:rsidR="00F345FE">
        <w:t>,</w:t>
      </w:r>
      <w:r>
        <w:t xml:space="preserve"> retains the common law approach by providing that even where the substantive offence is one of strict liability</w:t>
      </w:r>
      <w:r w:rsidR="0007519B">
        <w:t xml:space="preserve"> in relation to any factual ingredient, a conspiracy to commit that offence </w:t>
      </w:r>
      <w:r w:rsidR="0007519B">
        <w:lastRenderedPageBreak/>
        <w:t>nevertheless requires proof of intention or knowledge in relation to that fact or circumstance.</w:t>
      </w:r>
    </w:p>
    <w:p w:rsidR="00963928" w:rsidRDefault="00963928" w:rsidP="00492FF5">
      <w:pPr>
        <w:pStyle w:val="Bob1"/>
        <w:tabs>
          <w:tab w:val="clear" w:pos="720"/>
          <w:tab w:val="left" w:pos="1440"/>
        </w:tabs>
        <w:ind w:left="0" w:firstLine="0"/>
        <w:jc w:val="both"/>
      </w:pPr>
      <w:r>
        <w:t xml:space="preserve">It was however made clear in </w:t>
      </w:r>
      <w:r w:rsidRPr="00492FF5">
        <w:rPr>
          <w:i/>
        </w:rPr>
        <w:t>Ng Po On</w:t>
      </w:r>
      <w:r>
        <w:t>,</w:t>
      </w:r>
      <w:r>
        <w:rPr>
          <w:rStyle w:val="FootnoteReference"/>
        </w:rPr>
        <w:footnoteReference w:id="65"/>
      </w:r>
      <w:r>
        <w:t xml:space="preserve"> that the Court was concerned with section </w:t>
      </w:r>
      <w:r w:rsidRPr="00963928">
        <w:t>24 exclusively as read in conjunction with,</w:t>
      </w:r>
      <w:r>
        <w:t xml:space="preserve"> and affecting the meaning of, section </w:t>
      </w:r>
      <w:r w:rsidRPr="00963928">
        <w:t>14(4).</w:t>
      </w:r>
      <w:r>
        <w:t xml:space="preserve">  </w:t>
      </w:r>
      <w:r w:rsidR="00F345FE">
        <w:t xml:space="preserve">It was </w:t>
      </w:r>
      <w:r>
        <w:t xml:space="preserve">observed that section 24 is also relevant to other provisions of the POBO which involve “reasonable excuse”, including section 9, </w:t>
      </w:r>
      <w:r w:rsidR="00F345FE">
        <w:t>and</w:t>
      </w:r>
      <w:r>
        <w:t xml:space="preserve"> noted that “[i</w:t>
      </w:r>
      <w:r w:rsidRPr="00963928">
        <w:t>ts</w:t>
      </w:r>
      <w:r>
        <w:t>]</w:t>
      </w:r>
      <w:r w:rsidRPr="00963928">
        <w:t xml:space="preserve"> interaction with such other provisions raises separate considerations which fall outside the scope of this judgment</w:t>
      </w:r>
      <w:r>
        <w:t>”.</w:t>
      </w:r>
    </w:p>
    <w:p w:rsidR="002F18A7" w:rsidRDefault="00877DCB" w:rsidP="00492FF5">
      <w:pPr>
        <w:pStyle w:val="Bob1"/>
        <w:tabs>
          <w:tab w:val="clear" w:pos="720"/>
          <w:tab w:val="left" w:pos="1440"/>
        </w:tabs>
        <w:ind w:left="0" w:firstLine="0"/>
        <w:jc w:val="both"/>
      </w:pPr>
      <w:r>
        <w:t>Mr Caplan QC submitted that</w:t>
      </w:r>
      <w:r w:rsidR="002F18A7">
        <w:t>, by virtue of POBO section 12A</w:t>
      </w:r>
      <w:r w:rsidR="00055936">
        <w:t>(1)</w:t>
      </w:r>
      <w:r w:rsidR="002F18A7">
        <w:t>,</w:t>
      </w:r>
      <w:r>
        <w:t xml:space="preserve"> the present case is indeed one where section 24 operates differently</w:t>
      </w:r>
      <w:r w:rsidR="002F18A7">
        <w:t>.  Section 12A</w:t>
      </w:r>
      <w:r w:rsidR="00055936">
        <w:t>(1)</w:t>
      </w:r>
      <w:r w:rsidR="002F18A7">
        <w:t xml:space="preserve"> provides:</w:t>
      </w:r>
    </w:p>
    <w:p w:rsidR="00877DCB" w:rsidRPr="00055936" w:rsidRDefault="002F18A7" w:rsidP="00492FF5">
      <w:pPr>
        <w:pStyle w:val="Bob1"/>
        <w:numPr>
          <w:ilvl w:val="0"/>
          <w:numId w:val="0"/>
        </w:numPr>
        <w:spacing w:line="240" w:lineRule="auto"/>
        <w:ind w:left="720"/>
        <w:jc w:val="both"/>
        <w:rPr>
          <w:sz w:val="24"/>
        </w:rPr>
      </w:pPr>
      <w:r w:rsidRPr="00055936">
        <w:rPr>
          <w:sz w:val="24"/>
        </w:rPr>
        <w:t>“</w:t>
      </w:r>
      <w:r w:rsidR="00055936" w:rsidRPr="00055936">
        <w:rPr>
          <w:sz w:val="24"/>
        </w:rPr>
        <w:t>Any person convicted of conspiracy to commit an offence under this Part shall be dealt with and punished in like manner as if convicted of such offence and any rules of evidence which apply with respect to the proof of any such offence shall apply in like manner to the proof of conspiracy to commit such offence.”</w:t>
      </w:r>
    </w:p>
    <w:p w:rsidR="00055936" w:rsidRDefault="00F96165" w:rsidP="00492FF5">
      <w:pPr>
        <w:pStyle w:val="Bob1"/>
        <w:tabs>
          <w:tab w:val="clear" w:pos="720"/>
          <w:tab w:val="left" w:pos="1440"/>
        </w:tabs>
        <w:ind w:left="0" w:firstLine="0"/>
        <w:jc w:val="both"/>
      </w:pPr>
      <w:r>
        <w:t xml:space="preserve">The argument is that section 24 is a rule of evidence which applies with respect to the proof of a section 9 offence so that section 12A(1) </w:t>
      </w:r>
      <w:r w:rsidR="00F40B55">
        <w:t xml:space="preserve">causes </w:t>
      </w:r>
      <w:r>
        <w:t xml:space="preserve">it </w:t>
      </w:r>
      <w:r w:rsidR="00F40B55">
        <w:t xml:space="preserve">to operate in conspiracy cases </w:t>
      </w:r>
      <w:r w:rsidR="00F345FE">
        <w:t xml:space="preserve">just </w:t>
      </w:r>
      <w:r w:rsidR="00F40B55">
        <w:t xml:space="preserve">as it does </w:t>
      </w:r>
      <w:r>
        <w:t xml:space="preserve">to proof of </w:t>
      </w:r>
      <w:r w:rsidR="00F40B55">
        <w:t>substantive section 9 offences</w:t>
      </w:r>
      <w:r>
        <w:t>.</w:t>
      </w:r>
    </w:p>
    <w:p w:rsidR="00F96165" w:rsidRDefault="000A5707" w:rsidP="00492FF5">
      <w:pPr>
        <w:pStyle w:val="Bob1"/>
        <w:tabs>
          <w:tab w:val="clear" w:pos="720"/>
          <w:tab w:val="left" w:pos="1440"/>
        </w:tabs>
        <w:ind w:left="0" w:firstLine="0"/>
        <w:jc w:val="both"/>
      </w:pPr>
      <w:r>
        <w:t xml:space="preserve">In response, </w:t>
      </w:r>
      <w:r w:rsidR="00F96165">
        <w:t>Mr David Perry QC</w:t>
      </w:r>
      <w:r w:rsidR="00F96165">
        <w:rPr>
          <w:rStyle w:val="FootnoteReference"/>
        </w:rPr>
        <w:footnoteReference w:id="66"/>
      </w:r>
      <w:r w:rsidR="00F96165">
        <w:t xml:space="preserve"> </w:t>
      </w:r>
      <w:r>
        <w:t xml:space="preserve">relies on </w:t>
      </w:r>
      <w:r w:rsidR="00AA5208">
        <w:t xml:space="preserve">CO </w:t>
      </w:r>
      <w:r>
        <w:t>section 159A</w:t>
      </w:r>
      <w:r w:rsidR="00241850">
        <w:t>(1)</w:t>
      </w:r>
      <w:r>
        <w:t xml:space="preserve"> </w:t>
      </w:r>
      <w:r w:rsidR="00241850">
        <w:t>which materially provides:</w:t>
      </w:r>
    </w:p>
    <w:p w:rsidR="00241850" w:rsidRPr="00241850" w:rsidRDefault="00241850" w:rsidP="00492FF5">
      <w:pPr>
        <w:pStyle w:val="Bob1"/>
        <w:numPr>
          <w:ilvl w:val="0"/>
          <w:numId w:val="0"/>
        </w:numPr>
        <w:spacing w:line="240" w:lineRule="auto"/>
        <w:ind w:left="720"/>
        <w:jc w:val="both"/>
        <w:rPr>
          <w:sz w:val="24"/>
        </w:rPr>
      </w:pPr>
      <w:r w:rsidRPr="00241850">
        <w:rPr>
          <w:sz w:val="24"/>
        </w:rPr>
        <w:t xml:space="preserve">“Subject to the following provisions of this Part, if a person agrees with any other person or persons that a course of conduct shall be pursued which, if the agreement is carried out in accordance with their intentions, </w:t>
      </w:r>
      <w:r>
        <w:rPr>
          <w:sz w:val="24"/>
        </w:rPr>
        <w:t>...</w:t>
      </w:r>
    </w:p>
    <w:p w:rsidR="00241850" w:rsidRPr="00241850" w:rsidRDefault="00241850" w:rsidP="00492FF5">
      <w:pPr>
        <w:pStyle w:val="Bob1"/>
        <w:numPr>
          <w:ilvl w:val="0"/>
          <w:numId w:val="0"/>
        </w:numPr>
        <w:spacing w:line="240" w:lineRule="auto"/>
        <w:ind w:left="1440" w:hanging="720"/>
        <w:jc w:val="both"/>
        <w:rPr>
          <w:sz w:val="24"/>
        </w:rPr>
      </w:pPr>
      <w:r w:rsidRPr="00241850">
        <w:rPr>
          <w:sz w:val="24"/>
        </w:rPr>
        <w:t xml:space="preserve">(a) </w:t>
      </w:r>
      <w:r w:rsidRPr="00241850">
        <w:rPr>
          <w:sz w:val="24"/>
        </w:rPr>
        <w:tab/>
        <w:t xml:space="preserve">will necessarily amount to or involve the commission of any offence or offences by one or more of the parties to the agreement ...  </w:t>
      </w:r>
    </w:p>
    <w:p w:rsidR="00241850" w:rsidRDefault="00241850" w:rsidP="00492FF5">
      <w:pPr>
        <w:pStyle w:val="Bob1"/>
        <w:numPr>
          <w:ilvl w:val="0"/>
          <w:numId w:val="0"/>
        </w:numPr>
        <w:spacing w:line="240" w:lineRule="auto"/>
        <w:ind w:left="1440" w:hanging="720"/>
        <w:jc w:val="both"/>
        <w:rPr>
          <w:sz w:val="24"/>
        </w:rPr>
      </w:pPr>
      <w:r w:rsidRPr="00241850">
        <w:rPr>
          <w:sz w:val="24"/>
        </w:rPr>
        <w:lastRenderedPageBreak/>
        <w:t>he is guilty of conspiracy to commit the offence or offences in question.”</w:t>
      </w:r>
    </w:p>
    <w:p w:rsidR="00241850" w:rsidRDefault="00241850" w:rsidP="00492FF5">
      <w:pPr>
        <w:pStyle w:val="Bob1"/>
        <w:tabs>
          <w:tab w:val="clear" w:pos="720"/>
          <w:tab w:val="left" w:pos="1440"/>
        </w:tabs>
        <w:ind w:left="0" w:firstLine="0"/>
      </w:pPr>
      <w:r>
        <w:t>Mr Perry QC’s argument runs as follows:</w:t>
      </w:r>
    </w:p>
    <w:p w:rsidR="00241850" w:rsidRDefault="00241850" w:rsidP="00492FF5">
      <w:pPr>
        <w:pStyle w:val="Bob1"/>
        <w:numPr>
          <w:ilvl w:val="1"/>
          <w:numId w:val="11"/>
        </w:numPr>
        <w:jc w:val="both"/>
      </w:pPr>
      <w:r>
        <w:t>The</w:t>
      </w:r>
      <w:r w:rsidR="001B474B">
        <w:t xml:space="preserve"> words</w:t>
      </w:r>
      <w:r>
        <w:t xml:space="preserve"> “</w:t>
      </w:r>
      <w:r w:rsidR="001B474B">
        <w:t xml:space="preserve">without </w:t>
      </w:r>
      <w:r w:rsidR="001B24DF">
        <w:t xml:space="preserve">... </w:t>
      </w:r>
      <w:r>
        <w:t xml:space="preserve">reasonable excuse” appear in the body of the offence-creating provisions of section 9 and </w:t>
      </w:r>
      <w:r w:rsidR="001B474B">
        <w:t xml:space="preserve">form </w:t>
      </w:r>
      <w:r>
        <w:t xml:space="preserve">an element of the offence which the prosecution has the burden of </w:t>
      </w:r>
      <w:r w:rsidR="001B474B">
        <w:t>proving</w:t>
      </w:r>
      <w:r>
        <w:t xml:space="preserve"> in the usual way</w:t>
      </w:r>
      <w:r w:rsidR="001B474B">
        <w:t>, negating reasonable excuse</w:t>
      </w:r>
      <w:r>
        <w:t>.</w:t>
      </w:r>
    </w:p>
    <w:p w:rsidR="00241850" w:rsidRDefault="00F40B55" w:rsidP="00492FF5">
      <w:pPr>
        <w:pStyle w:val="Bob1"/>
        <w:numPr>
          <w:ilvl w:val="1"/>
          <w:numId w:val="11"/>
        </w:numPr>
        <w:jc w:val="both"/>
      </w:pPr>
      <w:r>
        <w:t>T</w:t>
      </w:r>
      <w:r w:rsidR="00241850">
        <w:t xml:space="preserve">o prove a </w:t>
      </w:r>
      <w:r w:rsidR="001B474B">
        <w:t>conspiracy to commit a section 9 offence, section 159</w:t>
      </w:r>
      <w:r w:rsidR="005E5E5F">
        <w:t>A</w:t>
      </w:r>
      <w:r w:rsidR="001B474B">
        <w:t xml:space="preserve">(1)(a) makes it necessary as a matter of substantive criminal law for the prosecution to prove that </w:t>
      </w:r>
      <w:r w:rsidR="001B24DF">
        <w:t xml:space="preserve">pursuit of the course of conduct agreed to by </w:t>
      </w:r>
      <w:r w:rsidR="001B474B">
        <w:t>the alleged conspirators</w:t>
      </w:r>
      <w:r w:rsidR="001B24DF">
        <w:t xml:space="preserve"> </w:t>
      </w:r>
      <w:r w:rsidR="001B474B">
        <w:t xml:space="preserve">would </w:t>
      </w:r>
      <w:r w:rsidR="001B474B" w:rsidRPr="001B474B">
        <w:t xml:space="preserve">necessarily amount to or involve the commission of </w:t>
      </w:r>
      <w:r w:rsidR="001B474B">
        <w:t xml:space="preserve">a section 9 </w:t>
      </w:r>
      <w:r w:rsidR="001B474B" w:rsidRPr="001B474B">
        <w:t>offence</w:t>
      </w:r>
      <w:r w:rsidR="001B474B">
        <w:t xml:space="preserve"> by at least one of them.</w:t>
      </w:r>
      <w:r w:rsidR="001B24DF">
        <w:t xml:space="preserve">  </w:t>
      </w:r>
    </w:p>
    <w:p w:rsidR="001B24DF" w:rsidRDefault="001B24DF" w:rsidP="00492FF5">
      <w:pPr>
        <w:pStyle w:val="Bob1"/>
        <w:numPr>
          <w:ilvl w:val="1"/>
          <w:numId w:val="11"/>
        </w:numPr>
        <w:jc w:val="both"/>
      </w:pPr>
      <w:r>
        <w:t xml:space="preserve">If, contrary to Tseng’s submission, POBO section 24, read with POBO section 12A(1), has the effect of reversing the onus for the purposes of conspiracy, it would mean, inconsistently with </w:t>
      </w:r>
      <w:r w:rsidR="00AA5208">
        <w:t xml:space="preserve">CO </w:t>
      </w:r>
      <w:r>
        <w:t>section 159</w:t>
      </w:r>
      <w:r w:rsidR="005E5E5F">
        <w:t>A</w:t>
      </w:r>
      <w:r>
        <w:t xml:space="preserve">(1)(a), </w:t>
      </w:r>
      <w:r w:rsidR="00AA5208">
        <w:t xml:space="preserve">that </w:t>
      </w:r>
      <w:r>
        <w:t xml:space="preserve">the prosecution would </w:t>
      </w:r>
      <w:r w:rsidR="00F40B55">
        <w:t xml:space="preserve">not have to prove </w:t>
      </w:r>
      <w:r>
        <w:t xml:space="preserve">that pursuit of the </w:t>
      </w:r>
      <w:r w:rsidR="00F40B55">
        <w:t xml:space="preserve">alleged conspiratorial </w:t>
      </w:r>
      <w:r>
        <w:t xml:space="preserve">agreement would necessarily result in commission of the section 9 offence since it would be relieved from </w:t>
      </w:r>
      <w:r w:rsidR="00F40B55">
        <w:t xml:space="preserve">having to prove </w:t>
      </w:r>
      <w:r>
        <w:t xml:space="preserve">that pursuit of the agreement would </w:t>
      </w:r>
      <w:r w:rsidR="00F40B55">
        <w:t>not involve</w:t>
      </w:r>
      <w:r w:rsidR="00AA5208">
        <w:t xml:space="preserve"> conduct </w:t>
      </w:r>
      <w:r>
        <w:t>exonerated by a reasonable excuse.</w:t>
      </w:r>
    </w:p>
    <w:p w:rsidR="001B24DF" w:rsidRDefault="009B31FD" w:rsidP="00492FF5">
      <w:pPr>
        <w:pStyle w:val="Bob1"/>
        <w:numPr>
          <w:ilvl w:val="1"/>
          <w:numId w:val="11"/>
        </w:numPr>
        <w:jc w:val="both"/>
      </w:pPr>
      <w:r>
        <w:t xml:space="preserve">Mr Perry QC argued that this could not be the </w:t>
      </w:r>
      <w:r w:rsidR="00F40B55">
        <w:t xml:space="preserve">intended </w:t>
      </w:r>
      <w:r>
        <w:t xml:space="preserve">effect of section 24 since that section is concerned with rules of evidence and is not intended to </w:t>
      </w:r>
      <w:r w:rsidR="0045361F">
        <w:t xml:space="preserve">modify </w:t>
      </w:r>
      <w:r>
        <w:t xml:space="preserve">the substantive law </w:t>
      </w:r>
      <w:r w:rsidR="0045361F">
        <w:t xml:space="preserve">defining </w:t>
      </w:r>
      <w:r>
        <w:t xml:space="preserve">the elements of criminal conspiracy </w:t>
      </w:r>
      <w:r w:rsidR="0045361F">
        <w:t xml:space="preserve">as </w:t>
      </w:r>
      <w:r>
        <w:t>laid down by CO section 159</w:t>
      </w:r>
      <w:r w:rsidR="005E5E5F">
        <w:t>A</w:t>
      </w:r>
      <w:r>
        <w:t>(1)(a).  Accordingly, he submitted that section 24 does not apply to the conspiracy charge and the prosecution’s failure to negate reasonable</w:t>
      </w:r>
      <w:r w:rsidR="0045361F">
        <w:t xml:space="preserve"> excuse presents another reason</w:t>
      </w:r>
      <w:r>
        <w:t xml:space="preserve"> for allowing the appeal.</w:t>
      </w:r>
    </w:p>
    <w:p w:rsidR="009B31FD" w:rsidRDefault="00525A83" w:rsidP="00492FF5">
      <w:pPr>
        <w:pStyle w:val="Bob1"/>
        <w:tabs>
          <w:tab w:val="clear" w:pos="720"/>
          <w:tab w:val="left" w:pos="1440"/>
        </w:tabs>
        <w:ind w:left="0" w:firstLine="0"/>
        <w:jc w:val="both"/>
      </w:pPr>
      <w:r>
        <w:lastRenderedPageBreak/>
        <w:t>I have difficulty accepting Mr Perry QC’s argument</w:t>
      </w:r>
      <w:r w:rsidR="0045361F">
        <w:t>.  Its premise is that</w:t>
      </w:r>
      <w:r>
        <w:t xml:space="preserve"> the </w:t>
      </w:r>
      <w:r w:rsidR="0045361F">
        <w:t xml:space="preserve">words </w:t>
      </w:r>
      <w:r>
        <w:t xml:space="preserve">“without reasonable excuse” </w:t>
      </w:r>
      <w:r w:rsidR="0045361F">
        <w:t>constitute</w:t>
      </w:r>
      <w:r>
        <w:t xml:space="preserve"> an element of the offence to be proved by the prosecution</w:t>
      </w:r>
      <w:r w:rsidR="0045361F">
        <w:t>.</w:t>
      </w:r>
      <w:r>
        <w:t xml:space="preserve">  </w:t>
      </w:r>
      <w:r w:rsidR="0045361F">
        <w:t xml:space="preserve">But if </w:t>
      </w:r>
      <w:r>
        <w:t>section 24 is engaged, it clearly stipulates that “reasonable excuse” is a matter of defence</w:t>
      </w:r>
      <w:r w:rsidR="00487929">
        <w:t xml:space="preserve"> and expressly reverses the onus</w:t>
      </w:r>
      <w:r>
        <w:t>.</w:t>
      </w:r>
      <w:r w:rsidR="007A7E95">
        <w:t xml:space="preserve">  T</w:t>
      </w:r>
      <w:r w:rsidR="0045361F">
        <w:t xml:space="preserve">hus </w:t>
      </w:r>
      <w:r w:rsidR="007A7E95">
        <w:t xml:space="preserve">an argument founded on the premise that reasonable excuse is not a matter of defence but an ingredient of the offence </w:t>
      </w:r>
      <w:r w:rsidR="00487929">
        <w:t xml:space="preserve">as the basis for contending </w:t>
      </w:r>
      <w:r w:rsidR="00492FF5">
        <w:t>that section</w:t>
      </w:r>
      <w:r w:rsidR="00492FF5">
        <w:rPr>
          <w:lang w:val="en-US"/>
        </w:rPr>
        <w:t> </w:t>
      </w:r>
      <w:r w:rsidR="007A7E95">
        <w:t xml:space="preserve">24 is not engaged </w:t>
      </w:r>
      <w:r w:rsidR="0045361F">
        <w:t xml:space="preserve">appears to </w:t>
      </w:r>
      <w:r w:rsidR="007A7E95">
        <w:t>beg the question.</w:t>
      </w:r>
      <w:r>
        <w:t xml:space="preserve"> </w:t>
      </w:r>
    </w:p>
    <w:p w:rsidR="004F57D0" w:rsidRDefault="007A7E95" w:rsidP="00492FF5">
      <w:pPr>
        <w:pStyle w:val="Bob1"/>
        <w:tabs>
          <w:tab w:val="clear" w:pos="720"/>
          <w:tab w:val="left" w:pos="1440"/>
        </w:tabs>
        <w:ind w:left="0" w:firstLine="0"/>
        <w:jc w:val="both"/>
      </w:pPr>
      <w:r>
        <w:t xml:space="preserve">However, I arrive at the same conclusion, but by a </w:t>
      </w:r>
      <w:r w:rsidR="0045361F">
        <w:t>different</w:t>
      </w:r>
      <w:r>
        <w:t xml:space="preserve"> route.  </w:t>
      </w:r>
      <w:r w:rsidR="005E5E5F">
        <w:t>Section 24 on its face only relates to “</w:t>
      </w:r>
      <w:r w:rsidR="005E5E5F" w:rsidRPr="005E5E5F">
        <w:t>any proceedings against a person for an offence under this Ordinance</w:t>
      </w:r>
      <w:r w:rsidR="005E5E5F">
        <w:t xml:space="preserve">”.  A conspiracy to commit a section 9 offence is not an offence under the POBO.  It is either a common law offence or, having been put on a statutory footing, an offence contrary to </w:t>
      </w:r>
      <w:r w:rsidR="00487929">
        <w:t xml:space="preserve">CO </w:t>
      </w:r>
      <w:r w:rsidR="005E5E5F">
        <w:t>section 159A</w:t>
      </w:r>
      <w:r w:rsidR="004F57D0">
        <w:t xml:space="preserve">, so that on its face, </w:t>
      </w:r>
      <w:r w:rsidR="0045361F">
        <w:t xml:space="preserve">section 24 </w:t>
      </w:r>
      <w:r w:rsidR="004F57D0">
        <w:t xml:space="preserve">does not apply to </w:t>
      </w:r>
      <w:r w:rsidR="0045361F">
        <w:t xml:space="preserve">such </w:t>
      </w:r>
      <w:r w:rsidR="004F57D0">
        <w:t>conspiracies</w:t>
      </w:r>
      <w:r w:rsidR="005E5E5F">
        <w:t>.</w:t>
      </w:r>
    </w:p>
    <w:p w:rsidR="004F57D0" w:rsidRDefault="004F57D0" w:rsidP="00492FF5">
      <w:pPr>
        <w:pStyle w:val="Bob1"/>
        <w:tabs>
          <w:tab w:val="clear" w:pos="720"/>
          <w:tab w:val="left" w:pos="1440"/>
        </w:tabs>
        <w:ind w:left="0" w:firstLine="0"/>
        <w:jc w:val="both"/>
      </w:pPr>
      <w:r>
        <w:t xml:space="preserve">To make section 24 apply, the prosecution </w:t>
      </w:r>
      <w:r w:rsidR="0045361F">
        <w:t>has to rely</w:t>
      </w:r>
      <w:r>
        <w:t xml:space="preserve"> on </w:t>
      </w:r>
      <w:r w:rsidR="00492FF5">
        <w:t>section </w:t>
      </w:r>
      <w:r w:rsidR="005E5E5F">
        <w:t>12A(1)</w:t>
      </w:r>
      <w:r>
        <w:t xml:space="preserve">, arguing that </w:t>
      </w:r>
      <w:r w:rsidR="0045361F">
        <w:t>it makes section 24’s</w:t>
      </w:r>
      <w:r>
        <w:t xml:space="preserve"> reverse onus, treated as a “</w:t>
      </w:r>
      <w:r w:rsidRPr="004F57D0">
        <w:t>rule of evidence</w:t>
      </w:r>
      <w:r>
        <w:t xml:space="preserve">” applicable </w:t>
      </w:r>
      <w:r w:rsidRPr="004F57D0">
        <w:t>to the proof of conspirac</w:t>
      </w:r>
      <w:r w:rsidR="0045361F">
        <w:t>ies</w:t>
      </w:r>
      <w:r w:rsidRPr="004F57D0">
        <w:t xml:space="preserve"> to commit </w:t>
      </w:r>
      <w:r w:rsidR="0045361F">
        <w:t xml:space="preserve">section 9 </w:t>
      </w:r>
      <w:r w:rsidRPr="004F57D0">
        <w:t>offence</w:t>
      </w:r>
      <w:r w:rsidR="0045361F">
        <w:t>s in like manner as it applies to proving the substantive offence</w:t>
      </w:r>
      <w:r w:rsidRPr="004F57D0">
        <w:t>.</w:t>
      </w:r>
    </w:p>
    <w:p w:rsidR="003003E6" w:rsidRDefault="0045361F" w:rsidP="00492FF5">
      <w:pPr>
        <w:pStyle w:val="Bob1"/>
        <w:tabs>
          <w:tab w:val="clear" w:pos="720"/>
          <w:tab w:val="left" w:pos="1440"/>
        </w:tabs>
        <w:ind w:left="0" w:firstLine="0"/>
        <w:jc w:val="both"/>
      </w:pPr>
      <w:r>
        <w:t>But i</w:t>
      </w:r>
      <w:r w:rsidR="004F57D0">
        <w:t xml:space="preserve">n my view, on its true construction, section 12A(1) </w:t>
      </w:r>
      <w:r>
        <w:t xml:space="preserve">is inapplicable to </w:t>
      </w:r>
      <w:r w:rsidR="004F57D0">
        <w:t>section 24.  Section 12A(1) extends “</w:t>
      </w:r>
      <w:r w:rsidR="004F57D0" w:rsidRPr="004F57D0">
        <w:t xml:space="preserve">rules of evidence which apply with respect to the </w:t>
      </w:r>
      <w:r w:rsidR="004F57D0" w:rsidRPr="00492FF5">
        <w:rPr>
          <w:i/>
        </w:rPr>
        <w:t>proof</w:t>
      </w:r>
      <w:r w:rsidR="004F57D0" w:rsidRPr="004F57D0">
        <w:t xml:space="preserve"> </w:t>
      </w:r>
      <w:r w:rsidR="004F57D0" w:rsidRPr="00492FF5">
        <w:rPr>
          <w:i/>
        </w:rPr>
        <w:t>of</w:t>
      </w:r>
      <w:r w:rsidR="004F57D0" w:rsidRPr="004F57D0">
        <w:t xml:space="preserve"> any</w:t>
      </w:r>
      <w:r w:rsidR="004F57D0">
        <w:t xml:space="preserve"> ... offence”</w:t>
      </w:r>
      <w:r w:rsidR="004B5131" w:rsidRPr="004B5131">
        <w:rPr>
          <w:rStyle w:val="FootnoteReference"/>
        </w:rPr>
        <w:t xml:space="preserve"> </w:t>
      </w:r>
      <w:r w:rsidR="004B5131">
        <w:rPr>
          <w:rStyle w:val="FootnoteReference"/>
        </w:rPr>
        <w:footnoteReference w:id="67"/>
      </w:r>
      <w:r w:rsidR="004F57D0">
        <w:t xml:space="preserve"> under Part II of POBO (including section 9) to conspiracies to commit such offences.  </w:t>
      </w:r>
      <w:r>
        <w:t>I</w:t>
      </w:r>
      <w:r w:rsidR="004F57D0">
        <w:t>t does not cover rules of evidence (assuming a reverse onus provision to be such a rule)</w:t>
      </w:r>
      <w:r w:rsidR="003003E6">
        <w:t xml:space="preserve"> regarding available </w:t>
      </w:r>
      <w:r w:rsidR="004F57D0" w:rsidRPr="00492FF5">
        <w:rPr>
          <w:i/>
        </w:rPr>
        <w:t>defences</w:t>
      </w:r>
      <w:r w:rsidR="004F57D0">
        <w:t xml:space="preserve">. Section 24 </w:t>
      </w:r>
      <w:r w:rsidR="003003E6">
        <w:t xml:space="preserve">stipulates how the defences of lawful authority and reasonable excuse are to be established.  It </w:t>
      </w:r>
      <w:r w:rsidR="004F57D0">
        <w:t xml:space="preserve">is </w:t>
      </w:r>
      <w:r>
        <w:t xml:space="preserve">not concerned with the proof of any offence.  </w:t>
      </w:r>
      <w:r w:rsidR="003003E6">
        <w:t xml:space="preserve">  </w:t>
      </w:r>
    </w:p>
    <w:p w:rsidR="00CA66CD" w:rsidRDefault="00164E33" w:rsidP="00492FF5">
      <w:pPr>
        <w:pStyle w:val="Bob1"/>
        <w:tabs>
          <w:tab w:val="clear" w:pos="720"/>
          <w:tab w:val="left" w:pos="1440"/>
        </w:tabs>
        <w:ind w:left="0" w:firstLine="0"/>
        <w:jc w:val="both"/>
      </w:pPr>
      <w:r>
        <w:lastRenderedPageBreak/>
        <w:t xml:space="preserve">The position </w:t>
      </w:r>
      <w:r w:rsidR="003003E6">
        <w:t xml:space="preserve">is therefore </w:t>
      </w:r>
      <w:r>
        <w:t xml:space="preserve">as stated in </w:t>
      </w:r>
      <w:r w:rsidRPr="00492FF5">
        <w:rPr>
          <w:i/>
        </w:rPr>
        <w:t>Ng Po On</w:t>
      </w:r>
      <w:r>
        <w:t xml:space="preserve"> set out above.  To prove conspiracy, the prosecution </w:t>
      </w:r>
      <w:r w:rsidR="003003E6">
        <w:t xml:space="preserve">cannot rely on section 12A or section 24 but </w:t>
      </w:r>
      <w:r>
        <w:t xml:space="preserve">must, in accordance with the usual common law rule and section 159A(2), discharge the burden of proving that pursuit by the alleged conspirators of their agreement would necessarily result in the commission of a section 9 offence without any (lawful authority or) reasonable excuse availing the accused. </w:t>
      </w:r>
    </w:p>
    <w:p w:rsidR="006929A7" w:rsidRDefault="00CA66CD" w:rsidP="00492FF5">
      <w:pPr>
        <w:pStyle w:val="Bob1"/>
        <w:tabs>
          <w:tab w:val="clear" w:pos="720"/>
          <w:tab w:val="left" w:pos="1440"/>
        </w:tabs>
        <w:ind w:left="0" w:firstLine="0"/>
        <w:jc w:val="both"/>
      </w:pPr>
      <w:r>
        <w:t>Mr Caplan QC acknowledged that if the reverse onus</w:t>
      </w:r>
      <w:r w:rsidR="006929A7">
        <w:t xml:space="preserve"> provision </w:t>
      </w:r>
      <w:r>
        <w:t>did not avail the prosecution</w:t>
      </w:r>
      <w:r w:rsidR="003003E6">
        <w:t>,</w:t>
      </w:r>
      <w:r>
        <w:t xml:space="preserve"> the conspiracy conviction directed </w:t>
      </w:r>
      <w:r w:rsidR="006929A7">
        <w:t xml:space="preserve">to be entered </w:t>
      </w:r>
      <w:r>
        <w:t xml:space="preserve">by the Court of Appeal could not stand since reasonable excuse had not been negated by the prosecution.  However, he invited the Court in such event to </w:t>
      </w:r>
      <w:r w:rsidR="006929A7">
        <w:t>exercise its discretion</w:t>
      </w:r>
      <w:r w:rsidR="006929A7">
        <w:rPr>
          <w:rStyle w:val="FootnoteReference"/>
        </w:rPr>
        <w:footnoteReference w:id="68"/>
      </w:r>
      <w:r w:rsidR="006929A7">
        <w:t xml:space="preserve"> to </w:t>
      </w:r>
      <w:r>
        <w:t xml:space="preserve">order that there be substituted in respect of each appellant, a conviction on the </w:t>
      </w:r>
      <w:r w:rsidR="004F2F10">
        <w:t xml:space="preserve">respective </w:t>
      </w:r>
      <w:r>
        <w:t>alternative charges of offering and accepting an advantage</w:t>
      </w:r>
      <w:r w:rsidR="006929A7">
        <w:t xml:space="preserve"> which, he submitted, are clearly within the ambit of section 24</w:t>
      </w:r>
      <w:r>
        <w:t>.</w:t>
      </w:r>
    </w:p>
    <w:p w:rsidR="004F57D0" w:rsidRDefault="006929A7" w:rsidP="00492FF5">
      <w:pPr>
        <w:pStyle w:val="Bob1"/>
        <w:tabs>
          <w:tab w:val="clear" w:pos="720"/>
          <w:tab w:val="left" w:pos="1440"/>
        </w:tabs>
        <w:ind w:left="0" w:firstLine="0"/>
        <w:jc w:val="both"/>
      </w:pPr>
      <w:r>
        <w:t xml:space="preserve">Since I have in any event held that liability cannot be established </w:t>
      </w:r>
      <w:r w:rsidR="00BA1FC2">
        <w:t xml:space="preserve">on </w:t>
      </w:r>
      <w:r>
        <w:t>the substantive charges because the appellants’ conduct was not caught by section 9, there is no question of a</w:t>
      </w:r>
      <w:r w:rsidR="009A21B1">
        <w:t>ny such</w:t>
      </w:r>
      <w:r>
        <w:t xml:space="preserve"> substitution.</w:t>
      </w:r>
    </w:p>
    <w:p w:rsidR="006929A7" w:rsidRDefault="006929A7" w:rsidP="00525C4D">
      <w:pPr>
        <w:pStyle w:val="docmapheading"/>
      </w:pPr>
      <w:r>
        <w:t>L.</w:t>
      </w:r>
      <w:r>
        <w:tab/>
        <w:t>Disposal of the appeals</w:t>
      </w:r>
    </w:p>
    <w:p w:rsidR="006929A7" w:rsidRDefault="006929A7" w:rsidP="00492FF5">
      <w:pPr>
        <w:pStyle w:val="Bob1"/>
        <w:tabs>
          <w:tab w:val="clear" w:pos="720"/>
          <w:tab w:val="left" w:pos="1440"/>
        </w:tabs>
        <w:ind w:left="0" w:firstLine="0"/>
        <w:jc w:val="both"/>
      </w:pPr>
      <w:r>
        <w:t xml:space="preserve">For the foregoing reasons, I would allow both appeals and quash the appellants’ convictions.  I would direct that any submissions as to costs should be lodged within 21 days of the date of the handing down of this judgment with any submissions in reply to be lodged within 14 days thereafter.  </w:t>
      </w:r>
    </w:p>
    <w:p w:rsidR="00E270C2" w:rsidRDefault="00E270C2">
      <w:pPr>
        <w:spacing w:after="200" w:line="276" w:lineRule="auto"/>
        <w:rPr>
          <w:rFonts w:eastAsiaTheme="minorEastAsia"/>
          <w:b/>
          <w:lang w:eastAsia="zh-CN"/>
        </w:rPr>
      </w:pPr>
      <w:r>
        <w:rPr>
          <w:b/>
        </w:rPr>
        <w:br w:type="page"/>
      </w:r>
    </w:p>
    <w:p w:rsidR="00492FF5" w:rsidRPr="00492FF5" w:rsidRDefault="00492FF5" w:rsidP="00492FF5">
      <w:pPr>
        <w:pStyle w:val="Bob1"/>
        <w:numPr>
          <w:ilvl w:val="0"/>
          <w:numId w:val="0"/>
        </w:numPr>
        <w:tabs>
          <w:tab w:val="left" w:pos="1440"/>
        </w:tabs>
        <w:jc w:val="both"/>
        <w:rPr>
          <w:b/>
        </w:rPr>
      </w:pPr>
      <w:r w:rsidRPr="00492FF5">
        <w:rPr>
          <w:b/>
        </w:rPr>
        <w:lastRenderedPageBreak/>
        <w:t>Mr Justice Tang PJ:</w:t>
      </w:r>
    </w:p>
    <w:p w:rsidR="00A45188" w:rsidRPr="003F1485" w:rsidRDefault="00A45188" w:rsidP="00E270C2">
      <w:pPr>
        <w:tabs>
          <w:tab w:val="left" w:pos="1350"/>
        </w:tabs>
        <w:snapToGrid w:val="0"/>
        <w:spacing w:after="360" w:line="360" w:lineRule="auto"/>
        <w:jc w:val="both"/>
        <w:rPr>
          <w:b/>
          <w:i/>
          <w:szCs w:val="28"/>
        </w:rPr>
      </w:pPr>
      <w:r w:rsidRPr="003F1485">
        <w:rPr>
          <w:b/>
          <w:i/>
          <w:szCs w:val="28"/>
        </w:rPr>
        <w:t>Introduction</w:t>
      </w:r>
    </w:p>
    <w:p w:rsidR="00A45188" w:rsidRDefault="00A45188" w:rsidP="00A45188">
      <w:pPr>
        <w:pStyle w:val="Bob1"/>
        <w:tabs>
          <w:tab w:val="clear" w:pos="720"/>
          <w:tab w:val="left" w:pos="1440"/>
        </w:tabs>
        <w:ind w:left="0" w:firstLine="0"/>
        <w:jc w:val="both"/>
      </w:pPr>
      <w:r w:rsidRPr="009758D3">
        <w:t>I have had t</w:t>
      </w:r>
      <w:r>
        <w:t>he advantage</w:t>
      </w:r>
      <w:r w:rsidRPr="009758D3">
        <w:t xml:space="preserve"> of reading Ribeiro PJ’s judgment in draft and agree that the appeals should be allowed.</w:t>
      </w:r>
      <w:r>
        <w:t xml:space="preserve">  </w:t>
      </w:r>
      <w:r w:rsidRPr="009758D3">
        <w:t xml:space="preserve">The background and facts have been stated by Ribeiro PJ and I gratefully adopt them. </w:t>
      </w:r>
      <w:r>
        <w:t xml:space="preserve"> </w:t>
      </w:r>
      <w:r w:rsidRPr="009758D3">
        <w:t xml:space="preserve">However, I </w:t>
      </w:r>
      <w:r>
        <w:t>am of the view</w:t>
      </w:r>
      <w:r w:rsidRPr="009758D3">
        <w:t xml:space="preserve"> that Chan’s </w:t>
      </w:r>
      <w:r>
        <w:t>participation</w:t>
      </w:r>
      <w:r w:rsidRPr="009758D3">
        <w:t xml:space="preserve"> in the 2010 countdown edition of “</w:t>
      </w:r>
      <w:r w:rsidRPr="008C6BDD">
        <w:t>Be My Guest</w:t>
      </w:r>
      <w:r w:rsidRPr="009758D3">
        <w:t>” was an act “in relation to his principal’s affair</w:t>
      </w:r>
      <w:r>
        <w:rPr>
          <w:rFonts w:eastAsia="PMingLiU"/>
          <w:lang w:eastAsia="zh-HK"/>
        </w:rPr>
        <w:t>s</w:t>
      </w:r>
      <w:r w:rsidRPr="009758D3">
        <w:t xml:space="preserve"> or business” </w:t>
      </w:r>
      <w:r>
        <w:t>but that he</w:t>
      </w:r>
      <w:r w:rsidRPr="009758D3">
        <w:t xml:space="preserve"> had a reasonable excuse to accept </w:t>
      </w:r>
      <w:r>
        <w:t xml:space="preserve">OC’s payment within the meaning of s 9(1)(a) of the Prevention of Bribery Ordinance Cap 201 (“Cap 201”). </w:t>
      </w:r>
    </w:p>
    <w:p w:rsidR="00A45188" w:rsidRPr="00A45188" w:rsidRDefault="00A45188" w:rsidP="00A45188">
      <w:pPr>
        <w:pStyle w:val="Bob1"/>
        <w:tabs>
          <w:tab w:val="clear" w:pos="720"/>
          <w:tab w:val="left" w:pos="1440"/>
        </w:tabs>
        <w:ind w:left="0" w:firstLine="0"/>
        <w:jc w:val="both"/>
      </w:pPr>
      <w:r w:rsidRPr="00A45188">
        <w:rPr>
          <w:szCs w:val="28"/>
        </w:rPr>
        <w:t xml:space="preserve">I will state the essential facts which, in my view, support my view that he had a reasonable excuse. </w:t>
      </w:r>
    </w:p>
    <w:p w:rsidR="00A45188" w:rsidRPr="00A45188" w:rsidRDefault="00A45188" w:rsidP="00A45188">
      <w:pPr>
        <w:pStyle w:val="Bob1"/>
        <w:tabs>
          <w:tab w:val="clear" w:pos="720"/>
          <w:tab w:val="left" w:pos="1440"/>
        </w:tabs>
        <w:ind w:left="0" w:firstLine="0"/>
        <w:jc w:val="both"/>
      </w:pPr>
      <w:r w:rsidRPr="00A45188">
        <w:rPr>
          <w:szCs w:val="28"/>
        </w:rPr>
        <w:t>It is not disputed that OC and TVB agreed that, a live, staged edition of “Be My Guest” should form part of the countdown programme.  Mr Caplan QC accepted that TVB knew that Chan would appear as a guest of OC.  The learned trial judge said it would be naive to think that Chan would have done so gratuitously.  With respect, I agree.  Not only is this plain common sense, the evidence was that OC had to procure Chan’s attendance through Tseng because as the learned trial judge said “everybody knew that to invite (Chan) to take up a job had to proceed through (Tseng)”.  Tseng, and his company, IEAP “acted as Chan’s agent in respect of his outside commercial engagements”.</w:t>
      </w:r>
      <w:r>
        <w:rPr>
          <w:rStyle w:val="FootnoteReference"/>
          <w:szCs w:val="28"/>
        </w:rPr>
        <w:footnoteReference w:id="69"/>
      </w:r>
      <w:r w:rsidRPr="00A45188">
        <w:rPr>
          <w:szCs w:val="28"/>
        </w:rPr>
        <w:t xml:space="preserve">  The Court of Appeal said: </w:t>
      </w:r>
    </w:p>
    <w:p w:rsidR="00A45188" w:rsidRPr="00A45188" w:rsidRDefault="00A45188" w:rsidP="00A45188">
      <w:pPr>
        <w:tabs>
          <w:tab w:val="left" w:pos="1350"/>
        </w:tabs>
        <w:spacing w:before="120"/>
        <w:ind w:left="720" w:right="-63"/>
        <w:jc w:val="both"/>
        <w:rPr>
          <w:sz w:val="24"/>
        </w:rPr>
      </w:pPr>
      <w:r w:rsidRPr="00A45188">
        <w:rPr>
          <w:sz w:val="24"/>
        </w:rPr>
        <w:t xml:space="preserve">“14. … For this reason they approached Tseng, and later Olympian City concluded a contract with him (on behalf of IEAP), under which he was to procure Chan and Lai </w:t>
      </w:r>
      <w:proofErr w:type="spellStart"/>
      <w:r w:rsidRPr="00A45188">
        <w:rPr>
          <w:sz w:val="24"/>
        </w:rPr>
        <w:t>Yiu-cheung</w:t>
      </w:r>
      <w:proofErr w:type="spellEnd"/>
      <w:r w:rsidRPr="00A45188">
        <w:rPr>
          <w:sz w:val="24"/>
        </w:rPr>
        <w:t xml:space="preserve"> [Lai]</w:t>
      </w:r>
      <w:r w:rsidRPr="00A45188">
        <w:rPr>
          <w:rStyle w:val="FootnoteReference"/>
          <w:sz w:val="24"/>
        </w:rPr>
        <w:footnoteReference w:id="70"/>
      </w:r>
      <w:r w:rsidRPr="00A45188">
        <w:rPr>
          <w:sz w:val="24"/>
        </w:rPr>
        <w:t xml:space="preserve"> to perform in the additional ‘Be My Guest’ show, and Olympian City was to pay IEAP $160,000 as consideration.”</w:t>
      </w:r>
      <w:r w:rsidRPr="00A45188">
        <w:rPr>
          <w:rStyle w:val="FootnoteReference"/>
          <w:sz w:val="24"/>
        </w:rPr>
        <w:footnoteReference w:id="71"/>
      </w:r>
      <w:r w:rsidRPr="00A45188">
        <w:rPr>
          <w:sz w:val="24"/>
        </w:rPr>
        <w:t xml:space="preserve">   </w:t>
      </w:r>
    </w:p>
    <w:p w:rsidR="00A45188" w:rsidRPr="00A45188" w:rsidRDefault="00A45188" w:rsidP="00A45188">
      <w:pPr>
        <w:tabs>
          <w:tab w:val="left" w:pos="1350"/>
        </w:tabs>
        <w:ind w:left="720" w:right="-63"/>
        <w:jc w:val="both"/>
        <w:rPr>
          <w:sz w:val="24"/>
        </w:rPr>
      </w:pPr>
    </w:p>
    <w:p w:rsidR="00A45188" w:rsidRPr="00A45188" w:rsidRDefault="00A45188" w:rsidP="00A45188">
      <w:pPr>
        <w:tabs>
          <w:tab w:val="left" w:pos="1350"/>
        </w:tabs>
        <w:ind w:left="720" w:right="-63"/>
        <w:jc w:val="both"/>
        <w:rPr>
          <w:sz w:val="24"/>
        </w:rPr>
      </w:pPr>
      <w:r w:rsidRPr="00A45188">
        <w:rPr>
          <w:sz w:val="24"/>
        </w:rPr>
        <w:t>“It was agreed that they would wear stickers promoting Olympian City, a requirement that did not apply to the artistes supplied by TVB.”</w:t>
      </w:r>
      <w:r w:rsidRPr="00A45188">
        <w:rPr>
          <w:rStyle w:val="FootnoteReference"/>
          <w:sz w:val="24"/>
        </w:rPr>
        <w:footnoteReference w:id="72"/>
      </w:r>
      <w:r w:rsidRPr="00A45188">
        <w:rPr>
          <w:sz w:val="24"/>
        </w:rPr>
        <w:t xml:space="preserve">  </w:t>
      </w:r>
    </w:p>
    <w:p w:rsidR="00A45188" w:rsidRPr="00A45188" w:rsidRDefault="00A45188" w:rsidP="00A45188">
      <w:pPr>
        <w:pStyle w:val="ListParagraph"/>
        <w:spacing w:line="360" w:lineRule="auto"/>
        <w:ind w:right="-63"/>
        <w:rPr>
          <w:sz w:val="24"/>
          <w:szCs w:val="24"/>
        </w:rPr>
      </w:pPr>
    </w:p>
    <w:p w:rsidR="00A45188" w:rsidRDefault="00A45188" w:rsidP="00A45188">
      <w:pPr>
        <w:pStyle w:val="Bob1"/>
        <w:tabs>
          <w:tab w:val="clear" w:pos="720"/>
          <w:tab w:val="left" w:pos="1440"/>
        </w:tabs>
        <w:ind w:left="0" w:firstLine="0"/>
        <w:jc w:val="both"/>
      </w:pPr>
      <w:r w:rsidRPr="009758D3">
        <w:t>On these fact</w:t>
      </w:r>
      <w:r>
        <w:t>s, I am satisfied that whether Chan had the</w:t>
      </w:r>
      <w:r w:rsidRPr="009758D3">
        <w:t xml:space="preserve"> evidential burden or persuasive burden to prove reasonable excuse</w:t>
      </w:r>
      <w:r>
        <w:t>,</w:t>
      </w:r>
      <w:r>
        <w:rPr>
          <w:rStyle w:val="FootnoteReference"/>
          <w:szCs w:val="28"/>
        </w:rPr>
        <w:footnoteReference w:id="73"/>
      </w:r>
      <w:r>
        <w:t xml:space="preserve"> </w:t>
      </w:r>
      <w:r w:rsidRPr="009758D3">
        <w:t>the burden has been discharged.</w:t>
      </w:r>
      <w:r w:rsidRPr="009758D3">
        <w:rPr>
          <w:rStyle w:val="FootnoteReference"/>
          <w:szCs w:val="28"/>
        </w:rPr>
        <w:footnoteReference w:id="74"/>
      </w:r>
    </w:p>
    <w:p w:rsidR="00A45188" w:rsidRPr="00A45188" w:rsidRDefault="00A45188" w:rsidP="00A45188">
      <w:pPr>
        <w:pStyle w:val="Bob1"/>
        <w:tabs>
          <w:tab w:val="clear" w:pos="720"/>
          <w:tab w:val="left" w:pos="1440"/>
        </w:tabs>
        <w:ind w:left="0" w:firstLine="0"/>
        <w:jc w:val="both"/>
      </w:pPr>
      <w:r w:rsidRPr="00A45188">
        <w:rPr>
          <w:szCs w:val="28"/>
        </w:rPr>
        <w:t>What is a reasonable excuse “depends not only on the circumstances of the individual case but also on the purpose of the provision to which the defence of ‘reasonable excuse’ is an exception.”</w:t>
      </w:r>
      <w:r w:rsidRPr="009758D3">
        <w:rPr>
          <w:rStyle w:val="FootnoteReference"/>
          <w:szCs w:val="28"/>
        </w:rPr>
        <w:footnoteReference w:id="75"/>
      </w:r>
      <w:r w:rsidRPr="00A45188">
        <w:rPr>
          <w:szCs w:val="28"/>
        </w:rPr>
        <w:t xml:space="preserve">  In order to determine the ambit of the defence of  reasonable excuse one needs to take a view on the offence created by s 9.</w:t>
      </w:r>
      <w:r>
        <w:rPr>
          <w:rStyle w:val="FootnoteReference"/>
          <w:szCs w:val="28"/>
        </w:rPr>
        <w:footnoteReference w:id="76"/>
      </w:r>
      <w:r w:rsidRPr="00A45188">
        <w:rPr>
          <w:szCs w:val="28"/>
        </w:rPr>
        <w:t xml:space="preserve">  Section 9(1) provides:</w:t>
      </w:r>
    </w:p>
    <w:p w:rsidR="00A45188" w:rsidRPr="00A45188" w:rsidRDefault="00A45188" w:rsidP="00A45188">
      <w:pPr>
        <w:tabs>
          <w:tab w:val="left" w:pos="1440"/>
        </w:tabs>
        <w:spacing w:before="120"/>
        <w:ind w:left="720" w:right="27"/>
        <w:jc w:val="both"/>
        <w:rPr>
          <w:sz w:val="24"/>
        </w:rPr>
      </w:pPr>
      <w:r w:rsidRPr="00A45188">
        <w:rPr>
          <w:sz w:val="24"/>
        </w:rPr>
        <w:t xml:space="preserve">“Any agent who, without lawful authority or reasonable excuse, solicits or accepts any advantage as an inducement to or reward for or otherwise on account of his - </w:t>
      </w:r>
    </w:p>
    <w:p w:rsidR="00A45188" w:rsidRPr="00A45188" w:rsidRDefault="00A45188" w:rsidP="00A45188">
      <w:pPr>
        <w:pStyle w:val="ListParagraph"/>
        <w:ind w:right="27"/>
        <w:rPr>
          <w:sz w:val="24"/>
          <w:szCs w:val="24"/>
        </w:rPr>
      </w:pPr>
    </w:p>
    <w:p w:rsidR="00A45188" w:rsidRPr="00A45188" w:rsidRDefault="00A45188" w:rsidP="00A45188">
      <w:pPr>
        <w:numPr>
          <w:ilvl w:val="0"/>
          <w:numId w:val="22"/>
        </w:numPr>
        <w:ind w:left="1260" w:right="27" w:hanging="540"/>
        <w:jc w:val="both"/>
        <w:rPr>
          <w:sz w:val="24"/>
        </w:rPr>
      </w:pPr>
      <w:r w:rsidRPr="00A45188">
        <w:rPr>
          <w:sz w:val="24"/>
        </w:rPr>
        <w:t xml:space="preserve">doing or forbearing to do, or having done or forborne to do, any act in relation to his principal’s affairs or business; or </w:t>
      </w:r>
    </w:p>
    <w:p w:rsidR="00A45188" w:rsidRPr="00A45188" w:rsidRDefault="00A45188" w:rsidP="00A45188">
      <w:pPr>
        <w:ind w:left="1260" w:right="27" w:hanging="540"/>
        <w:jc w:val="both"/>
        <w:rPr>
          <w:sz w:val="24"/>
        </w:rPr>
      </w:pPr>
    </w:p>
    <w:p w:rsidR="00A45188" w:rsidRPr="00A45188" w:rsidRDefault="00A45188" w:rsidP="00A45188">
      <w:pPr>
        <w:numPr>
          <w:ilvl w:val="0"/>
          <w:numId w:val="22"/>
        </w:numPr>
        <w:snapToGrid w:val="0"/>
        <w:ind w:left="1267" w:right="27" w:hanging="547"/>
        <w:jc w:val="both"/>
        <w:rPr>
          <w:sz w:val="24"/>
        </w:rPr>
      </w:pPr>
      <w:r w:rsidRPr="00A45188">
        <w:rPr>
          <w:sz w:val="24"/>
        </w:rPr>
        <w:t>showing or forbearing to show, or having shown or forborne to show, favour or disfavour to any person in relation to his principal’s affairs or business.</w:t>
      </w:r>
    </w:p>
    <w:p w:rsidR="00A45188" w:rsidRPr="00A45188" w:rsidRDefault="00A45188" w:rsidP="00A45188">
      <w:pPr>
        <w:snapToGrid w:val="0"/>
        <w:ind w:left="720" w:right="27"/>
        <w:jc w:val="both"/>
        <w:rPr>
          <w:sz w:val="24"/>
        </w:rPr>
      </w:pPr>
    </w:p>
    <w:p w:rsidR="00A45188" w:rsidRPr="00A45188" w:rsidRDefault="00A45188" w:rsidP="00A45188">
      <w:pPr>
        <w:ind w:left="720" w:right="27"/>
        <w:jc w:val="both"/>
        <w:rPr>
          <w:sz w:val="24"/>
        </w:rPr>
      </w:pPr>
      <w:r w:rsidRPr="00A45188">
        <w:rPr>
          <w:sz w:val="24"/>
        </w:rPr>
        <w:t>Shall be guilty of an offence.”</w:t>
      </w:r>
      <w:r w:rsidRPr="00A45188">
        <w:rPr>
          <w:rStyle w:val="FootnoteReference"/>
          <w:sz w:val="24"/>
        </w:rPr>
        <w:footnoteReference w:id="77"/>
      </w:r>
      <w:r w:rsidRPr="00A45188">
        <w:rPr>
          <w:sz w:val="24"/>
        </w:rPr>
        <w:t xml:space="preserve"> </w:t>
      </w:r>
    </w:p>
    <w:p w:rsidR="00A45188" w:rsidRPr="008C6BDD" w:rsidRDefault="00A45188" w:rsidP="00A45188">
      <w:pPr>
        <w:spacing w:line="360" w:lineRule="auto"/>
        <w:ind w:left="720" w:right="547"/>
        <w:jc w:val="both"/>
        <w:rPr>
          <w:szCs w:val="28"/>
        </w:rPr>
      </w:pPr>
    </w:p>
    <w:p w:rsidR="00A45188" w:rsidRDefault="00A45188" w:rsidP="00A45188">
      <w:pPr>
        <w:pStyle w:val="Bob1"/>
        <w:tabs>
          <w:tab w:val="clear" w:pos="720"/>
          <w:tab w:val="left" w:pos="1440"/>
        </w:tabs>
        <w:ind w:left="0" w:firstLine="0"/>
        <w:jc w:val="both"/>
      </w:pPr>
      <w:r>
        <w:t>I would just</w:t>
      </w:r>
      <w:r w:rsidRPr="00A8253E">
        <w:t xml:space="preserve"> note</w:t>
      </w:r>
      <w:r>
        <w:rPr>
          <w:rStyle w:val="FootnoteReference"/>
          <w:szCs w:val="28"/>
        </w:rPr>
        <w:footnoteReference w:id="78"/>
      </w:r>
      <w:r>
        <w:t xml:space="preserve"> that</w:t>
      </w:r>
      <w:r w:rsidRPr="00A8253E">
        <w:t xml:space="preserve"> </w:t>
      </w:r>
      <w:r>
        <w:t>s 9(4) and (5)</w:t>
      </w:r>
      <w:r w:rsidRPr="00A8253E">
        <w:t xml:space="preserve"> provide</w:t>
      </w:r>
      <w:r>
        <w:t xml:space="preserve"> that if the advantage was solicited or accepted with the permission of the principal which complied </w:t>
      </w:r>
      <w:r>
        <w:lastRenderedPageBreak/>
        <w:t xml:space="preserve">with s 9(5), neither the agent nor the person who offered the advantage would be guilty of an offence under s 9(1) or (2). </w:t>
      </w:r>
    </w:p>
    <w:p w:rsidR="00A45188" w:rsidRPr="00A45188" w:rsidRDefault="00A45188" w:rsidP="00A45188">
      <w:pPr>
        <w:pStyle w:val="Bob1"/>
        <w:tabs>
          <w:tab w:val="clear" w:pos="720"/>
          <w:tab w:val="left" w:pos="1440"/>
        </w:tabs>
        <w:ind w:left="0" w:firstLine="0"/>
        <w:jc w:val="both"/>
      </w:pPr>
      <w:r w:rsidRPr="00A45188">
        <w:rPr>
          <w:szCs w:val="28"/>
        </w:rPr>
        <w:t>To constitute an offence under s 9, there must be a payment (without lawful authority or reasonable excuse) as an inducement to or reward for or otherwise on account of the agent doing or forbearing to do any act in relation to his principal’s affairs or business (the forbidden purpose).  In the present case it was not disputed that the payment to Chan was made as an inducement to or reward for him to take part in the countdown edition of “Be My Guest” (Chan’s performance).  What was disputed was whether the performance was in relation to TVB’s affairs or business and if so, whether he had a reasonable excuse.</w:t>
      </w:r>
    </w:p>
    <w:p w:rsidR="00A45188" w:rsidRPr="008B4751" w:rsidRDefault="00A45188" w:rsidP="00A45188">
      <w:pPr>
        <w:pStyle w:val="Bob1"/>
        <w:tabs>
          <w:tab w:val="clear" w:pos="720"/>
          <w:tab w:val="left" w:pos="1440"/>
        </w:tabs>
        <w:ind w:left="0" w:firstLine="0"/>
        <w:jc w:val="both"/>
      </w:pPr>
      <w:r w:rsidRPr="00A45188">
        <w:rPr>
          <w:szCs w:val="28"/>
        </w:rPr>
        <w:t>Agent is defined to include “a public servant and any person employed by or acting for another”.  It was not disputed that Chan was TVB’s agent since he was employed by TVB.  TVB  was a public body and Chan as its General Manager (Broadcasting) was a public servant.</w:t>
      </w:r>
      <w:r>
        <w:rPr>
          <w:rStyle w:val="FootnoteReference"/>
          <w:szCs w:val="28"/>
        </w:rPr>
        <w:footnoteReference w:id="79"/>
      </w:r>
      <w:r w:rsidRPr="00A45188">
        <w:rPr>
          <w:szCs w:val="28"/>
        </w:rPr>
        <w:t xml:space="preserve">  As the learned trial judge pointed out, Chan could have been prosecuted under s 4. However, the prosecution relied on s 9 which covered dealings with agents as well as public servants.  Section 4(2) makes it an offence by a public servant to solicit or accept</w:t>
      </w:r>
      <w:r w:rsidRPr="00A45188">
        <w:rPr>
          <w:rStyle w:val="FootnoteReference"/>
          <w:szCs w:val="28"/>
        </w:rPr>
        <w:t xml:space="preserve"> </w:t>
      </w:r>
      <w:r w:rsidRPr="00A45188">
        <w:rPr>
          <w:szCs w:val="28"/>
        </w:rPr>
        <w:t>any advantage as an inducement to or reward for or otherwise on account of his “performing … or abstained from performing, any act in his capacity as a public servant”.</w:t>
      </w:r>
      <w:r>
        <w:rPr>
          <w:rStyle w:val="FootnoteReference"/>
          <w:szCs w:val="28"/>
        </w:rPr>
        <w:footnoteReference w:id="80"/>
      </w:r>
      <w:r w:rsidRPr="00A45188">
        <w:rPr>
          <w:szCs w:val="28"/>
        </w:rPr>
        <w:t xml:space="preserve">  However, s 9(1)(a) does not require that the agent acted or forborne from acting in his capacity as agent.  It is engaged if the act or forbearance was “in relation to his principal’s affairs or business”.</w:t>
      </w:r>
      <w:r>
        <w:rPr>
          <w:rStyle w:val="FootnoteReference"/>
          <w:szCs w:val="28"/>
        </w:rPr>
        <w:footnoteReference w:id="81"/>
      </w:r>
      <w:r w:rsidRPr="00A45188">
        <w:rPr>
          <w:szCs w:val="28"/>
        </w:rPr>
        <w:t xml:space="preserve">  The prosecution case was that Chan’s performance was an act in relation to TVB’s affairs or business. </w:t>
      </w:r>
    </w:p>
    <w:p w:rsidR="00A45188" w:rsidRPr="008B4751" w:rsidRDefault="00A45188" w:rsidP="00E270C2">
      <w:pPr>
        <w:pStyle w:val="ListParagraph"/>
        <w:snapToGrid w:val="0"/>
        <w:spacing w:after="360" w:line="360" w:lineRule="auto"/>
        <w:ind w:left="0"/>
        <w:rPr>
          <w:b/>
          <w:sz w:val="28"/>
          <w:szCs w:val="28"/>
          <w:u w:val="single"/>
        </w:rPr>
      </w:pPr>
      <w:proofErr w:type="spellStart"/>
      <w:r w:rsidRPr="003F1485">
        <w:rPr>
          <w:b/>
          <w:i/>
          <w:sz w:val="28"/>
          <w:szCs w:val="28"/>
        </w:rPr>
        <w:lastRenderedPageBreak/>
        <w:t>Ch’ng</w:t>
      </w:r>
      <w:proofErr w:type="spellEnd"/>
      <w:r w:rsidRPr="003F1485">
        <w:rPr>
          <w:b/>
          <w:i/>
          <w:sz w:val="28"/>
          <w:szCs w:val="28"/>
        </w:rPr>
        <w:t xml:space="preserve"> </w:t>
      </w:r>
      <w:proofErr w:type="spellStart"/>
      <w:r w:rsidRPr="003F1485">
        <w:rPr>
          <w:b/>
          <w:i/>
          <w:sz w:val="28"/>
          <w:szCs w:val="28"/>
        </w:rPr>
        <w:t>Poh</w:t>
      </w:r>
      <w:proofErr w:type="spellEnd"/>
      <w:r w:rsidRPr="003F1485">
        <w:rPr>
          <w:b/>
          <w:i/>
          <w:sz w:val="28"/>
          <w:szCs w:val="28"/>
        </w:rPr>
        <w:t xml:space="preserve"> </w:t>
      </w:r>
    </w:p>
    <w:p w:rsidR="00A45188" w:rsidRPr="008B4751" w:rsidRDefault="00A45188" w:rsidP="00A45188">
      <w:pPr>
        <w:pStyle w:val="Bob1"/>
        <w:tabs>
          <w:tab w:val="clear" w:pos="720"/>
          <w:tab w:val="left" w:pos="1440"/>
        </w:tabs>
        <w:ind w:left="0" w:firstLine="0"/>
        <w:jc w:val="both"/>
      </w:pPr>
      <w:r w:rsidRPr="008B4751">
        <w:t xml:space="preserve">Lord Lloyd of Berwick said in </w:t>
      </w:r>
      <w:r w:rsidRPr="008B4751">
        <w:rPr>
          <w:i/>
        </w:rPr>
        <w:t xml:space="preserve">Commissioner of ICAC v </w:t>
      </w:r>
      <w:proofErr w:type="spellStart"/>
      <w:r w:rsidRPr="008B4751">
        <w:rPr>
          <w:i/>
        </w:rPr>
        <w:t>Ch’ng</w:t>
      </w:r>
      <w:proofErr w:type="spellEnd"/>
      <w:r w:rsidRPr="008B4751">
        <w:rPr>
          <w:i/>
        </w:rPr>
        <w:t xml:space="preserve"> </w:t>
      </w:r>
      <w:proofErr w:type="spellStart"/>
      <w:r w:rsidRPr="008B4751">
        <w:rPr>
          <w:i/>
        </w:rPr>
        <w:t>Poh</w:t>
      </w:r>
      <w:proofErr w:type="spellEnd"/>
      <w:r w:rsidRPr="008B4751">
        <w:t xml:space="preserve"> [1997] HKLRD 652</w:t>
      </w:r>
      <w:r>
        <w:t xml:space="preserve"> at 657</w:t>
      </w:r>
      <w:r w:rsidRPr="008B4751">
        <w:t>, a decision of the Privy Council on appeal from Hong Kong:</w:t>
      </w:r>
    </w:p>
    <w:p w:rsidR="00A45188" w:rsidRPr="00A45188" w:rsidRDefault="00A45188" w:rsidP="00A45188">
      <w:pPr>
        <w:tabs>
          <w:tab w:val="left" w:pos="1440"/>
        </w:tabs>
        <w:spacing w:before="120"/>
        <w:ind w:left="720" w:right="27"/>
        <w:jc w:val="both"/>
        <w:rPr>
          <w:sz w:val="24"/>
        </w:rPr>
      </w:pPr>
      <w:r w:rsidRPr="00A45188">
        <w:rPr>
          <w:sz w:val="24"/>
        </w:rPr>
        <w:t xml:space="preserve"> “… the alternative words serve much the same purpose.   They are clearly intended to be restrictive.  It is not enough that the recipient of the bribe should be an agent in fact.”   </w:t>
      </w:r>
    </w:p>
    <w:p w:rsidR="00A45188" w:rsidRPr="008B4751" w:rsidRDefault="00A45188" w:rsidP="00A45188">
      <w:pPr>
        <w:tabs>
          <w:tab w:val="left" w:pos="1440"/>
        </w:tabs>
        <w:spacing w:line="360" w:lineRule="auto"/>
        <w:jc w:val="both"/>
        <w:rPr>
          <w:szCs w:val="28"/>
        </w:rPr>
      </w:pPr>
    </w:p>
    <w:p w:rsidR="00A45188" w:rsidRDefault="00A45188" w:rsidP="00A45188">
      <w:pPr>
        <w:pStyle w:val="Bob1"/>
        <w:tabs>
          <w:tab w:val="clear" w:pos="720"/>
          <w:tab w:val="left" w:pos="1440"/>
        </w:tabs>
        <w:ind w:left="0" w:firstLine="0"/>
        <w:jc w:val="both"/>
      </w:pPr>
      <w:proofErr w:type="spellStart"/>
      <w:r w:rsidRPr="00AF571D">
        <w:rPr>
          <w:i/>
        </w:rPr>
        <w:t>Ch’ng</w:t>
      </w:r>
      <w:proofErr w:type="spellEnd"/>
      <w:r w:rsidRPr="00AF571D">
        <w:rPr>
          <w:i/>
        </w:rPr>
        <w:t xml:space="preserve"> </w:t>
      </w:r>
      <w:proofErr w:type="spellStart"/>
      <w:r w:rsidRPr="00AF571D">
        <w:rPr>
          <w:i/>
        </w:rPr>
        <w:t>Poh</w:t>
      </w:r>
      <w:proofErr w:type="spellEnd"/>
      <w:r w:rsidRPr="00AF571D">
        <w:t xml:space="preserve"> arose o</w:t>
      </w:r>
      <w:r>
        <w:t xml:space="preserve">ut of an application to quash </w:t>
      </w:r>
      <w:r w:rsidRPr="00AF571D">
        <w:t>a search warrant under s 10</w:t>
      </w:r>
      <w:r>
        <w:t>B of the ICAC Ordinance Cap 204 which was issued based on</w:t>
      </w:r>
      <w:r w:rsidRPr="00AF571D">
        <w:t xml:space="preserve"> the commission of an offence under s</w:t>
      </w:r>
      <w:r>
        <w:t xml:space="preserve"> 9.</w:t>
      </w:r>
      <w:r w:rsidRPr="00AF571D">
        <w:t xml:space="preserve">  </w:t>
      </w:r>
      <w:r>
        <w:t>Briefly,</w:t>
      </w:r>
      <w:r w:rsidRPr="00AF571D">
        <w:t xml:space="preserve"> a witness, Reid, had been bribed by Mr A, a solicitor, to made a false affidavit favouring </w:t>
      </w:r>
      <w:proofErr w:type="spellStart"/>
      <w:r w:rsidRPr="00D855D3">
        <w:t>Ch’ng</w:t>
      </w:r>
      <w:proofErr w:type="spellEnd"/>
      <w:r w:rsidRPr="00D855D3">
        <w:t xml:space="preserve"> </w:t>
      </w:r>
      <w:proofErr w:type="spellStart"/>
      <w:r w:rsidRPr="00D855D3">
        <w:t>Poh</w:t>
      </w:r>
      <w:proofErr w:type="spellEnd"/>
      <w:r w:rsidRPr="00AF571D">
        <w:t xml:space="preserve"> who was appealing his conviction. </w:t>
      </w:r>
      <w:r>
        <w:t xml:space="preserve"> </w:t>
      </w:r>
      <w:r w:rsidRPr="00AF571D">
        <w:t xml:space="preserve">Mr A was a partner in the firm which acted in </w:t>
      </w:r>
      <w:proofErr w:type="spellStart"/>
      <w:r w:rsidRPr="00D855D3">
        <w:t>Ch’ng</w:t>
      </w:r>
      <w:proofErr w:type="spellEnd"/>
      <w:r w:rsidRPr="00D855D3">
        <w:t xml:space="preserve"> </w:t>
      </w:r>
      <w:proofErr w:type="spellStart"/>
      <w:r w:rsidRPr="00D855D3">
        <w:t>Poh’s</w:t>
      </w:r>
      <w:proofErr w:type="spellEnd"/>
      <w:r w:rsidRPr="00AF571D">
        <w:t xml:space="preserve"> appeal. </w:t>
      </w:r>
      <w:r>
        <w:t xml:space="preserve"> </w:t>
      </w:r>
      <w:proofErr w:type="spellStart"/>
      <w:r w:rsidRPr="00D510E5">
        <w:t>Ch’ng</w:t>
      </w:r>
      <w:proofErr w:type="spellEnd"/>
      <w:r w:rsidRPr="00D510E5">
        <w:t xml:space="preserve"> </w:t>
      </w:r>
      <w:proofErr w:type="spellStart"/>
      <w:r w:rsidRPr="00D510E5">
        <w:t>Poh</w:t>
      </w:r>
      <w:proofErr w:type="spellEnd"/>
      <w:r w:rsidRPr="00AF571D">
        <w:t xml:space="preserve"> provided the money for the bribe. </w:t>
      </w:r>
    </w:p>
    <w:p w:rsidR="00A45188" w:rsidRPr="00A45188" w:rsidRDefault="00A45188" w:rsidP="00A45188">
      <w:pPr>
        <w:pStyle w:val="Bob1"/>
        <w:tabs>
          <w:tab w:val="clear" w:pos="720"/>
          <w:tab w:val="left" w:pos="1440"/>
        </w:tabs>
        <w:ind w:left="0" w:firstLine="0"/>
        <w:jc w:val="both"/>
      </w:pPr>
      <w:r w:rsidRPr="00A45188">
        <w:rPr>
          <w:szCs w:val="28"/>
        </w:rPr>
        <w:t>Lord Lloyd who delivered the advice of the Privy Council was of the view that since the case being made by ICAC was that Reid had been bribed by Mr A:</w:t>
      </w:r>
    </w:p>
    <w:p w:rsidR="00A45188" w:rsidRPr="00A45188" w:rsidRDefault="00A45188" w:rsidP="00A45188">
      <w:pPr>
        <w:tabs>
          <w:tab w:val="left" w:pos="1440"/>
        </w:tabs>
        <w:snapToGrid w:val="0"/>
        <w:spacing w:before="120"/>
        <w:ind w:left="720" w:right="27"/>
        <w:jc w:val="both"/>
        <w:rPr>
          <w:sz w:val="24"/>
        </w:rPr>
      </w:pPr>
      <w:r w:rsidRPr="00A45188">
        <w:rPr>
          <w:sz w:val="24"/>
        </w:rPr>
        <w:t xml:space="preserve">“… s.9(1)(a) of the Bribery Ordinance was simply not engaged.  As Litton V-P put it: </w:t>
      </w:r>
    </w:p>
    <w:p w:rsidR="00A45188" w:rsidRDefault="00A45188" w:rsidP="00A45188">
      <w:pPr>
        <w:tabs>
          <w:tab w:val="left" w:pos="1440"/>
        </w:tabs>
        <w:snapToGrid w:val="0"/>
        <w:ind w:left="720" w:right="720"/>
        <w:jc w:val="both"/>
      </w:pPr>
    </w:p>
    <w:p w:rsidR="00A45188" w:rsidRPr="00A45188" w:rsidRDefault="00A45188" w:rsidP="00A45188">
      <w:pPr>
        <w:tabs>
          <w:tab w:val="left" w:pos="1440"/>
        </w:tabs>
        <w:snapToGrid w:val="0"/>
        <w:ind w:left="1530" w:right="27" w:hanging="90"/>
        <w:jc w:val="both"/>
        <w:rPr>
          <w:sz w:val="24"/>
        </w:rPr>
      </w:pPr>
      <w:r w:rsidRPr="00A45188">
        <w:rPr>
          <w:sz w:val="24"/>
        </w:rPr>
        <w:t xml:space="preserve">Section 9(1)(a) criminalises corrupt transactions </w:t>
      </w:r>
      <w:r w:rsidRPr="00A45188">
        <w:rPr>
          <w:i/>
          <w:sz w:val="24"/>
        </w:rPr>
        <w:t>with</w:t>
      </w:r>
      <w:r w:rsidRPr="00A45188">
        <w:rPr>
          <w:sz w:val="24"/>
        </w:rPr>
        <w:t xml:space="preserve"> agents: not dishonest acts by agents.”</w:t>
      </w:r>
      <w:r w:rsidRPr="00A45188">
        <w:rPr>
          <w:rStyle w:val="FootnoteReference"/>
          <w:sz w:val="24"/>
        </w:rPr>
        <w:footnoteReference w:id="82"/>
      </w:r>
      <w:r w:rsidRPr="00A45188">
        <w:rPr>
          <w:sz w:val="24"/>
        </w:rPr>
        <w:t xml:space="preserve"> </w:t>
      </w:r>
    </w:p>
    <w:p w:rsidR="00A45188" w:rsidRDefault="00A45188" w:rsidP="00A45188">
      <w:pPr>
        <w:tabs>
          <w:tab w:val="left" w:pos="1440"/>
        </w:tabs>
        <w:spacing w:line="360" w:lineRule="auto"/>
        <w:jc w:val="both"/>
        <w:rPr>
          <w:szCs w:val="28"/>
        </w:rPr>
      </w:pPr>
    </w:p>
    <w:p w:rsidR="00A45188" w:rsidRPr="0096125A" w:rsidRDefault="00A45188" w:rsidP="00A45188">
      <w:pPr>
        <w:pStyle w:val="Bob1"/>
        <w:tabs>
          <w:tab w:val="clear" w:pos="720"/>
          <w:tab w:val="num" w:pos="1440"/>
        </w:tabs>
        <w:ind w:left="0" w:firstLine="0"/>
        <w:jc w:val="both"/>
      </w:pPr>
      <w:r>
        <w:t xml:space="preserve">However, it was argued on behalf of the ICAC in the Privy Council that the argument had been misunderstood and that its case was that Mr A must have received a bribe to do an act in relation to X &amp; </w:t>
      </w:r>
      <w:proofErr w:type="spellStart"/>
      <w:r>
        <w:t>Co’s</w:t>
      </w:r>
      <w:proofErr w:type="spellEnd"/>
      <w:r>
        <w:t xml:space="preserve"> business.  </w:t>
      </w:r>
      <w:r w:rsidRPr="0096125A">
        <w:t>Their lordships did not accept that was the case relied on in the courts below but in light of it Lord Lloyd said of the word</w:t>
      </w:r>
      <w:r>
        <w:t>s</w:t>
      </w:r>
      <w:r w:rsidRPr="0096125A">
        <w:t xml:space="preserve"> “in relation to his principal’s affairs” at 657: </w:t>
      </w:r>
    </w:p>
    <w:p w:rsidR="00A45188" w:rsidRPr="00A45188" w:rsidRDefault="00A45188" w:rsidP="00A45188">
      <w:pPr>
        <w:tabs>
          <w:tab w:val="left" w:pos="1260"/>
        </w:tabs>
        <w:spacing w:before="120"/>
        <w:ind w:left="720" w:right="27"/>
        <w:jc w:val="both"/>
        <w:rPr>
          <w:sz w:val="24"/>
        </w:rPr>
      </w:pPr>
      <w:r w:rsidRPr="00A45188">
        <w:rPr>
          <w:sz w:val="24"/>
        </w:rPr>
        <w:t xml:space="preserve">“ …  mean that, for the section to apply, the person offering the bribe, must have intended the act or forbearance of the agent to influence or affect the principal’s affairs.  </w:t>
      </w:r>
      <w:proofErr w:type="gramStart"/>
      <w:r w:rsidRPr="00A45188">
        <w:rPr>
          <w:sz w:val="24"/>
        </w:rPr>
        <w:lastRenderedPageBreak/>
        <w:t>Accordingly</w:t>
      </w:r>
      <w:proofErr w:type="gramEnd"/>
      <w:r w:rsidRPr="00A45188">
        <w:rPr>
          <w:sz w:val="24"/>
        </w:rPr>
        <w:t xml:space="preserve"> s.9 would apply if </w:t>
      </w:r>
      <w:proofErr w:type="spellStart"/>
      <w:r w:rsidRPr="00A45188">
        <w:rPr>
          <w:sz w:val="24"/>
        </w:rPr>
        <w:t>Ch’ng</w:t>
      </w:r>
      <w:proofErr w:type="spellEnd"/>
      <w:r w:rsidRPr="00A45188">
        <w:rPr>
          <w:sz w:val="24"/>
        </w:rPr>
        <w:t xml:space="preserve"> </w:t>
      </w:r>
      <w:proofErr w:type="spellStart"/>
      <w:r w:rsidRPr="00A45188">
        <w:rPr>
          <w:sz w:val="24"/>
        </w:rPr>
        <w:t>Poh</w:t>
      </w:r>
      <w:proofErr w:type="spellEnd"/>
      <w:r w:rsidRPr="00A45188">
        <w:rPr>
          <w:sz w:val="24"/>
        </w:rPr>
        <w:t xml:space="preserve"> had bribed Mr A to secure him a benefit at X &amp; </w:t>
      </w:r>
      <w:proofErr w:type="spellStart"/>
      <w:r w:rsidRPr="00A45188">
        <w:rPr>
          <w:sz w:val="24"/>
        </w:rPr>
        <w:t>Co’s</w:t>
      </w:r>
      <w:proofErr w:type="spellEnd"/>
      <w:r w:rsidRPr="00A45188">
        <w:rPr>
          <w:sz w:val="24"/>
        </w:rPr>
        <w:t xml:space="preserve"> expense, for example, to arrange a reduction in X &amp; </w:t>
      </w:r>
      <w:proofErr w:type="spellStart"/>
      <w:r w:rsidRPr="00A45188">
        <w:rPr>
          <w:sz w:val="24"/>
        </w:rPr>
        <w:t>Co’s</w:t>
      </w:r>
      <w:proofErr w:type="spellEnd"/>
      <w:r w:rsidRPr="00A45188">
        <w:rPr>
          <w:sz w:val="24"/>
        </w:rPr>
        <w:t xml:space="preserve"> ordinary professional fees; or if X &amp; Co were induced to act in a way in which they would not otherwise have acted. Thus it is an essential ingredient of the offence under s.9 that the action or forbearance of the agent should be aimed at the principal.  If it is sufficient for the purposes of the person offering the bribe that the agent should act on his own without involving his principal, then, whatever other offence may have been committed, it is not a corrupt transaction with an agent for the purposes of s.9.  </w:t>
      </w:r>
    </w:p>
    <w:p w:rsidR="00A45188" w:rsidRDefault="00A45188" w:rsidP="00A45188">
      <w:pPr>
        <w:tabs>
          <w:tab w:val="left" w:pos="1260"/>
        </w:tabs>
        <w:ind w:left="720" w:right="720"/>
        <w:jc w:val="both"/>
      </w:pPr>
    </w:p>
    <w:p w:rsidR="00A45188" w:rsidRPr="00A45188" w:rsidRDefault="00A45188" w:rsidP="00A45188">
      <w:pPr>
        <w:tabs>
          <w:tab w:val="left" w:pos="1260"/>
        </w:tabs>
        <w:ind w:left="720" w:right="27"/>
        <w:jc w:val="both"/>
        <w:rPr>
          <w:sz w:val="24"/>
        </w:rPr>
      </w:pPr>
      <w:r w:rsidRPr="00A45188">
        <w:rPr>
          <w:sz w:val="24"/>
        </w:rPr>
        <w:t xml:space="preserve">If the facts put before the magistrate had been that </w:t>
      </w:r>
      <w:proofErr w:type="spellStart"/>
      <w:r w:rsidRPr="00A45188">
        <w:rPr>
          <w:sz w:val="24"/>
        </w:rPr>
        <w:t>Ch’ng</w:t>
      </w:r>
      <w:proofErr w:type="spellEnd"/>
      <w:r w:rsidRPr="00A45188">
        <w:rPr>
          <w:sz w:val="24"/>
        </w:rPr>
        <w:t xml:space="preserve"> </w:t>
      </w:r>
      <w:proofErr w:type="spellStart"/>
      <w:r w:rsidRPr="00A45188">
        <w:rPr>
          <w:sz w:val="24"/>
        </w:rPr>
        <w:t>Poh</w:t>
      </w:r>
      <w:proofErr w:type="spellEnd"/>
      <w:r w:rsidRPr="00A45188">
        <w:rPr>
          <w:sz w:val="24"/>
        </w:rPr>
        <w:t xml:space="preserve"> offered Mr A </w:t>
      </w:r>
      <w:proofErr w:type="spellStart"/>
      <w:r w:rsidRPr="00A45188">
        <w:rPr>
          <w:sz w:val="24"/>
        </w:rPr>
        <w:t>a</w:t>
      </w:r>
      <w:proofErr w:type="spellEnd"/>
      <w:r w:rsidRPr="00A45188">
        <w:rPr>
          <w:sz w:val="24"/>
        </w:rPr>
        <w:t xml:space="preserve"> bribe in order to secure the filing by X &amp; Co of an affidavit which they both knew to be false, then a case might just have been made out. But as already mentioned, that is not a fair reading, or indeed a possible reading, of the information sworn by Mr Osborn.”</w:t>
      </w:r>
    </w:p>
    <w:p w:rsidR="00A45188" w:rsidRPr="00784B07" w:rsidRDefault="00A45188" w:rsidP="00A45188">
      <w:pPr>
        <w:tabs>
          <w:tab w:val="left" w:pos="1440"/>
        </w:tabs>
        <w:spacing w:line="360" w:lineRule="auto"/>
        <w:ind w:left="720" w:right="446"/>
        <w:jc w:val="both"/>
        <w:rPr>
          <w:szCs w:val="28"/>
        </w:rPr>
      </w:pPr>
    </w:p>
    <w:p w:rsidR="00A45188" w:rsidRPr="00784B07" w:rsidRDefault="00A45188" w:rsidP="00E270C2">
      <w:pPr>
        <w:spacing w:after="360" w:line="360" w:lineRule="auto"/>
        <w:ind w:right="547"/>
        <w:jc w:val="both"/>
        <w:rPr>
          <w:b/>
          <w:i/>
        </w:rPr>
      </w:pPr>
      <w:r w:rsidRPr="00784B07">
        <w:rPr>
          <w:b/>
          <w:i/>
          <w:szCs w:val="28"/>
        </w:rPr>
        <w:t>Section 9</w:t>
      </w:r>
      <w:r>
        <w:rPr>
          <w:b/>
          <w:i/>
          <w:szCs w:val="28"/>
        </w:rPr>
        <w:t>(1)(a)</w:t>
      </w:r>
    </w:p>
    <w:p w:rsidR="00A45188" w:rsidRDefault="00A45188" w:rsidP="00A45188">
      <w:pPr>
        <w:pStyle w:val="Bob1"/>
        <w:tabs>
          <w:tab w:val="clear" w:pos="720"/>
          <w:tab w:val="left" w:pos="1440"/>
        </w:tabs>
        <w:ind w:left="0" w:firstLine="0"/>
        <w:jc w:val="both"/>
      </w:pPr>
      <w:r>
        <w:t xml:space="preserve">I will consider s 9(1)(a) first and return to </w:t>
      </w:r>
      <w:proofErr w:type="spellStart"/>
      <w:r w:rsidRPr="003F1485">
        <w:rPr>
          <w:i/>
        </w:rPr>
        <w:t>Ch’ng</w:t>
      </w:r>
      <w:proofErr w:type="spellEnd"/>
      <w:r w:rsidRPr="003F1485">
        <w:rPr>
          <w:i/>
        </w:rPr>
        <w:t xml:space="preserve"> </w:t>
      </w:r>
      <w:proofErr w:type="spellStart"/>
      <w:r w:rsidRPr="003F1485">
        <w:rPr>
          <w:i/>
        </w:rPr>
        <w:t>Poh</w:t>
      </w:r>
      <w:proofErr w:type="spellEnd"/>
      <w:r>
        <w:t xml:space="preserve"> later. </w:t>
      </w:r>
      <w:r w:rsidR="00E270C2">
        <w:t>Section </w:t>
      </w:r>
      <w:r>
        <w:t>9(1) and (2) was first enacted as s 4 of the Prevention of Corruption Ordinance Cap 215 (“Cap 215”) in 1948.</w:t>
      </w:r>
      <w:r>
        <w:rPr>
          <w:rStyle w:val="FootnoteReference"/>
          <w:szCs w:val="28"/>
        </w:rPr>
        <w:footnoteReference w:id="83"/>
      </w:r>
      <w:r>
        <w:t xml:space="preserve">  Section 4 of Cap 201 was s 3 in Cap 215.  When enacted, those sections required that the advantage be offered or accepted corruptly. </w:t>
      </w:r>
      <w:r w:rsidRPr="00E23B02">
        <w:t xml:space="preserve"> </w:t>
      </w:r>
      <w:r>
        <w:t xml:space="preserve">As </w:t>
      </w:r>
      <w:r w:rsidRPr="00D855D3">
        <w:rPr>
          <w:i/>
        </w:rPr>
        <w:t xml:space="preserve">Bribery and Corruption Law </w:t>
      </w:r>
      <w:r>
        <w:rPr>
          <w:i/>
        </w:rPr>
        <w:t>in</w:t>
      </w:r>
      <w:r w:rsidRPr="00D855D3">
        <w:rPr>
          <w:i/>
        </w:rPr>
        <w:t xml:space="preserve"> Hong Kong</w:t>
      </w:r>
      <w:r>
        <w:t xml:space="preserve"> 3</w:t>
      </w:r>
      <w:r w:rsidRPr="00C94FAE">
        <w:rPr>
          <w:vertAlign w:val="superscript"/>
        </w:rPr>
        <w:t>rd</w:t>
      </w:r>
      <w:r>
        <w:t xml:space="preserve"> edition by Ian </w:t>
      </w:r>
      <w:proofErr w:type="spellStart"/>
      <w:r>
        <w:t>McWalters</w:t>
      </w:r>
      <w:proofErr w:type="spellEnd"/>
      <w:r>
        <w:t xml:space="preserve"> SC (as </w:t>
      </w:r>
      <w:proofErr w:type="spellStart"/>
      <w:r>
        <w:t>McWalters</w:t>
      </w:r>
      <w:proofErr w:type="spellEnd"/>
      <w:r>
        <w:t xml:space="preserve"> JA then was),  explained the word “corruptly” was understood to require “purposely doing an act which the law forbids as tending to corrupt”.</w:t>
      </w:r>
      <w:r>
        <w:rPr>
          <w:rStyle w:val="FootnoteReference"/>
          <w:szCs w:val="28"/>
        </w:rPr>
        <w:footnoteReference w:id="84"/>
      </w:r>
      <w:r>
        <w:t xml:space="preserve"> </w:t>
      </w:r>
    </w:p>
    <w:p w:rsidR="00A45188" w:rsidRPr="00A45188" w:rsidRDefault="00A45188" w:rsidP="00A45188">
      <w:pPr>
        <w:pStyle w:val="Bob1"/>
        <w:tabs>
          <w:tab w:val="clear" w:pos="720"/>
          <w:tab w:val="left" w:pos="1440"/>
        </w:tabs>
        <w:ind w:left="0" w:firstLine="0"/>
        <w:jc w:val="both"/>
      </w:pPr>
      <w:r w:rsidRPr="00A45188">
        <w:rPr>
          <w:szCs w:val="28"/>
        </w:rPr>
        <w:t xml:space="preserve">When Cap 201 was enacted in 1970 and </w:t>
      </w:r>
      <w:proofErr w:type="spellStart"/>
      <w:r w:rsidRPr="00A45188">
        <w:rPr>
          <w:szCs w:val="28"/>
        </w:rPr>
        <w:t>ss</w:t>
      </w:r>
      <w:proofErr w:type="spellEnd"/>
      <w:r w:rsidRPr="00A45188">
        <w:rPr>
          <w:szCs w:val="28"/>
        </w:rPr>
        <w:t xml:space="preserve"> 3 and 4 of Cap 215 were replaced by s 9 and s 4 of Cap 201 the word “corruptly” was removed and substituted by “without lawful authority and reasonable excuse”.</w:t>
      </w:r>
    </w:p>
    <w:p w:rsidR="00A45188" w:rsidRPr="00A45188" w:rsidRDefault="00A45188" w:rsidP="00A45188">
      <w:pPr>
        <w:pStyle w:val="Bob1"/>
        <w:tabs>
          <w:tab w:val="clear" w:pos="720"/>
          <w:tab w:val="left" w:pos="1440"/>
        </w:tabs>
        <w:ind w:left="0" w:firstLine="0"/>
        <w:jc w:val="both"/>
      </w:pPr>
      <w:r w:rsidRPr="00A45188">
        <w:rPr>
          <w:szCs w:val="28"/>
        </w:rPr>
        <w:t>The reason for the change was explained by the Attorney General</w:t>
      </w:r>
      <w:r>
        <w:rPr>
          <w:rStyle w:val="FootnoteReference"/>
          <w:szCs w:val="28"/>
        </w:rPr>
        <w:footnoteReference w:id="85"/>
      </w:r>
      <w:r w:rsidRPr="00A45188">
        <w:rPr>
          <w:szCs w:val="28"/>
        </w:rPr>
        <w:t xml:space="preserve"> in response to the remarks by Hon Mr Oswald Cheung that he was “staggered” </w:t>
      </w:r>
      <w:r w:rsidRPr="00A45188">
        <w:rPr>
          <w:szCs w:val="28"/>
        </w:rPr>
        <w:lastRenderedPageBreak/>
        <w:t xml:space="preserve">that “the word corruption” was not used in the proposed </w:t>
      </w:r>
      <w:r w:rsidRPr="00A45188">
        <w:rPr>
          <w:szCs w:val="28"/>
        </w:rPr>
        <w:br/>
        <w:t>Cap 201.  The Attorney said the word was not used:</w:t>
      </w:r>
    </w:p>
    <w:p w:rsidR="00A45188" w:rsidRPr="00A45188" w:rsidRDefault="00A45188" w:rsidP="00A45188">
      <w:pPr>
        <w:tabs>
          <w:tab w:val="left" w:pos="1260"/>
        </w:tabs>
        <w:spacing w:before="120"/>
        <w:ind w:left="720" w:right="27"/>
        <w:jc w:val="both"/>
        <w:rPr>
          <w:sz w:val="24"/>
        </w:rPr>
      </w:pPr>
      <w:r w:rsidRPr="00A45188">
        <w:rPr>
          <w:sz w:val="24"/>
        </w:rPr>
        <w:t>“… since it would oblige the Crown, before an accused had a case to answer, to establish that the soliciting or acceptance of a bribe was attributable to a corrupt motive. Unfortunately, past experience has been that this is difficult, and many accused persons have not been charged, and some have been charged but acquitted, because the prosecution was not able to establish that a payment of money in suspicious circumstances was corrupt but had to leave it to the court to draw an inference of corruption, which it was sometimes reluctant to do.”</w:t>
      </w:r>
      <w:r w:rsidRPr="00A45188">
        <w:rPr>
          <w:rStyle w:val="FootnoteReference"/>
          <w:sz w:val="24"/>
        </w:rPr>
        <w:footnoteReference w:id="86"/>
      </w:r>
      <w:r w:rsidRPr="00A45188">
        <w:rPr>
          <w:sz w:val="24"/>
        </w:rPr>
        <w:t xml:space="preserve">  </w:t>
      </w:r>
    </w:p>
    <w:p w:rsidR="00A45188" w:rsidRDefault="00A45188" w:rsidP="00A45188">
      <w:pPr>
        <w:pStyle w:val="ListParagraph"/>
        <w:spacing w:line="360" w:lineRule="auto"/>
        <w:rPr>
          <w:sz w:val="28"/>
          <w:szCs w:val="28"/>
        </w:rPr>
      </w:pPr>
    </w:p>
    <w:p w:rsidR="00A45188" w:rsidRDefault="00A45188" w:rsidP="00A45188">
      <w:pPr>
        <w:pStyle w:val="Bob1"/>
        <w:tabs>
          <w:tab w:val="clear" w:pos="720"/>
          <w:tab w:val="left" w:pos="1440"/>
        </w:tabs>
        <w:ind w:left="0" w:firstLine="0"/>
        <w:jc w:val="both"/>
      </w:pPr>
      <w:r>
        <w:t>The mischief against which the amendments were made is clear, namely, that corrupt motive was not to be an essential element of the offences under s 4 or s 9 of Cap 201.  The Attorney General went on to say:</w:t>
      </w:r>
    </w:p>
    <w:p w:rsidR="00A45188" w:rsidRPr="00A45188" w:rsidRDefault="00A45188" w:rsidP="00A45188">
      <w:pPr>
        <w:tabs>
          <w:tab w:val="left" w:pos="1260"/>
        </w:tabs>
        <w:spacing w:before="120"/>
        <w:ind w:left="720" w:right="27"/>
        <w:jc w:val="both"/>
        <w:rPr>
          <w:sz w:val="24"/>
        </w:rPr>
      </w:pPr>
      <w:r w:rsidRPr="00A45188">
        <w:rPr>
          <w:sz w:val="24"/>
        </w:rPr>
        <w:t xml:space="preserve">“As the bill is now drafted, the Crown will need to prove only a payment to the public servant, or agent, or other person.”  </w:t>
      </w:r>
    </w:p>
    <w:p w:rsidR="00A45188" w:rsidRPr="00A45188" w:rsidRDefault="00A45188" w:rsidP="00A45188">
      <w:pPr>
        <w:tabs>
          <w:tab w:val="left" w:pos="1260"/>
        </w:tabs>
        <w:spacing w:line="360" w:lineRule="auto"/>
        <w:jc w:val="both"/>
        <w:rPr>
          <w:sz w:val="24"/>
        </w:rPr>
      </w:pPr>
    </w:p>
    <w:p w:rsidR="00A45188" w:rsidRDefault="00A45188" w:rsidP="00A45188">
      <w:pPr>
        <w:pStyle w:val="Bob1"/>
        <w:tabs>
          <w:tab w:val="clear" w:pos="720"/>
          <w:tab w:val="left" w:pos="1440"/>
        </w:tabs>
        <w:ind w:left="0" w:firstLine="0"/>
        <w:jc w:val="both"/>
      </w:pPr>
      <w:r>
        <w:t xml:space="preserve">Section 9 is straightforward.  It makes it an </w:t>
      </w:r>
      <w:r w:rsidRPr="007844AE">
        <w:t>offence for</w:t>
      </w:r>
      <w:r>
        <w:t xml:space="preserve"> an agent to solicit or accept any advantage as an inducement to or reward for or otherwise on account of his doing or forbearing to do “any act in relation to his principal’s affairs or business” in the absence of lawful authority or reasonable excuse.</w:t>
      </w:r>
      <w:r>
        <w:rPr>
          <w:rStyle w:val="FootnoteReference"/>
          <w:szCs w:val="28"/>
        </w:rPr>
        <w:footnoteReference w:id="87"/>
      </w:r>
      <w:r>
        <w:t xml:space="preserve">  In other words, if an advantage was solicited or accepted in respect of an act or forbearance which related to the principal’s affairs or business, absent lawful authority or reasonable excuse or permission under s 9(4) and (5), an offence is committed.  The deliberate removal of the word “corruptly” is significant and I do not believe s 9 requires that any payment for a forbidden purpose must be made with a corrupt motive.  With respect, the Attorney General was exactly right when he said:</w:t>
      </w:r>
    </w:p>
    <w:p w:rsidR="00A45188" w:rsidRPr="00A45188" w:rsidRDefault="00A45188" w:rsidP="00A45188">
      <w:pPr>
        <w:tabs>
          <w:tab w:val="left" w:pos="1260"/>
        </w:tabs>
        <w:spacing w:before="120"/>
        <w:ind w:left="720" w:right="-63"/>
        <w:jc w:val="both"/>
        <w:rPr>
          <w:sz w:val="24"/>
        </w:rPr>
      </w:pPr>
      <w:r w:rsidRPr="00A45188">
        <w:rPr>
          <w:sz w:val="24"/>
        </w:rPr>
        <w:lastRenderedPageBreak/>
        <w:t>“As the bill is now drafted, the Crown will need to prove only a payment to the public servant, or agent, or other person.”</w:t>
      </w:r>
    </w:p>
    <w:p w:rsidR="00A45188" w:rsidRPr="000A0679" w:rsidRDefault="00A45188" w:rsidP="00A45188">
      <w:pPr>
        <w:tabs>
          <w:tab w:val="left" w:pos="1260"/>
        </w:tabs>
        <w:spacing w:line="360" w:lineRule="auto"/>
        <w:ind w:left="720" w:right="720"/>
        <w:jc w:val="both"/>
        <w:rPr>
          <w:szCs w:val="28"/>
        </w:rPr>
      </w:pPr>
    </w:p>
    <w:p w:rsidR="00A45188" w:rsidRPr="003F1485" w:rsidRDefault="00A45188" w:rsidP="00E270C2">
      <w:pPr>
        <w:tabs>
          <w:tab w:val="left" w:pos="1260"/>
        </w:tabs>
        <w:spacing w:after="360" w:line="360" w:lineRule="auto"/>
        <w:jc w:val="both"/>
        <w:rPr>
          <w:b/>
          <w:i/>
          <w:szCs w:val="28"/>
        </w:rPr>
      </w:pPr>
      <w:r w:rsidRPr="003F1485">
        <w:rPr>
          <w:b/>
          <w:i/>
          <w:szCs w:val="28"/>
        </w:rPr>
        <w:t>Influence or Affect</w:t>
      </w:r>
    </w:p>
    <w:p w:rsidR="00A45188" w:rsidRDefault="00A45188" w:rsidP="00A45188">
      <w:pPr>
        <w:pStyle w:val="Bob1"/>
        <w:tabs>
          <w:tab w:val="clear" w:pos="720"/>
          <w:tab w:val="left" w:pos="1440"/>
        </w:tabs>
        <w:ind w:left="0" w:firstLine="0"/>
        <w:jc w:val="both"/>
      </w:pPr>
      <w:proofErr w:type="spellStart"/>
      <w:r w:rsidRPr="004B4C43">
        <w:rPr>
          <w:i/>
        </w:rPr>
        <w:t>Ch’ng</w:t>
      </w:r>
      <w:proofErr w:type="spellEnd"/>
      <w:r w:rsidRPr="004B4C43">
        <w:rPr>
          <w:i/>
        </w:rPr>
        <w:t xml:space="preserve"> </w:t>
      </w:r>
      <w:proofErr w:type="spellStart"/>
      <w:r w:rsidRPr="004B4C43">
        <w:rPr>
          <w:i/>
        </w:rPr>
        <w:t>Poh</w:t>
      </w:r>
      <w:proofErr w:type="spellEnd"/>
      <w:r>
        <w:t xml:space="preserve"> is authority that for an act or forbearance to relate to the principal’s affairs or business it must have been intended to “influence or affect the principal’s affairs.”  And it would not so relate if the agent “should act on his own without involving his principal”.  With respect, I agree.  Thus, a moonlighting employee would not fall foul of s 9 even if moonlighting was strictly forbidden by his contract of employment.</w:t>
      </w:r>
      <w:r>
        <w:rPr>
          <w:rStyle w:val="FootnoteReference"/>
          <w:szCs w:val="28"/>
        </w:rPr>
        <w:footnoteReference w:id="88"/>
      </w:r>
      <w:r>
        <w:t xml:space="preserve">  But Lord Lloyd went on to say:</w:t>
      </w:r>
    </w:p>
    <w:p w:rsidR="00A45188" w:rsidRPr="00A45188" w:rsidRDefault="00A45188" w:rsidP="00A45188">
      <w:pPr>
        <w:tabs>
          <w:tab w:val="left" w:pos="1260"/>
        </w:tabs>
        <w:spacing w:before="120"/>
        <w:ind w:left="720" w:right="-63"/>
        <w:jc w:val="both"/>
        <w:rPr>
          <w:sz w:val="24"/>
        </w:rPr>
      </w:pPr>
      <w:r w:rsidRPr="00A45188">
        <w:rPr>
          <w:sz w:val="24"/>
        </w:rPr>
        <w:t>“Thus it is an essential ingredient of the offence under s.9 that the action or forbearance of the agent should be aimed at the principal.”</w:t>
      </w:r>
      <w:r w:rsidRPr="00A45188">
        <w:rPr>
          <w:rStyle w:val="FootnoteReference"/>
          <w:sz w:val="24"/>
        </w:rPr>
        <w:footnoteReference w:id="89"/>
      </w:r>
      <w:r w:rsidRPr="00A45188">
        <w:rPr>
          <w:sz w:val="24"/>
        </w:rPr>
        <w:t xml:space="preserve">   </w:t>
      </w:r>
    </w:p>
    <w:p w:rsidR="00A45188" w:rsidRDefault="00A45188" w:rsidP="00A45188">
      <w:pPr>
        <w:tabs>
          <w:tab w:val="left" w:pos="1260"/>
        </w:tabs>
        <w:spacing w:line="360" w:lineRule="auto"/>
        <w:jc w:val="both"/>
        <w:rPr>
          <w:szCs w:val="28"/>
        </w:rPr>
      </w:pPr>
    </w:p>
    <w:p w:rsidR="00A45188" w:rsidRPr="003F1485" w:rsidRDefault="00A45188" w:rsidP="00E270C2">
      <w:pPr>
        <w:tabs>
          <w:tab w:val="left" w:pos="1260"/>
        </w:tabs>
        <w:spacing w:after="360" w:line="360" w:lineRule="auto"/>
        <w:jc w:val="both"/>
        <w:rPr>
          <w:b/>
          <w:i/>
          <w:szCs w:val="28"/>
        </w:rPr>
      </w:pPr>
      <w:r w:rsidRPr="003F1485">
        <w:rPr>
          <w:b/>
          <w:i/>
          <w:szCs w:val="28"/>
        </w:rPr>
        <w:t>Aimed At</w:t>
      </w:r>
    </w:p>
    <w:p w:rsidR="00A45188" w:rsidRDefault="00A45188" w:rsidP="00A45188">
      <w:pPr>
        <w:pStyle w:val="Bob1"/>
        <w:tabs>
          <w:tab w:val="clear" w:pos="720"/>
          <w:tab w:val="left" w:pos="1440"/>
        </w:tabs>
        <w:ind w:left="0" w:firstLine="0"/>
        <w:jc w:val="both"/>
      </w:pPr>
      <w:r>
        <w:t>It is not clear what if anything “aimed at the principal” additionally requires. The expression has been considered by the English Court of Appeal in</w:t>
      </w:r>
      <w:r w:rsidRPr="00611F56">
        <w:t xml:space="preserve"> </w:t>
      </w:r>
      <w:r w:rsidRPr="00DE0B94">
        <w:rPr>
          <w:i/>
        </w:rPr>
        <w:t xml:space="preserve">R v </w:t>
      </w:r>
      <w:proofErr w:type="spellStart"/>
      <w:r w:rsidRPr="00DE0B94">
        <w:rPr>
          <w:i/>
        </w:rPr>
        <w:t>Majeed</w:t>
      </w:r>
      <w:proofErr w:type="spellEnd"/>
      <w:r w:rsidRPr="00DE0B94">
        <w:rPr>
          <w:i/>
        </w:rPr>
        <w:t xml:space="preserve"> and </w:t>
      </w:r>
      <w:r>
        <w:rPr>
          <w:i/>
        </w:rPr>
        <w:t>A</w:t>
      </w:r>
      <w:r w:rsidRPr="00DE0B94">
        <w:rPr>
          <w:i/>
        </w:rPr>
        <w:t>nother</w:t>
      </w:r>
      <w:r>
        <w:t xml:space="preserve"> [2013] 1 WLR 1041 when they considered s 1 of the 1906 Act on which s 9 of Cap 201 was based.  The only material difference </w:t>
      </w:r>
      <w:r>
        <w:lastRenderedPageBreak/>
        <w:t xml:space="preserve">between s 1 of the 1906 Act and s 9 is that section 1 had not replaced “corruptly” with “without lawful authority or reasonable excuse.”  </w:t>
      </w:r>
    </w:p>
    <w:p w:rsidR="00A45188" w:rsidRPr="00A45188" w:rsidRDefault="00A45188" w:rsidP="00A45188">
      <w:pPr>
        <w:pStyle w:val="Bob1"/>
        <w:tabs>
          <w:tab w:val="clear" w:pos="720"/>
          <w:tab w:val="left" w:pos="1440"/>
        </w:tabs>
        <w:ind w:left="0" w:firstLine="0"/>
        <w:jc w:val="both"/>
      </w:pPr>
      <w:proofErr w:type="spellStart"/>
      <w:r w:rsidRPr="00A45188">
        <w:rPr>
          <w:i/>
          <w:szCs w:val="28"/>
        </w:rPr>
        <w:t>Majeed</w:t>
      </w:r>
      <w:proofErr w:type="spellEnd"/>
      <w:r w:rsidRPr="00A45188">
        <w:rPr>
          <w:i/>
          <w:szCs w:val="28"/>
        </w:rPr>
        <w:t xml:space="preserve"> </w:t>
      </w:r>
      <w:r w:rsidRPr="00A45188">
        <w:rPr>
          <w:szCs w:val="28"/>
        </w:rPr>
        <w:t>was concerned with cricketers who were bribed to play in a certain way to facilitate betting on cricket matches where one could bet not only on the outcome but also, for example, “on individual events during the course of an over or passage of play”.</w:t>
      </w:r>
      <w:r>
        <w:rPr>
          <w:rStyle w:val="FootnoteReference"/>
          <w:szCs w:val="28"/>
        </w:rPr>
        <w:footnoteReference w:id="90"/>
      </w:r>
      <w:r w:rsidRPr="00A45188">
        <w:rPr>
          <w:szCs w:val="28"/>
        </w:rPr>
        <w:t xml:space="preserve">  One of the arguments relied on was that the actions of the cricketers on the field were not aimed at their principals, the Pakistan Cricket Board or the Essex Cricket Club (“the boards”). Relying on the passage in </w:t>
      </w:r>
      <w:proofErr w:type="spellStart"/>
      <w:r w:rsidRPr="00A45188">
        <w:rPr>
          <w:i/>
          <w:szCs w:val="28"/>
        </w:rPr>
        <w:t>Ch’ng</w:t>
      </w:r>
      <w:proofErr w:type="spellEnd"/>
      <w:r w:rsidRPr="00A45188">
        <w:rPr>
          <w:i/>
          <w:szCs w:val="28"/>
        </w:rPr>
        <w:t xml:space="preserve"> </w:t>
      </w:r>
      <w:proofErr w:type="spellStart"/>
      <w:r w:rsidRPr="00A45188">
        <w:rPr>
          <w:i/>
          <w:szCs w:val="28"/>
        </w:rPr>
        <w:t>Poh</w:t>
      </w:r>
      <w:proofErr w:type="spellEnd"/>
      <w:r w:rsidRPr="00A45188">
        <w:rPr>
          <w:szCs w:val="28"/>
        </w:rPr>
        <w:t xml:space="preserve"> quoted above,</w:t>
      </w:r>
      <w:r>
        <w:rPr>
          <w:rStyle w:val="FootnoteReference"/>
          <w:szCs w:val="28"/>
        </w:rPr>
        <w:footnoteReference w:id="91"/>
      </w:r>
      <w:r w:rsidRPr="00A45188">
        <w:rPr>
          <w:szCs w:val="28"/>
        </w:rPr>
        <w:t xml:space="preserve"> counsel submitted:</w:t>
      </w:r>
    </w:p>
    <w:p w:rsidR="00A45188" w:rsidRPr="00A45188" w:rsidRDefault="00A45188" w:rsidP="00A45188">
      <w:pPr>
        <w:tabs>
          <w:tab w:val="left" w:pos="1260"/>
        </w:tabs>
        <w:spacing w:before="120"/>
        <w:ind w:left="720" w:right="-63"/>
        <w:jc w:val="both"/>
        <w:rPr>
          <w:sz w:val="24"/>
        </w:rPr>
      </w:pPr>
      <w:r w:rsidRPr="00A45188">
        <w:rPr>
          <w:sz w:val="24"/>
        </w:rPr>
        <w:t xml:space="preserve">“The boards did nothing, and nothing was expected of them.  The bribes were not intended to and did not influence them in any way. … He suggested that, like the dishonest solicitor, ‘A’, in the </w:t>
      </w:r>
      <w:proofErr w:type="spellStart"/>
      <w:r w:rsidRPr="00A45188">
        <w:rPr>
          <w:i/>
          <w:sz w:val="24"/>
        </w:rPr>
        <w:t>Ch’ng</w:t>
      </w:r>
      <w:proofErr w:type="spellEnd"/>
      <w:r w:rsidRPr="00A45188">
        <w:rPr>
          <w:i/>
          <w:sz w:val="24"/>
        </w:rPr>
        <w:t xml:space="preserve"> </w:t>
      </w:r>
      <w:proofErr w:type="spellStart"/>
      <w:r w:rsidRPr="00A45188">
        <w:rPr>
          <w:i/>
          <w:sz w:val="24"/>
        </w:rPr>
        <w:t>Poh</w:t>
      </w:r>
      <w:proofErr w:type="spellEnd"/>
      <w:r w:rsidRPr="00A45188">
        <w:rPr>
          <w:sz w:val="24"/>
        </w:rPr>
        <w:t xml:space="preserve"> case, the way in which [the cricketers performed in their matches], was personal to them.  Like the firm in which ‘A’ was a partner, the boards did not and were not expected to do anything at all by way of response or as a reaction to the giving and the acceptance of the bribes.”  </w:t>
      </w:r>
    </w:p>
    <w:p w:rsidR="00A45188" w:rsidRDefault="00A45188" w:rsidP="00A45188">
      <w:pPr>
        <w:pStyle w:val="ListParagraph"/>
        <w:spacing w:line="360" w:lineRule="auto"/>
        <w:rPr>
          <w:sz w:val="28"/>
          <w:szCs w:val="28"/>
        </w:rPr>
      </w:pPr>
    </w:p>
    <w:p w:rsidR="00A45188" w:rsidRPr="00330050" w:rsidRDefault="00A45188" w:rsidP="00A45188">
      <w:pPr>
        <w:pStyle w:val="Bob1"/>
        <w:tabs>
          <w:tab w:val="clear" w:pos="720"/>
          <w:tab w:val="left" w:pos="1440"/>
        </w:tabs>
        <w:ind w:left="0" w:firstLine="0"/>
      </w:pPr>
      <w:r>
        <w:t>Lord Judge CJ who delivered the judgment of the Court</w:t>
      </w:r>
      <w:r>
        <w:rPr>
          <w:rStyle w:val="FootnoteReference"/>
          <w:szCs w:val="28"/>
        </w:rPr>
        <w:footnoteReference w:id="92"/>
      </w:r>
      <w:r>
        <w:t xml:space="preserve"> said:  </w:t>
      </w:r>
    </w:p>
    <w:p w:rsidR="00A45188" w:rsidRPr="00A45188" w:rsidRDefault="00A45188" w:rsidP="00A45188">
      <w:pPr>
        <w:tabs>
          <w:tab w:val="left" w:pos="1260"/>
          <w:tab w:val="left" w:pos="1530"/>
        </w:tabs>
        <w:spacing w:before="120"/>
        <w:ind w:left="720" w:right="-63"/>
        <w:jc w:val="both"/>
        <w:rPr>
          <w:sz w:val="24"/>
        </w:rPr>
      </w:pPr>
      <w:r w:rsidRPr="00A45188">
        <w:rPr>
          <w:sz w:val="24"/>
        </w:rPr>
        <w:t xml:space="preserve">“21. … The problem for [counsel] is that [the passage] was addressing the stark reality that ‘A’s’ firm was remote from the bribes paid by </w:t>
      </w:r>
      <w:proofErr w:type="spellStart"/>
      <w:r w:rsidRPr="00A45188">
        <w:rPr>
          <w:sz w:val="24"/>
        </w:rPr>
        <w:t>Ch’ng</w:t>
      </w:r>
      <w:proofErr w:type="spellEnd"/>
      <w:r w:rsidRPr="00A45188">
        <w:rPr>
          <w:sz w:val="24"/>
        </w:rPr>
        <w:t xml:space="preserve"> </w:t>
      </w:r>
      <w:proofErr w:type="spellStart"/>
      <w:r w:rsidRPr="00A45188">
        <w:rPr>
          <w:sz w:val="24"/>
        </w:rPr>
        <w:t>Poh</w:t>
      </w:r>
      <w:proofErr w:type="spellEnd"/>
      <w:r w:rsidRPr="00A45188">
        <w:rPr>
          <w:sz w:val="24"/>
        </w:rPr>
        <w:t xml:space="preserve">, and wholly unaffected by them. They were not paid to ‘A’ for any purposes associated, directly or indirectly, with the business or affairs of his firm.  In </w:t>
      </w:r>
      <w:proofErr w:type="gramStart"/>
      <w:r w:rsidRPr="00A45188">
        <w:rPr>
          <w:sz w:val="24"/>
        </w:rPr>
        <w:t>fact</w:t>
      </w:r>
      <w:proofErr w:type="gramEnd"/>
      <w:r w:rsidRPr="00A45188">
        <w:rPr>
          <w:sz w:val="24"/>
        </w:rPr>
        <w:t xml:space="preserve"> they were not paid to ‘A’ at all.  He simply organised their onward transmission to the intended recipients.  It is however clear from the judgment that the transaction would have fallen within the ambit of the legislation if the bribes had been accepted by ‘A’ with the intention or for the purpose of influencing or affecting the affairs of the firm.  This is why Lord Lloyd went on to acknowledge that if the bribe had been offered to ‘A’ by </w:t>
      </w:r>
      <w:proofErr w:type="spellStart"/>
      <w:r w:rsidRPr="00A45188">
        <w:rPr>
          <w:sz w:val="24"/>
        </w:rPr>
        <w:t>Ch’ng</w:t>
      </w:r>
      <w:proofErr w:type="spellEnd"/>
      <w:r w:rsidRPr="00A45188">
        <w:rPr>
          <w:sz w:val="24"/>
        </w:rPr>
        <w:t xml:space="preserve"> </w:t>
      </w:r>
      <w:proofErr w:type="spellStart"/>
      <w:r w:rsidRPr="00A45188">
        <w:rPr>
          <w:sz w:val="24"/>
        </w:rPr>
        <w:t>Poh</w:t>
      </w:r>
      <w:proofErr w:type="spellEnd"/>
      <w:r w:rsidRPr="00A45188">
        <w:rPr>
          <w:sz w:val="24"/>
        </w:rPr>
        <w:t xml:space="preserve"> in a way which would have led the firm to file an affidavit which both ‘A’ and </w:t>
      </w:r>
      <w:proofErr w:type="spellStart"/>
      <w:r w:rsidRPr="00A45188">
        <w:rPr>
          <w:sz w:val="24"/>
        </w:rPr>
        <w:t>Ch’ng</w:t>
      </w:r>
      <w:proofErr w:type="spellEnd"/>
      <w:r w:rsidRPr="00A45188">
        <w:rPr>
          <w:sz w:val="24"/>
        </w:rPr>
        <w:t xml:space="preserve"> </w:t>
      </w:r>
      <w:proofErr w:type="spellStart"/>
      <w:r w:rsidRPr="00A45188">
        <w:rPr>
          <w:sz w:val="24"/>
        </w:rPr>
        <w:t>Poh</w:t>
      </w:r>
      <w:proofErr w:type="spellEnd"/>
      <w:r w:rsidRPr="00A45188">
        <w:rPr>
          <w:sz w:val="24"/>
        </w:rPr>
        <w:t xml:space="preserve"> knew to be false, the warrant, as issued, might have been appropriate.  This would have been because, although Lord Lloyd did not need to spell it out, the bribe would then have involved the firm, albeit wholly innocently on the part of the firm, in the corrupt activity.  </w:t>
      </w:r>
    </w:p>
    <w:p w:rsidR="00A45188" w:rsidRPr="00A45188" w:rsidRDefault="00A45188" w:rsidP="00A45188">
      <w:pPr>
        <w:tabs>
          <w:tab w:val="left" w:pos="1260"/>
        </w:tabs>
        <w:ind w:left="720" w:right="-63"/>
        <w:jc w:val="both"/>
        <w:rPr>
          <w:sz w:val="24"/>
        </w:rPr>
      </w:pPr>
    </w:p>
    <w:p w:rsidR="00A45188" w:rsidRPr="00A45188" w:rsidRDefault="00A45188" w:rsidP="00A45188">
      <w:pPr>
        <w:tabs>
          <w:tab w:val="left" w:pos="1440"/>
        </w:tabs>
        <w:ind w:left="720" w:right="-63"/>
        <w:jc w:val="both"/>
        <w:rPr>
          <w:sz w:val="24"/>
        </w:rPr>
      </w:pPr>
      <w:r w:rsidRPr="00A45188">
        <w:rPr>
          <w:sz w:val="24"/>
        </w:rPr>
        <w:t>22.</w:t>
      </w:r>
      <w:r w:rsidRPr="00A45188">
        <w:rPr>
          <w:sz w:val="24"/>
        </w:rPr>
        <w:tab/>
        <w:t xml:space="preserve">We cannot find anything in the judgment in the </w:t>
      </w:r>
      <w:proofErr w:type="spellStart"/>
      <w:r w:rsidRPr="00A45188">
        <w:rPr>
          <w:i/>
          <w:sz w:val="24"/>
        </w:rPr>
        <w:t>Ch’ng</w:t>
      </w:r>
      <w:proofErr w:type="spellEnd"/>
      <w:r w:rsidRPr="00A45188">
        <w:rPr>
          <w:i/>
          <w:sz w:val="24"/>
        </w:rPr>
        <w:t xml:space="preserve"> </w:t>
      </w:r>
      <w:proofErr w:type="spellStart"/>
      <w:r w:rsidRPr="00A45188">
        <w:rPr>
          <w:i/>
          <w:sz w:val="24"/>
        </w:rPr>
        <w:t>Poh</w:t>
      </w:r>
      <w:proofErr w:type="spellEnd"/>
      <w:r w:rsidRPr="00A45188">
        <w:rPr>
          <w:sz w:val="24"/>
        </w:rPr>
        <w:t xml:space="preserve"> case … which lends support to [counsel]’s argument, and if it did, the submission would be wholly inconsistent with the clear statutory language.</w:t>
      </w:r>
    </w:p>
    <w:p w:rsidR="00A45188" w:rsidRPr="00A45188" w:rsidRDefault="00A45188" w:rsidP="00A45188">
      <w:pPr>
        <w:tabs>
          <w:tab w:val="left" w:pos="1440"/>
        </w:tabs>
        <w:ind w:left="720" w:right="-63"/>
        <w:jc w:val="both"/>
        <w:rPr>
          <w:sz w:val="24"/>
        </w:rPr>
      </w:pPr>
    </w:p>
    <w:p w:rsidR="00A45188" w:rsidRPr="00A45188" w:rsidRDefault="00A45188" w:rsidP="00A45188">
      <w:pPr>
        <w:tabs>
          <w:tab w:val="left" w:pos="1260"/>
        </w:tabs>
        <w:snapToGrid w:val="0"/>
        <w:ind w:left="720" w:right="-63"/>
        <w:jc w:val="both"/>
        <w:rPr>
          <w:sz w:val="24"/>
        </w:rPr>
      </w:pPr>
      <w:r w:rsidRPr="00A45188">
        <w:rPr>
          <w:sz w:val="24"/>
        </w:rPr>
        <w:t>23. … looking at the realities of the situation, there could on the evidence have been nothing closer to the heart of the affairs or business of a cricket board than the performance of the players selected by them to represent their and his country, or their and his county.”</w:t>
      </w:r>
    </w:p>
    <w:p w:rsidR="00A45188" w:rsidRDefault="00A45188" w:rsidP="00A45188">
      <w:pPr>
        <w:tabs>
          <w:tab w:val="left" w:pos="1260"/>
        </w:tabs>
        <w:spacing w:line="360" w:lineRule="auto"/>
        <w:jc w:val="both"/>
        <w:rPr>
          <w:szCs w:val="28"/>
        </w:rPr>
      </w:pPr>
    </w:p>
    <w:p w:rsidR="00A45188" w:rsidRDefault="00A45188" w:rsidP="00A45188">
      <w:pPr>
        <w:pStyle w:val="Bob1"/>
        <w:tabs>
          <w:tab w:val="clear" w:pos="720"/>
          <w:tab w:val="left" w:pos="1440"/>
        </w:tabs>
        <w:ind w:left="0" w:firstLine="0"/>
        <w:jc w:val="both"/>
      </w:pPr>
      <w:r>
        <w:t>With respect, like the English Court of Appeal, I believe the language of s 9 does not require that the act or forbearance should, apart from influencing or affecting the principal’s affairs or business thus involving them be also intentionally directly or indirectly aimed at the principal though one would expect that in many cases they would do so.  Nor do I understand Lord Lloyd to have said otherwise.</w:t>
      </w:r>
    </w:p>
    <w:p w:rsidR="00A45188" w:rsidRPr="00A45188" w:rsidRDefault="00A45188" w:rsidP="00A45188">
      <w:pPr>
        <w:pStyle w:val="Bob1"/>
        <w:tabs>
          <w:tab w:val="clear" w:pos="720"/>
          <w:tab w:val="left" w:pos="1440"/>
        </w:tabs>
        <w:ind w:left="0" w:firstLine="0"/>
        <w:jc w:val="both"/>
      </w:pPr>
      <w:r w:rsidRPr="00A45188">
        <w:rPr>
          <w:szCs w:val="28"/>
        </w:rPr>
        <w:t xml:space="preserve">So the question here is whether Chan’s performance related to TVB’s affairs or business.  With respect, I agree with Ribeiro PJ’s statement of the elements and </w:t>
      </w:r>
      <w:proofErr w:type="spellStart"/>
      <w:r w:rsidRPr="00A45188">
        <w:rPr>
          <w:i/>
          <w:szCs w:val="28"/>
        </w:rPr>
        <w:t>mens</w:t>
      </w:r>
      <w:proofErr w:type="spellEnd"/>
      <w:r w:rsidRPr="00A45188">
        <w:rPr>
          <w:i/>
          <w:szCs w:val="28"/>
        </w:rPr>
        <w:t xml:space="preserve"> rea</w:t>
      </w:r>
      <w:r w:rsidRPr="00A45188">
        <w:rPr>
          <w:szCs w:val="28"/>
        </w:rPr>
        <w:t xml:space="preserve"> at paras 20 and 21 of his judgment.  However, it was TVB’s countdown which was televised by TVB and the “Be My Guest” portion was part of the programme.  So TVB was very much involved.  Suppose TVB had requested Chan to take part in this edition of “Be My Guest” and Chan had agreed.  Undoubtedly his participation would have related to TVB’s affairs or business.  I am not sure the fact that he had appeared as OC’s guest and paid by them to do so would necessarily result in his not being involved in the business or affairs of TVB.    </w:t>
      </w:r>
    </w:p>
    <w:p w:rsidR="00A45188" w:rsidRPr="003F1485" w:rsidRDefault="00A45188" w:rsidP="00E270C2">
      <w:pPr>
        <w:pStyle w:val="ListParagraph"/>
        <w:snapToGrid w:val="0"/>
        <w:spacing w:after="360" w:line="360" w:lineRule="auto"/>
        <w:ind w:left="0"/>
        <w:rPr>
          <w:b/>
          <w:i/>
          <w:sz w:val="28"/>
          <w:szCs w:val="28"/>
        </w:rPr>
      </w:pPr>
      <w:r w:rsidRPr="003F1485">
        <w:rPr>
          <w:b/>
          <w:i/>
          <w:sz w:val="28"/>
          <w:szCs w:val="28"/>
        </w:rPr>
        <w:t>Morgan</w:t>
      </w:r>
    </w:p>
    <w:p w:rsidR="00A45188" w:rsidRDefault="00A45188" w:rsidP="00A45188">
      <w:pPr>
        <w:pStyle w:val="Bob1"/>
        <w:tabs>
          <w:tab w:val="clear" w:pos="720"/>
          <w:tab w:val="left" w:pos="1440"/>
        </w:tabs>
        <w:ind w:left="0" w:firstLine="0"/>
        <w:jc w:val="both"/>
      </w:pPr>
      <w:r>
        <w:rPr>
          <w:i/>
        </w:rPr>
        <w:t xml:space="preserve">DPP v  </w:t>
      </w:r>
      <w:r w:rsidRPr="00122E68">
        <w:rPr>
          <w:i/>
        </w:rPr>
        <w:t>Morgan</w:t>
      </w:r>
      <w:r w:rsidRPr="00E22B36">
        <w:t xml:space="preserve"> [1970</w:t>
      </w:r>
      <w:r>
        <w:t>]</w:t>
      </w:r>
      <w:r w:rsidRPr="00E22B36">
        <w:t xml:space="preserve"> 3 All</w:t>
      </w:r>
      <w:r>
        <w:t xml:space="preserve"> </w:t>
      </w:r>
      <w:r w:rsidRPr="00E22B36">
        <w:t>E</w:t>
      </w:r>
      <w:r>
        <w:t>R</w:t>
      </w:r>
      <w:r w:rsidRPr="00E22B36">
        <w:t xml:space="preserve"> 1053 </w:t>
      </w:r>
      <w:r w:rsidRPr="00C916FE">
        <w:t>was also concerned with the</w:t>
      </w:r>
      <w:r>
        <w:t xml:space="preserve"> interpretation of s 1 of the 1906 Act, Lord Parker CJ in the Divisional Court</w:t>
      </w:r>
      <w:r>
        <w:rPr>
          <w:rStyle w:val="FootnoteReference"/>
          <w:szCs w:val="28"/>
        </w:rPr>
        <w:footnoteReference w:id="93"/>
      </w:r>
      <w:r>
        <w:t xml:space="preserve"> was quite satisfied that these words “fall to be widely construed”.</w:t>
      </w:r>
      <w:r>
        <w:rPr>
          <w:rStyle w:val="FootnoteReference"/>
          <w:szCs w:val="28"/>
        </w:rPr>
        <w:footnoteReference w:id="94"/>
      </w:r>
      <w:r>
        <w:t xml:space="preserve">  </w:t>
      </w:r>
      <w:r w:rsidRPr="00E22B36">
        <w:rPr>
          <w:i/>
        </w:rPr>
        <w:t>Morgan</w:t>
      </w:r>
      <w:r>
        <w:t xml:space="preserve"> was an employee of Rover’s as well as the convenor of shop stewards.  He solicited a </w:t>
      </w:r>
      <w:r>
        <w:lastRenderedPageBreak/>
        <w:t xml:space="preserve">bribe from H who worked as a subcontractor for Rover’s who had been </w:t>
      </w:r>
      <w:proofErr w:type="spellStart"/>
      <w:r>
        <w:t>blacked</w:t>
      </w:r>
      <w:proofErr w:type="spellEnd"/>
      <w:r>
        <w:t xml:space="preserve"> by the union, telling H that he could possibly make it easier for H at the management/union meeting by suggesting that there was no objection to H doing the work.  </w:t>
      </w:r>
      <w:r w:rsidRPr="005141CE">
        <w:rPr>
          <w:i/>
        </w:rPr>
        <w:t>Morgan</w:t>
      </w:r>
      <w:r>
        <w:t xml:space="preserve"> is often cited for the proposition that an agent can have more than one principal.</w:t>
      </w:r>
    </w:p>
    <w:p w:rsidR="00A45188" w:rsidRPr="00A45188" w:rsidRDefault="00A45188" w:rsidP="00A45188">
      <w:pPr>
        <w:pStyle w:val="Bob1"/>
        <w:tabs>
          <w:tab w:val="clear" w:pos="720"/>
          <w:tab w:val="left" w:pos="1440"/>
        </w:tabs>
        <w:ind w:left="0" w:firstLine="0"/>
        <w:jc w:val="both"/>
      </w:pPr>
      <w:r w:rsidRPr="00A45188">
        <w:rPr>
          <w:szCs w:val="28"/>
        </w:rPr>
        <w:t xml:space="preserve">But it decided more than that.  It was submitted on behalf of </w:t>
      </w:r>
      <w:r w:rsidRPr="00A45188">
        <w:rPr>
          <w:i/>
          <w:szCs w:val="28"/>
        </w:rPr>
        <w:t>Morgan</w:t>
      </w:r>
      <w:r w:rsidRPr="00A45188">
        <w:rPr>
          <w:szCs w:val="28"/>
        </w:rPr>
        <w:t xml:space="preserve"> that:</w:t>
      </w:r>
    </w:p>
    <w:p w:rsidR="00A45188" w:rsidRPr="00A45188" w:rsidRDefault="00A45188" w:rsidP="00A45188">
      <w:pPr>
        <w:tabs>
          <w:tab w:val="left" w:pos="1260"/>
        </w:tabs>
        <w:spacing w:before="120"/>
        <w:ind w:left="720" w:right="27"/>
        <w:jc w:val="both"/>
        <w:rPr>
          <w:sz w:val="24"/>
        </w:rPr>
      </w:pPr>
      <w:r w:rsidRPr="00A45188">
        <w:rPr>
          <w:sz w:val="24"/>
        </w:rPr>
        <w:t xml:space="preserve">“… if the £25 was obtained as an inducement for doing an act, </w:t>
      </w:r>
      <w:proofErr w:type="spellStart"/>
      <w:r w:rsidRPr="00A45188">
        <w:rPr>
          <w:sz w:val="24"/>
        </w:rPr>
        <w:t>ie</w:t>
      </w:r>
      <w:proofErr w:type="spellEnd"/>
      <w:r w:rsidRPr="00A45188">
        <w:rPr>
          <w:sz w:val="24"/>
        </w:rPr>
        <w:t xml:space="preserve"> for procuring that there would be no objection by the union to Mr </w:t>
      </w:r>
      <w:proofErr w:type="spellStart"/>
      <w:r w:rsidRPr="00A45188">
        <w:rPr>
          <w:sz w:val="24"/>
        </w:rPr>
        <w:t>Hurford</w:t>
      </w:r>
      <w:proofErr w:type="spellEnd"/>
      <w:r w:rsidRPr="00A45188">
        <w:rPr>
          <w:sz w:val="24"/>
        </w:rPr>
        <w:t xml:space="preserve"> doing the work, the act was not in relation to Rover’s affairs but in relation to those of the union; that, if the £25 was so obtained, it was not obtained by the appellant as agent of Rover’s but as agent of the union.”</w:t>
      </w:r>
      <w:r w:rsidRPr="00A45188">
        <w:rPr>
          <w:rStyle w:val="FootnoteReference"/>
          <w:sz w:val="24"/>
        </w:rPr>
        <w:footnoteReference w:id="95"/>
      </w:r>
      <w:r w:rsidRPr="00A45188">
        <w:rPr>
          <w:sz w:val="24"/>
        </w:rPr>
        <w:t xml:space="preserve"> </w:t>
      </w:r>
    </w:p>
    <w:p w:rsidR="00A45188" w:rsidRDefault="00A45188" w:rsidP="00A45188">
      <w:pPr>
        <w:tabs>
          <w:tab w:val="left" w:pos="1260"/>
        </w:tabs>
        <w:spacing w:line="360" w:lineRule="auto"/>
        <w:jc w:val="both"/>
        <w:rPr>
          <w:szCs w:val="28"/>
        </w:rPr>
      </w:pPr>
    </w:p>
    <w:p w:rsidR="00A45188" w:rsidRDefault="00A45188" w:rsidP="00A45188">
      <w:pPr>
        <w:pStyle w:val="Bob1"/>
        <w:tabs>
          <w:tab w:val="clear" w:pos="720"/>
          <w:tab w:val="left" w:pos="1440"/>
        </w:tabs>
        <w:ind w:left="0" w:firstLine="0"/>
        <w:jc w:val="both"/>
      </w:pPr>
      <w:r>
        <w:t xml:space="preserve">Of course, the fact that </w:t>
      </w:r>
      <w:r w:rsidRPr="00E22B36">
        <w:rPr>
          <w:i/>
        </w:rPr>
        <w:t>Morgan</w:t>
      </w:r>
      <w:r>
        <w:t xml:space="preserve"> was the agent of Rover’s was not to the point unless the act “related to the affairs” of Rover’s as well.  Hence, Lord Parker CJ said at page 1057: </w:t>
      </w:r>
    </w:p>
    <w:p w:rsidR="00A45188" w:rsidRPr="00A45188" w:rsidRDefault="00A45188" w:rsidP="00A45188">
      <w:pPr>
        <w:tabs>
          <w:tab w:val="left" w:pos="1260"/>
        </w:tabs>
        <w:spacing w:before="120"/>
        <w:ind w:left="720" w:right="27"/>
        <w:jc w:val="both"/>
        <w:rPr>
          <w:sz w:val="24"/>
        </w:rPr>
      </w:pPr>
      <w:r w:rsidRPr="00A45188">
        <w:rPr>
          <w:sz w:val="24"/>
        </w:rPr>
        <w:t xml:space="preserve">“The </w:t>
      </w:r>
      <w:r w:rsidRPr="00A45188">
        <w:rPr>
          <w:i/>
          <w:sz w:val="24"/>
        </w:rPr>
        <w:t>real point</w:t>
      </w:r>
      <w:r w:rsidRPr="00A45188">
        <w:rPr>
          <w:sz w:val="24"/>
        </w:rPr>
        <w:t xml:space="preserve"> is whether, there being an obtaining of money as an inducement for the doing of some other act, that act was to be in relation to his principal’s affairs, namely Rover’s affairs.”  (</w:t>
      </w:r>
      <w:r w:rsidRPr="00A45188">
        <w:rPr>
          <w:i/>
          <w:sz w:val="24"/>
        </w:rPr>
        <w:t>my emphasis</w:t>
      </w:r>
      <w:r w:rsidRPr="00A45188">
        <w:rPr>
          <w:sz w:val="24"/>
        </w:rPr>
        <w:t>)</w:t>
      </w:r>
    </w:p>
    <w:p w:rsidR="00A45188" w:rsidRPr="00E803EE" w:rsidRDefault="00A45188" w:rsidP="00A45188">
      <w:pPr>
        <w:tabs>
          <w:tab w:val="left" w:pos="1260"/>
        </w:tabs>
        <w:spacing w:line="360" w:lineRule="auto"/>
        <w:ind w:left="720" w:right="634"/>
        <w:jc w:val="both"/>
        <w:rPr>
          <w:szCs w:val="28"/>
        </w:rPr>
      </w:pPr>
    </w:p>
    <w:p w:rsidR="00A45188" w:rsidRDefault="00A45188" w:rsidP="00A45188">
      <w:pPr>
        <w:pStyle w:val="Bob1"/>
        <w:tabs>
          <w:tab w:val="clear" w:pos="720"/>
          <w:tab w:val="left" w:pos="1440"/>
        </w:tabs>
        <w:ind w:left="0" w:firstLine="0"/>
      </w:pPr>
      <w:r w:rsidRPr="003F1485">
        <w:t>Lord Parker went on to say</w:t>
      </w:r>
      <w:r>
        <w:t xml:space="preserve"> at pages 1057 to 1058</w:t>
      </w:r>
      <w:r w:rsidRPr="003F1485">
        <w:t xml:space="preserve">: </w:t>
      </w:r>
    </w:p>
    <w:p w:rsidR="00A45188" w:rsidRPr="00A45188" w:rsidRDefault="00A45188" w:rsidP="00A45188">
      <w:pPr>
        <w:tabs>
          <w:tab w:val="left" w:pos="1260"/>
        </w:tabs>
        <w:spacing w:before="120"/>
        <w:ind w:left="720" w:right="27"/>
        <w:jc w:val="both"/>
        <w:rPr>
          <w:sz w:val="24"/>
        </w:rPr>
      </w:pPr>
      <w:proofErr w:type="gramStart"/>
      <w:r w:rsidRPr="00A45188">
        <w:rPr>
          <w:sz w:val="24"/>
        </w:rPr>
        <w:t>“ …</w:t>
      </w:r>
      <w:proofErr w:type="gramEnd"/>
      <w:r w:rsidRPr="00A45188">
        <w:rPr>
          <w:sz w:val="24"/>
        </w:rPr>
        <w:t xml:space="preserve"> It is counsel for the appellant’s argument that the words “any act in relation to his principal’s affairs” in s 1(1) must mean in direct relation to his principal’s affairs or, put another way, in relation to matters concerning his principal where he owes a duty as an agent.  Read in that way, it can be said that, while the appellant was an agent of Rover’s, nevertheless the act in question was in relation to union affairs albeit against the background of the business that Rover’s carried on.  For my part, I am quite satisfied that those words “in relation to his principal’s affairs” fall to be widely construed, as indeed they were in the only case to which the court has been referred, </w:t>
      </w:r>
      <w:r w:rsidRPr="00A45188">
        <w:rPr>
          <w:i/>
          <w:sz w:val="24"/>
        </w:rPr>
        <w:t>R v Dickinson</w:t>
      </w:r>
      <w:r w:rsidRPr="00A45188">
        <w:rPr>
          <w:sz w:val="24"/>
        </w:rPr>
        <w:t xml:space="preserve">, </w:t>
      </w:r>
      <w:r w:rsidRPr="00A45188">
        <w:rPr>
          <w:i/>
          <w:sz w:val="24"/>
        </w:rPr>
        <w:t xml:space="preserve">R v De </w:t>
      </w:r>
      <w:proofErr w:type="spellStart"/>
      <w:r w:rsidRPr="00A45188">
        <w:rPr>
          <w:i/>
          <w:sz w:val="24"/>
        </w:rPr>
        <w:t>Rable</w:t>
      </w:r>
      <w:proofErr w:type="spellEnd"/>
      <w:r w:rsidRPr="00A45188">
        <w:rPr>
          <w:sz w:val="24"/>
        </w:rPr>
        <w:t>,</w:t>
      </w:r>
      <w:r w:rsidRPr="00A45188">
        <w:rPr>
          <w:rStyle w:val="FootnoteReference"/>
          <w:sz w:val="24"/>
        </w:rPr>
        <w:footnoteReference w:id="96"/>
      </w:r>
      <w:r w:rsidRPr="00A45188">
        <w:rPr>
          <w:sz w:val="24"/>
        </w:rPr>
        <w:t xml:space="preserve"> where Pritchard J, in giving the judgment of the Court of Criminal Appeal, said:</w:t>
      </w:r>
    </w:p>
    <w:p w:rsidR="00A45188" w:rsidRDefault="00A45188" w:rsidP="00A45188">
      <w:pPr>
        <w:tabs>
          <w:tab w:val="left" w:pos="1260"/>
        </w:tabs>
        <w:ind w:left="720" w:right="634"/>
        <w:jc w:val="both"/>
      </w:pPr>
    </w:p>
    <w:p w:rsidR="00A45188" w:rsidRPr="00A45188" w:rsidRDefault="00A45188" w:rsidP="00A45188">
      <w:pPr>
        <w:tabs>
          <w:tab w:val="left" w:pos="1260"/>
        </w:tabs>
        <w:ind w:left="1440" w:right="27"/>
        <w:jc w:val="both"/>
        <w:rPr>
          <w:sz w:val="24"/>
        </w:rPr>
      </w:pPr>
      <w:r w:rsidRPr="00A45188">
        <w:rPr>
          <w:sz w:val="24"/>
        </w:rPr>
        <w:lastRenderedPageBreak/>
        <w:t>“In the judgment of the court the words of s 1 of the Act of 1906 are designedly very wide, and it would be undesirable in the extreme to narrow their meaning in the way which would be necessary if the argument on this first point were held to be valid.”</w:t>
      </w:r>
    </w:p>
    <w:p w:rsidR="00A45188" w:rsidRDefault="00A45188" w:rsidP="00A45188">
      <w:pPr>
        <w:tabs>
          <w:tab w:val="left" w:pos="1260"/>
        </w:tabs>
        <w:ind w:left="990" w:right="1080"/>
        <w:jc w:val="both"/>
      </w:pPr>
    </w:p>
    <w:p w:rsidR="00A45188" w:rsidRPr="00A45188" w:rsidRDefault="00A45188" w:rsidP="00A45188">
      <w:pPr>
        <w:tabs>
          <w:tab w:val="left" w:pos="1260"/>
        </w:tabs>
        <w:ind w:left="720" w:right="27"/>
        <w:jc w:val="both"/>
        <w:rPr>
          <w:sz w:val="24"/>
        </w:rPr>
      </w:pPr>
      <w:r w:rsidRPr="00A45188">
        <w:rPr>
          <w:sz w:val="24"/>
        </w:rPr>
        <w:t>It seems to me that the conditions precedent to an offence being proved are present here; the appellant was an agent, and what was done here, albeit it was in relation to the union affairs, was also in relation to his principal’s affairs, namely Rover’s affairs.”</w:t>
      </w:r>
    </w:p>
    <w:p w:rsidR="00A45188" w:rsidRPr="00336787" w:rsidRDefault="00A45188" w:rsidP="00A45188">
      <w:pPr>
        <w:tabs>
          <w:tab w:val="left" w:pos="1260"/>
        </w:tabs>
        <w:snapToGrid w:val="0"/>
        <w:spacing w:line="360" w:lineRule="auto"/>
        <w:ind w:left="720" w:right="634"/>
        <w:jc w:val="both"/>
        <w:rPr>
          <w:szCs w:val="28"/>
        </w:rPr>
      </w:pPr>
    </w:p>
    <w:p w:rsidR="00A45188" w:rsidRPr="00A45188" w:rsidRDefault="00A45188" w:rsidP="00284B4B">
      <w:pPr>
        <w:pStyle w:val="Bob1"/>
        <w:tabs>
          <w:tab w:val="clear" w:pos="720"/>
          <w:tab w:val="left" w:pos="1260"/>
          <w:tab w:val="left" w:pos="1440"/>
        </w:tabs>
        <w:ind w:left="0" w:firstLine="0"/>
        <w:jc w:val="both"/>
        <w:rPr>
          <w:szCs w:val="28"/>
        </w:rPr>
      </w:pPr>
      <w:r w:rsidRPr="003020DB">
        <w:t xml:space="preserve">So here, the fact that Chan </w:t>
      </w:r>
      <w:r>
        <w:t>performed as the guest of and was paid exclusively by</w:t>
      </w:r>
      <w:r w:rsidRPr="003020DB">
        <w:t xml:space="preserve"> </w:t>
      </w:r>
      <w:r>
        <w:t>OC</w:t>
      </w:r>
      <w:r w:rsidRPr="003020DB">
        <w:t xml:space="preserve"> is not a sufficie</w:t>
      </w:r>
      <w:r>
        <w:t xml:space="preserve">nt answer to a charge under s 9 unless </w:t>
      </w:r>
      <w:r w:rsidRPr="003020DB">
        <w:t xml:space="preserve">Chan’s performance did not </w:t>
      </w:r>
      <w:r>
        <w:t xml:space="preserve">also </w:t>
      </w:r>
      <w:r w:rsidRPr="003020DB">
        <w:t xml:space="preserve">relate to TVB’s affairs or business.  </w:t>
      </w:r>
      <w:r>
        <w:t>I am also of</w:t>
      </w:r>
      <w:r w:rsidRPr="003020DB">
        <w:t xml:space="preserve"> the view that it would be undesirable </w:t>
      </w:r>
      <w:r>
        <w:t>in</w:t>
      </w:r>
      <w:r w:rsidRPr="003020DB">
        <w:t xml:space="preserve"> the extreme to narrow dow</w:t>
      </w:r>
      <w:r>
        <w:t xml:space="preserve">n the meaning of those words.  It is of course a question of fact whether the agent’s act or forbearance relates to the affairs or business of his principal.  On the facts of this case, I </w:t>
      </w:r>
      <w:r w:rsidRPr="003020DB">
        <w:t>am of the view that Chan’s performance related to the affairs or business of TVB.</w:t>
      </w:r>
    </w:p>
    <w:p w:rsidR="00A45188" w:rsidRPr="003F1485" w:rsidRDefault="00A45188" w:rsidP="00E270C2">
      <w:pPr>
        <w:tabs>
          <w:tab w:val="left" w:pos="1260"/>
        </w:tabs>
        <w:spacing w:after="360" w:line="360" w:lineRule="auto"/>
        <w:jc w:val="both"/>
        <w:rPr>
          <w:b/>
          <w:i/>
          <w:szCs w:val="28"/>
        </w:rPr>
      </w:pPr>
      <w:r w:rsidRPr="003F1485">
        <w:rPr>
          <w:b/>
          <w:i/>
          <w:szCs w:val="28"/>
        </w:rPr>
        <w:t>Prejudice to the Principal</w:t>
      </w:r>
    </w:p>
    <w:p w:rsidR="00A45188" w:rsidRDefault="00A45188" w:rsidP="00A45188">
      <w:pPr>
        <w:pStyle w:val="Bob1"/>
        <w:tabs>
          <w:tab w:val="clear" w:pos="720"/>
          <w:tab w:val="left" w:pos="1440"/>
        </w:tabs>
        <w:ind w:left="0" w:firstLine="0"/>
        <w:jc w:val="both"/>
      </w:pPr>
      <w:r w:rsidRPr="00A17E01">
        <w:t>Ribeiro PJ</w:t>
      </w:r>
      <w:r>
        <w:t xml:space="preserve"> is of the view </w:t>
      </w:r>
      <w:r w:rsidRPr="00A17E01">
        <w:t>that</w:t>
      </w:r>
      <w:r>
        <w:t xml:space="preserve"> the agent’s act or forbearance must be</w:t>
      </w:r>
      <w:r w:rsidRPr="00A17E01">
        <w:t xml:space="preserve"> adverse to the principal’s interest</w:t>
      </w:r>
      <w:r>
        <w:t>,</w:t>
      </w:r>
      <w:r>
        <w:rPr>
          <w:rStyle w:val="FootnoteReference"/>
          <w:szCs w:val="28"/>
        </w:rPr>
        <w:footnoteReference w:id="97"/>
      </w:r>
      <w:r>
        <w:t xml:space="preserve"> in the sense, I think, that it must “prima facie undermined the integrity of the agency relationship to [the principal’s] detriment.”</w:t>
      </w:r>
      <w:r>
        <w:rPr>
          <w:rStyle w:val="FootnoteReference"/>
          <w:szCs w:val="28"/>
        </w:rPr>
        <w:footnoteReference w:id="98"/>
      </w:r>
      <w:r>
        <w:t xml:space="preserve">  </w:t>
      </w:r>
      <w:r w:rsidRPr="00EE4168">
        <w:t xml:space="preserve">I regard any advantage solicited or accepted without the knowledge of the principal </w:t>
      </w:r>
      <w:r>
        <w:t xml:space="preserve">to have such effect. Naturally, in most cases under s 9, the act or forbearance would be </w:t>
      </w:r>
      <w:proofErr w:type="gramStart"/>
      <w:r>
        <w:t>adverse</w:t>
      </w:r>
      <w:proofErr w:type="gramEnd"/>
      <w:r>
        <w:t xml:space="preserve"> to the principal’s interest which was the reason for the advantage.  But as Lawton LJ said in connection with s</w:t>
      </w:r>
      <w:r w:rsidR="00D22A91">
        <w:rPr>
          <w:rFonts w:ascii="PMingLiU" w:hAnsi="PMingLiU" w:hint="eastAsia"/>
        </w:rPr>
        <w:t xml:space="preserve"> </w:t>
      </w:r>
      <w:r>
        <w:t>1 of the 1906 Act:</w:t>
      </w:r>
    </w:p>
    <w:p w:rsidR="00A45188" w:rsidRPr="00A45188" w:rsidRDefault="00A45188" w:rsidP="00A45188">
      <w:pPr>
        <w:tabs>
          <w:tab w:val="left" w:pos="1440"/>
        </w:tabs>
        <w:spacing w:before="120"/>
        <w:ind w:left="720" w:right="27"/>
        <w:jc w:val="both"/>
        <w:rPr>
          <w:sz w:val="24"/>
        </w:rPr>
      </w:pPr>
      <w:r w:rsidRPr="00A45188">
        <w:rPr>
          <w:sz w:val="24"/>
        </w:rPr>
        <w:t>“The mischief aimed at by the modern statutes</w:t>
      </w:r>
      <w:r w:rsidRPr="00A45188">
        <w:rPr>
          <w:rStyle w:val="FootnoteReference"/>
          <w:sz w:val="24"/>
        </w:rPr>
        <w:t xml:space="preserve"> </w:t>
      </w:r>
      <w:r w:rsidRPr="00A45188">
        <w:rPr>
          <w:sz w:val="24"/>
        </w:rPr>
        <w:t>dealing with corruption is to prevent agents and public servants being put in positions of temptation.”</w:t>
      </w:r>
      <w:r w:rsidRPr="00A45188">
        <w:rPr>
          <w:rStyle w:val="FootnoteReference"/>
          <w:sz w:val="24"/>
        </w:rPr>
        <w:footnoteReference w:id="99"/>
      </w:r>
      <w:r w:rsidRPr="00A45188">
        <w:rPr>
          <w:sz w:val="24"/>
        </w:rPr>
        <w:t xml:space="preserve">  </w:t>
      </w:r>
    </w:p>
    <w:p w:rsidR="00A45188" w:rsidRPr="005141CE" w:rsidRDefault="00A45188" w:rsidP="00A45188">
      <w:pPr>
        <w:tabs>
          <w:tab w:val="left" w:pos="1440"/>
        </w:tabs>
        <w:spacing w:line="360" w:lineRule="auto"/>
        <w:ind w:left="720" w:right="720"/>
        <w:jc w:val="both"/>
        <w:rPr>
          <w:szCs w:val="28"/>
        </w:rPr>
      </w:pPr>
    </w:p>
    <w:p w:rsidR="00A45188" w:rsidRDefault="00A45188" w:rsidP="00A45188">
      <w:pPr>
        <w:pStyle w:val="Bob1"/>
        <w:tabs>
          <w:tab w:val="clear" w:pos="720"/>
          <w:tab w:val="left" w:pos="1440"/>
        </w:tabs>
        <w:ind w:left="0" w:firstLine="0"/>
        <w:jc w:val="both"/>
      </w:pPr>
      <w:r>
        <w:t>I do not accept that s 9 requires any other detriment.  The acceptance of a payment to favour one of two equal competitors is no less an offence under s 9.</w:t>
      </w:r>
      <w:r w:rsidRPr="001831C4">
        <w:t xml:space="preserve"> </w:t>
      </w:r>
      <w:r>
        <w:t xml:space="preserve"> Nor would it have made any difference in </w:t>
      </w:r>
      <w:r w:rsidRPr="00812E7C">
        <w:rPr>
          <w:i/>
        </w:rPr>
        <w:t>Morgan</w:t>
      </w:r>
      <w:r>
        <w:t xml:space="preserve">, if </w:t>
      </w:r>
      <w:r w:rsidRPr="00812E7C">
        <w:rPr>
          <w:i/>
        </w:rPr>
        <w:t>Morgan</w:t>
      </w:r>
      <w:r>
        <w:rPr>
          <w:i/>
        </w:rPr>
        <w:t xml:space="preserve">’s </w:t>
      </w:r>
      <w:r w:rsidRPr="00E803EE">
        <w:t>promised effort would have</w:t>
      </w:r>
      <w:r>
        <w:rPr>
          <w:i/>
        </w:rPr>
        <w:t xml:space="preserve"> </w:t>
      </w:r>
      <w:r>
        <w:t>stopped a crippling strike.</w:t>
      </w:r>
    </w:p>
    <w:p w:rsidR="00A45188" w:rsidRPr="00A45188" w:rsidRDefault="00A45188" w:rsidP="00A45188">
      <w:pPr>
        <w:pStyle w:val="Bob1"/>
        <w:tabs>
          <w:tab w:val="clear" w:pos="720"/>
          <w:tab w:val="left" w:pos="1440"/>
        </w:tabs>
        <w:ind w:left="0" w:firstLine="0"/>
        <w:jc w:val="both"/>
      </w:pPr>
      <w:r w:rsidRPr="00A45188">
        <w:rPr>
          <w:szCs w:val="28"/>
        </w:rPr>
        <w:t>Ribeiro PJ said</w:t>
      </w:r>
      <w:r>
        <w:rPr>
          <w:rStyle w:val="FootnoteReference"/>
          <w:szCs w:val="28"/>
        </w:rPr>
        <w:footnoteReference w:id="100"/>
      </w:r>
      <w:r w:rsidRPr="00A45188">
        <w:rPr>
          <w:szCs w:val="28"/>
        </w:rPr>
        <w:t xml:space="preserve"> that on the Court of Appeal’s reasoning, namely that Chan’s performance would boost audience rating at no cost to TVB, “Chan’s conduct was wholly in line with and beneficial to TVB’s interest”.  In my view such benefits have no bearing on the offence. </w:t>
      </w:r>
    </w:p>
    <w:p w:rsidR="00A45188" w:rsidRPr="00784B07" w:rsidRDefault="00A45188" w:rsidP="00E270C2">
      <w:pPr>
        <w:tabs>
          <w:tab w:val="left" w:pos="1440"/>
        </w:tabs>
        <w:spacing w:after="360" w:line="360" w:lineRule="auto"/>
        <w:jc w:val="both"/>
        <w:rPr>
          <w:b/>
          <w:i/>
          <w:szCs w:val="28"/>
        </w:rPr>
      </w:pPr>
      <w:r w:rsidRPr="00784B07">
        <w:rPr>
          <w:b/>
          <w:i/>
          <w:szCs w:val="28"/>
        </w:rPr>
        <w:t>Fiduciary obligation of agents</w:t>
      </w:r>
    </w:p>
    <w:p w:rsidR="00A45188" w:rsidRDefault="00A45188" w:rsidP="00A45188">
      <w:pPr>
        <w:pStyle w:val="Bob1"/>
        <w:tabs>
          <w:tab w:val="clear" w:pos="720"/>
          <w:tab w:val="left" w:pos="1440"/>
        </w:tabs>
        <w:ind w:left="0" w:firstLine="0"/>
        <w:jc w:val="both"/>
      </w:pPr>
      <w:r>
        <w:t xml:space="preserve">Cap 201 was enacted to make “further and better provision for the prevention of bribery” and in construing s 9 one naturally has such purpose in mind. </w:t>
      </w:r>
      <w:r w:rsidRPr="0089390F">
        <w:t xml:space="preserve"> </w:t>
      </w:r>
      <w:r>
        <w:t xml:space="preserve">Lord Thomas of </w:t>
      </w:r>
      <w:proofErr w:type="spellStart"/>
      <w:r>
        <w:t>Cwmgiedd</w:t>
      </w:r>
      <w:proofErr w:type="spellEnd"/>
      <w:r>
        <w:t xml:space="preserve"> CJ, in </w:t>
      </w:r>
      <w:r w:rsidRPr="00784B07">
        <w:rPr>
          <w:i/>
        </w:rPr>
        <w:t>R v J(P)</w:t>
      </w:r>
      <w:r>
        <w:rPr>
          <w:i/>
        </w:rPr>
        <w:t xml:space="preserve"> and others </w:t>
      </w:r>
      <w:r w:rsidRPr="00F951D5">
        <w:t>[2014] 1 WLR 1857</w:t>
      </w:r>
      <w:r>
        <w:rPr>
          <w:rStyle w:val="FootnoteReference"/>
          <w:szCs w:val="28"/>
        </w:rPr>
        <w:footnoteReference w:id="101"/>
      </w:r>
      <w:r>
        <w:t xml:space="preserve"> said of the 1906 Act that:</w:t>
      </w:r>
    </w:p>
    <w:p w:rsidR="00A45188" w:rsidRPr="00A45188" w:rsidRDefault="00A45188" w:rsidP="00A45188">
      <w:pPr>
        <w:tabs>
          <w:tab w:val="left" w:pos="1260"/>
        </w:tabs>
        <w:snapToGrid w:val="0"/>
        <w:spacing w:before="120"/>
        <w:ind w:left="720" w:right="27"/>
        <w:jc w:val="both"/>
        <w:rPr>
          <w:sz w:val="24"/>
        </w:rPr>
      </w:pPr>
      <w:r w:rsidRPr="00A45188">
        <w:rPr>
          <w:sz w:val="24"/>
        </w:rPr>
        <w:t>“14. … It is clear from the materials before us that the mischief at which the provision was principally aimed was criminalising the bribery of agents in commercial transactions, particularly commissions paid to the agent without the knowledge and informed consent of his principal.  These were and are commonly referred to as secret commissions.”</w:t>
      </w:r>
      <w:r w:rsidRPr="00A45188">
        <w:rPr>
          <w:rStyle w:val="FootnoteReference"/>
          <w:sz w:val="24"/>
        </w:rPr>
        <w:footnoteReference w:id="102"/>
      </w:r>
    </w:p>
    <w:p w:rsidR="00A45188" w:rsidRDefault="00A45188" w:rsidP="00A45188">
      <w:pPr>
        <w:tabs>
          <w:tab w:val="left" w:pos="1260"/>
        </w:tabs>
        <w:spacing w:line="360" w:lineRule="auto"/>
        <w:jc w:val="both"/>
        <w:rPr>
          <w:szCs w:val="28"/>
        </w:rPr>
      </w:pPr>
    </w:p>
    <w:p w:rsidR="00A45188" w:rsidRDefault="00A45188" w:rsidP="00A45188">
      <w:pPr>
        <w:pStyle w:val="Bob1"/>
        <w:tabs>
          <w:tab w:val="clear" w:pos="720"/>
          <w:tab w:val="left" w:pos="1440"/>
        </w:tabs>
        <w:ind w:left="0" w:firstLine="0"/>
        <w:jc w:val="both"/>
      </w:pPr>
      <w:r>
        <w:t xml:space="preserve">And that the aim and purpose of the 1906 Act: </w:t>
      </w:r>
    </w:p>
    <w:p w:rsidR="00A45188" w:rsidRPr="00A45188" w:rsidRDefault="00A45188" w:rsidP="00A45188">
      <w:pPr>
        <w:tabs>
          <w:tab w:val="left" w:pos="1440"/>
        </w:tabs>
        <w:ind w:left="720" w:right="27"/>
        <w:jc w:val="both"/>
        <w:rPr>
          <w:sz w:val="24"/>
        </w:rPr>
      </w:pPr>
      <w:r w:rsidRPr="00A45188">
        <w:rPr>
          <w:sz w:val="24"/>
        </w:rPr>
        <w:t xml:space="preserve">“17. … was entirely in accordance with the underlying law relating to the fiduciary obligations of agents established in the cases to which we have referred.” </w:t>
      </w:r>
    </w:p>
    <w:p w:rsidR="00A45188" w:rsidRPr="005141CE" w:rsidRDefault="00A45188" w:rsidP="00A45188">
      <w:pPr>
        <w:tabs>
          <w:tab w:val="left" w:pos="1440"/>
        </w:tabs>
        <w:spacing w:line="360" w:lineRule="auto"/>
        <w:ind w:left="720" w:right="720"/>
        <w:jc w:val="both"/>
        <w:rPr>
          <w:szCs w:val="28"/>
        </w:rPr>
      </w:pPr>
    </w:p>
    <w:p w:rsidR="00A45188" w:rsidRDefault="00A45188" w:rsidP="00A45188">
      <w:pPr>
        <w:pStyle w:val="Bob1"/>
        <w:tabs>
          <w:tab w:val="clear" w:pos="720"/>
          <w:tab w:val="left" w:pos="1440"/>
        </w:tabs>
        <w:ind w:left="0" w:firstLine="0"/>
        <w:jc w:val="both"/>
      </w:pPr>
      <w:r>
        <w:lastRenderedPageBreak/>
        <w:t xml:space="preserve">One of those cases was </w:t>
      </w:r>
      <w:r w:rsidRPr="007C3886">
        <w:rPr>
          <w:i/>
        </w:rPr>
        <w:t>Parker v M</w:t>
      </w:r>
      <w:r>
        <w:rPr>
          <w:i/>
        </w:rPr>
        <w:t>c</w:t>
      </w:r>
      <w:r w:rsidRPr="007C3886">
        <w:rPr>
          <w:i/>
        </w:rPr>
        <w:t>Kenna</w:t>
      </w:r>
      <w:r>
        <w:t xml:space="preserve"> (1874-75) LR 10 </w:t>
      </w:r>
      <w:proofErr w:type="spellStart"/>
      <w:r>
        <w:t>Ch</w:t>
      </w:r>
      <w:proofErr w:type="spellEnd"/>
      <w:r>
        <w:t xml:space="preserve"> App 96 where James LJ at 124-125 said:</w:t>
      </w:r>
    </w:p>
    <w:p w:rsidR="00A45188" w:rsidRPr="00A45188" w:rsidRDefault="00A45188" w:rsidP="00A45188">
      <w:pPr>
        <w:tabs>
          <w:tab w:val="left" w:pos="1440"/>
        </w:tabs>
        <w:snapToGrid w:val="0"/>
        <w:spacing w:before="120"/>
        <w:ind w:left="720" w:right="27"/>
        <w:jc w:val="both"/>
        <w:rPr>
          <w:sz w:val="24"/>
        </w:rPr>
      </w:pPr>
      <w:r w:rsidRPr="00A45188">
        <w:rPr>
          <w:sz w:val="24"/>
        </w:rPr>
        <w:t xml:space="preserve">“ … I do not think it is necessary, but it appears to me very important, that we should concur in laying down again and again the general principle that in this Court no agent in the course of his agency, in the matter of his agency, can be allowed to make any profit without the knowledge and consent of his principal; that that rule is an inflexible rule, and must be applied inexorably by this Court, which is not entitled, in my judgment, to receive evidence, or suggestion, or argument as to whether the principal did or did not suffer any injury in fact by reason of the dealing of the agent; for the safety of mankind requires that no agent shall be able to put his principal to the danger of such an inquiry as that.”  </w:t>
      </w:r>
    </w:p>
    <w:p w:rsidR="00A45188" w:rsidRPr="000A0679" w:rsidRDefault="00A45188" w:rsidP="00A45188">
      <w:pPr>
        <w:tabs>
          <w:tab w:val="left" w:pos="1440"/>
        </w:tabs>
        <w:spacing w:line="360" w:lineRule="auto"/>
        <w:ind w:left="720" w:right="720"/>
        <w:jc w:val="both"/>
        <w:rPr>
          <w:szCs w:val="28"/>
        </w:rPr>
      </w:pPr>
    </w:p>
    <w:p w:rsidR="00A45188" w:rsidRDefault="00A45188" w:rsidP="00A45188">
      <w:pPr>
        <w:pStyle w:val="Bob1"/>
        <w:tabs>
          <w:tab w:val="clear" w:pos="720"/>
          <w:tab w:val="left" w:pos="1440"/>
        </w:tabs>
        <w:ind w:left="0" w:firstLine="0"/>
        <w:jc w:val="both"/>
      </w:pPr>
      <w:r>
        <w:t>In my opinion, once it is established that an advantage was offered or accepted by an agent for a forbidden purpose then absent a reasonable excuse</w:t>
      </w:r>
      <w:r>
        <w:rPr>
          <w:rStyle w:val="FootnoteReference"/>
          <w:szCs w:val="28"/>
        </w:rPr>
        <w:footnoteReference w:id="103"/>
      </w:r>
      <w:r>
        <w:t xml:space="preserve"> an offence under s 9 would have been committed.  Furthermore, I would not regard absence of prejudice to the principal, or that the act was beneficial to the principal to be a reasonable excuse.  I see no reason why criminal law should differ from civil law in this respect.  Just as in civil law the principal should not be put to the danger of such an inquiry, to permit such inquiries in criminal prosecution would set back the fight against corruption.  It is well to remember what the Attorney General said in moving the second reading of the Bill: </w:t>
      </w:r>
    </w:p>
    <w:p w:rsidR="00A45188" w:rsidRPr="00A45188" w:rsidRDefault="00A45188" w:rsidP="00A45188">
      <w:pPr>
        <w:tabs>
          <w:tab w:val="left" w:pos="1440"/>
        </w:tabs>
        <w:spacing w:before="120"/>
        <w:ind w:left="720" w:right="27"/>
        <w:jc w:val="both"/>
        <w:rPr>
          <w:sz w:val="24"/>
        </w:rPr>
      </w:pPr>
      <w:r w:rsidRPr="00A45188">
        <w:rPr>
          <w:sz w:val="24"/>
        </w:rPr>
        <w:t>“Sir, it is impossible to assess with any accuracy the extent to which society in Hong Kong is affected by corruption … But … corruption does exist here to an extent which not only justifies, but demands, that the utmost efforts be made to eradicate it from our public and business affairs.”</w:t>
      </w:r>
      <w:r w:rsidRPr="00A45188">
        <w:rPr>
          <w:rStyle w:val="FootnoteReference"/>
          <w:sz w:val="24"/>
        </w:rPr>
        <w:footnoteReference w:id="104"/>
      </w:r>
      <w:r w:rsidRPr="00A45188">
        <w:rPr>
          <w:sz w:val="24"/>
        </w:rPr>
        <w:t xml:space="preserve">  </w:t>
      </w:r>
    </w:p>
    <w:p w:rsidR="00A45188" w:rsidRPr="00784B07" w:rsidRDefault="00A45188" w:rsidP="00A45188">
      <w:pPr>
        <w:tabs>
          <w:tab w:val="left" w:pos="1440"/>
        </w:tabs>
        <w:spacing w:line="360" w:lineRule="auto"/>
        <w:ind w:left="720" w:right="720"/>
        <w:jc w:val="both"/>
      </w:pPr>
    </w:p>
    <w:p w:rsidR="00A45188" w:rsidRDefault="00A45188" w:rsidP="00A45188">
      <w:pPr>
        <w:tabs>
          <w:tab w:val="left" w:pos="1440"/>
        </w:tabs>
        <w:spacing w:line="360" w:lineRule="auto"/>
        <w:jc w:val="both"/>
        <w:rPr>
          <w:szCs w:val="28"/>
        </w:rPr>
      </w:pPr>
      <w:r>
        <w:rPr>
          <w:szCs w:val="28"/>
        </w:rPr>
        <w:t xml:space="preserve">Since 1970, corruption has become less of a problem in Hong Kong but it has not been defeated. </w:t>
      </w:r>
    </w:p>
    <w:p w:rsidR="00A45188" w:rsidRDefault="00A45188" w:rsidP="00A45188">
      <w:pPr>
        <w:tabs>
          <w:tab w:val="left" w:pos="1440"/>
        </w:tabs>
        <w:spacing w:line="360" w:lineRule="auto"/>
        <w:jc w:val="both"/>
        <w:rPr>
          <w:szCs w:val="28"/>
        </w:rPr>
      </w:pPr>
    </w:p>
    <w:p w:rsidR="00A45188" w:rsidRDefault="00A45188" w:rsidP="00A45188">
      <w:pPr>
        <w:pStyle w:val="Bob1"/>
        <w:tabs>
          <w:tab w:val="clear" w:pos="720"/>
          <w:tab w:val="left" w:pos="1440"/>
        </w:tabs>
        <w:ind w:left="90" w:hanging="90"/>
        <w:jc w:val="both"/>
      </w:pPr>
      <w:r w:rsidRPr="00AE0C6D">
        <w:lastRenderedPageBreak/>
        <w:t xml:space="preserve">Section 4 which covers public servants may provide a useful comparison.  There, I do not </w:t>
      </w:r>
      <w:r>
        <w:t>believe</w:t>
      </w:r>
      <w:r w:rsidRPr="00AE0C6D">
        <w:t xml:space="preserve"> it is suggested that prejudice to public service is required or that its absence might provide a defence.  Under s 4(2)</w:t>
      </w:r>
    </w:p>
    <w:p w:rsidR="00A45188" w:rsidRPr="00A45188" w:rsidRDefault="00A45188" w:rsidP="00A45188">
      <w:pPr>
        <w:tabs>
          <w:tab w:val="left" w:pos="1440"/>
        </w:tabs>
        <w:snapToGrid w:val="0"/>
        <w:spacing w:before="120"/>
        <w:ind w:left="720" w:right="27"/>
        <w:jc w:val="both"/>
        <w:rPr>
          <w:sz w:val="24"/>
        </w:rPr>
      </w:pPr>
      <w:r w:rsidRPr="00A45188">
        <w:rPr>
          <w:sz w:val="24"/>
        </w:rPr>
        <w:t>“any public servant who, whether in Hong Kong or elsewhere, without lawful authority or reasonable excuse, solicits or accepts any advantage as an inducement to or reward for or otherwise on account of his –</w:t>
      </w:r>
    </w:p>
    <w:p w:rsidR="00A45188" w:rsidRPr="00A45188" w:rsidRDefault="00A45188" w:rsidP="00A45188">
      <w:pPr>
        <w:tabs>
          <w:tab w:val="left" w:pos="1440"/>
        </w:tabs>
        <w:snapToGrid w:val="0"/>
        <w:ind w:left="1170" w:right="27"/>
        <w:jc w:val="both"/>
        <w:rPr>
          <w:sz w:val="24"/>
        </w:rPr>
      </w:pPr>
    </w:p>
    <w:p w:rsidR="00A45188" w:rsidRPr="00A45188" w:rsidRDefault="00A45188" w:rsidP="00A45188">
      <w:pPr>
        <w:tabs>
          <w:tab w:val="left" w:pos="1440"/>
        </w:tabs>
        <w:snapToGrid w:val="0"/>
        <w:ind w:left="1170" w:right="27" w:hanging="450"/>
        <w:jc w:val="both"/>
        <w:rPr>
          <w:sz w:val="24"/>
        </w:rPr>
      </w:pPr>
      <w:r w:rsidRPr="00A45188">
        <w:rPr>
          <w:sz w:val="24"/>
        </w:rPr>
        <w:t xml:space="preserve">(a) </w:t>
      </w:r>
      <w:r w:rsidRPr="00A45188">
        <w:rPr>
          <w:sz w:val="24"/>
        </w:rPr>
        <w:tab/>
        <w:t>performing or abstaining from performing, or having performed or abstained from performing, any act in his capacity as a public servant;</w:t>
      </w:r>
    </w:p>
    <w:p w:rsidR="00A45188" w:rsidRPr="00A45188" w:rsidRDefault="00A45188" w:rsidP="00A45188">
      <w:pPr>
        <w:tabs>
          <w:tab w:val="left" w:pos="1440"/>
        </w:tabs>
        <w:snapToGrid w:val="0"/>
        <w:ind w:left="1170" w:right="27" w:hanging="450"/>
        <w:jc w:val="both"/>
        <w:rPr>
          <w:sz w:val="24"/>
        </w:rPr>
      </w:pPr>
      <w:r w:rsidRPr="00A45188">
        <w:rPr>
          <w:sz w:val="24"/>
        </w:rPr>
        <w:t>…</w:t>
      </w:r>
    </w:p>
    <w:p w:rsidR="00A45188" w:rsidRPr="00A45188" w:rsidRDefault="00A45188" w:rsidP="00A45188">
      <w:pPr>
        <w:tabs>
          <w:tab w:val="left" w:pos="1440"/>
        </w:tabs>
        <w:snapToGrid w:val="0"/>
        <w:spacing w:before="120"/>
        <w:ind w:left="720" w:right="27"/>
        <w:jc w:val="both"/>
        <w:rPr>
          <w:sz w:val="24"/>
        </w:rPr>
      </w:pPr>
      <w:r w:rsidRPr="00A45188">
        <w:rPr>
          <w:sz w:val="24"/>
        </w:rPr>
        <w:t xml:space="preserve">shall be guilty of an offence.” </w:t>
      </w:r>
    </w:p>
    <w:p w:rsidR="00A45188" w:rsidRDefault="00A45188" w:rsidP="00A45188">
      <w:pPr>
        <w:tabs>
          <w:tab w:val="left" w:pos="1440"/>
        </w:tabs>
        <w:spacing w:line="360" w:lineRule="auto"/>
        <w:jc w:val="both"/>
        <w:rPr>
          <w:szCs w:val="28"/>
        </w:rPr>
      </w:pPr>
    </w:p>
    <w:p w:rsidR="00A45188" w:rsidRDefault="00A45188" w:rsidP="00A45188">
      <w:pPr>
        <w:pStyle w:val="Bob1"/>
        <w:tabs>
          <w:tab w:val="clear" w:pos="720"/>
          <w:tab w:val="left" w:pos="1440"/>
        </w:tabs>
        <w:ind w:left="0" w:firstLine="0"/>
        <w:jc w:val="both"/>
      </w:pPr>
      <w:r w:rsidRPr="004328CF">
        <w:t>As I understand s 4(</w:t>
      </w:r>
      <w:r>
        <w:t xml:space="preserve">2)(a), </w:t>
      </w:r>
      <w:r w:rsidRPr="004328CF">
        <w:t>a public servant</w:t>
      </w:r>
      <w:r>
        <w:t>, say a postman,</w:t>
      </w:r>
      <w:r w:rsidRPr="004328CF">
        <w:t xml:space="preserve"> who</w:t>
      </w:r>
      <w:r>
        <w:t xml:space="preserve"> accepted any advantage from a </w:t>
      </w:r>
      <w:r w:rsidRPr="004328CF">
        <w:t>householder would be guilty of an offence</w:t>
      </w:r>
      <w:r>
        <w:t xml:space="preserve"> under s 4 even</w:t>
      </w:r>
      <w:r w:rsidRPr="004328CF">
        <w:t xml:space="preserve"> if</w:t>
      </w:r>
      <w:r>
        <w:t xml:space="preserve"> the householder had offered it in appreciation of the fact that </w:t>
      </w:r>
      <w:r w:rsidRPr="004328CF">
        <w:t xml:space="preserve">he had gone out of his way to deliver a letter or parcel. </w:t>
      </w:r>
      <w:r>
        <w:t xml:space="preserve"> </w:t>
      </w:r>
      <w:r w:rsidRPr="004328CF">
        <w:t>It is important, given the scourge of corruption under which Hong Kong had suffered for so long</w:t>
      </w:r>
      <w:r>
        <w:t>,</w:t>
      </w:r>
      <w:r>
        <w:rPr>
          <w:rStyle w:val="FootnoteReference"/>
          <w:szCs w:val="28"/>
        </w:rPr>
        <w:footnoteReference w:id="105"/>
      </w:r>
      <w:r w:rsidRPr="004328CF">
        <w:t xml:space="preserve"> </w:t>
      </w:r>
      <w:r>
        <w:t>t</w:t>
      </w:r>
      <w:r w:rsidRPr="004328CF">
        <w:t xml:space="preserve">hat </w:t>
      </w:r>
      <w:r>
        <w:t>it</w:t>
      </w:r>
      <w:r w:rsidRPr="004328CF">
        <w:t xml:space="preserve"> should be </w:t>
      </w:r>
      <w:r>
        <w:t xml:space="preserve">clearly </w:t>
      </w:r>
      <w:r w:rsidRPr="004328CF">
        <w:t>underst</w:t>
      </w:r>
      <w:r>
        <w:t>ood</w:t>
      </w:r>
      <w:r w:rsidRPr="004328CF">
        <w:t xml:space="preserve"> that </w:t>
      </w:r>
      <w:r>
        <w:t>under no circumstances should any public servant  accept any advantage for acting or forbearing to act in his capacity as a public servant.</w:t>
      </w:r>
      <w:r w:rsidRPr="004328CF">
        <w:t xml:space="preserve">  </w:t>
      </w:r>
      <w:r>
        <w:t>The corrupting tendency of any</w:t>
      </w:r>
      <w:r w:rsidRPr="004328CF">
        <w:t xml:space="preserve"> offer or acceptance of advantage is</w:t>
      </w:r>
      <w:r>
        <w:t xml:space="preserve"> too obvious to require</w:t>
      </w:r>
      <w:r w:rsidRPr="004328CF">
        <w:t xml:space="preserve"> </w:t>
      </w:r>
      <w:r>
        <w:t xml:space="preserve">elaboration. </w:t>
      </w:r>
      <w:r>
        <w:rPr>
          <w:rStyle w:val="FootnoteReference"/>
          <w:szCs w:val="28"/>
        </w:rPr>
        <w:t xml:space="preserve"> </w:t>
      </w:r>
      <w:r>
        <w:t xml:space="preserve"> Nor would I leave it to be determined on a case by case basis whether the tip was deserved and whether there was any prejudice.</w:t>
      </w:r>
    </w:p>
    <w:p w:rsidR="00A45188" w:rsidRPr="00A45188" w:rsidRDefault="00A45188" w:rsidP="00A45188">
      <w:pPr>
        <w:pStyle w:val="Bob1"/>
        <w:tabs>
          <w:tab w:val="clear" w:pos="720"/>
          <w:tab w:val="left" w:pos="1440"/>
        </w:tabs>
        <w:ind w:left="0" w:firstLine="0"/>
        <w:jc w:val="both"/>
      </w:pPr>
      <w:r w:rsidRPr="00A45188">
        <w:rPr>
          <w:szCs w:val="28"/>
        </w:rPr>
        <w:t xml:space="preserve">If prejudice to public service is not required under </w:t>
      </w:r>
      <w:r w:rsidRPr="00A45188">
        <w:rPr>
          <w:szCs w:val="28"/>
        </w:rPr>
        <w:br/>
        <w:t>s 4, I see no reason for requiring it for an offence under s 9.</w:t>
      </w:r>
    </w:p>
    <w:p w:rsidR="00A45188" w:rsidRPr="007C3886" w:rsidRDefault="00A45188" w:rsidP="00E270C2">
      <w:pPr>
        <w:tabs>
          <w:tab w:val="left" w:pos="1440"/>
        </w:tabs>
        <w:spacing w:after="360" w:line="360" w:lineRule="auto"/>
        <w:jc w:val="both"/>
        <w:rPr>
          <w:b/>
          <w:i/>
          <w:szCs w:val="28"/>
        </w:rPr>
      </w:pPr>
      <w:r w:rsidRPr="007C3886">
        <w:rPr>
          <w:b/>
          <w:i/>
          <w:szCs w:val="28"/>
        </w:rPr>
        <w:t>Reasonable excuse</w:t>
      </w:r>
    </w:p>
    <w:p w:rsidR="00A45188" w:rsidRDefault="00A45188" w:rsidP="00A45188">
      <w:pPr>
        <w:pStyle w:val="Bob1"/>
        <w:tabs>
          <w:tab w:val="clear" w:pos="720"/>
          <w:tab w:val="left" w:pos="1440"/>
        </w:tabs>
        <w:ind w:left="0" w:firstLine="0"/>
      </w:pPr>
      <w:r w:rsidRPr="00AE0C6D">
        <w:t xml:space="preserve">I turn now to consider reasonable excuse.  </w:t>
      </w:r>
      <w:r>
        <w:t xml:space="preserve"> </w:t>
      </w:r>
    </w:p>
    <w:p w:rsidR="00A45188" w:rsidRDefault="00A45188" w:rsidP="00A45188">
      <w:pPr>
        <w:pStyle w:val="Bob1"/>
        <w:tabs>
          <w:tab w:val="clear" w:pos="720"/>
          <w:tab w:val="left" w:pos="1440"/>
        </w:tabs>
        <w:ind w:left="0" w:firstLine="0"/>
      </w:pPr>
      <w:r w:rsidRPr="00A45188">
        <w:rPr>
          <w:i/>
          <w:szCs w:val="28"/>
        </w:rPr>
        <w:lastRenderedPageBreak/>
        <w:t xml:space="preserve">R v J (P) </w:t>
      </w:r>
      <w:r w:rsidRPr="00A45188">
        <w:rPr>
          <w:szCs w:val="28"/>
        </w:rPr>
        <w:t xml:space="preserve">was also concerned with s 1 of the 1906 Act and involved the allegation that the defendants had conspired corruptly to give agents of the tax authorities of a state in the Commonwealth a substantial sum of money as an inducement to show favours to a company in relation to the calculation of tax owed by that company to the tax authorities.  The issue before the court was whether the word “corruptly” implied that the payment for the prohibited purpose had to have been paid or received secretly and without the knowledge and informed consent of the principal.   </w:t>
      </w:r>
      <w:r w:rsidRPr="007C3886">
        <w:t xml:space="preserve"> </w:t>
      </w:r>
    </w:p>
    <w:p w:rsidR="00A45188" w:rsidRPr="00A45188" w:rsidRDefault="00A45188" w:rsidP="00A45188">
      <w:pPr>
        <w:pStyle w:val="Bob1"/>
        <w:tabs>
          <w:tab w:val="clear" w:pos="720"/>
          <w:tab w:val="left" w:pos="1440"/>
        </w:tabs>
        <w:ind w:left="0" w:firstLine="0"/>
      </w:pPr>
      <w:r w:rsidRPr="00A45188">
        <w:rPr>
          <w:szCs w:val="28"/>
        </w:rPr>
        <w:t xml:space="preserve">The defendant’s contention was: </w:t>
      </w:r>
    </w:p>
    <w:p w:rsidR="00A45188" w:rsidRPr="00A45188" w:rsidRDefault="00A45188" w:rsidP="00A45188">
      <w:pPr>
        <w:tabs>
          <w:tab w:val="left" w:pos="1260"/>
        </w:tabs>
        <w:snapToGrid w:val="0"/>
        <w:spacing w:before="120"/>
        <w:ind w:left="720" w:right="-63"/>
        <w:jc w:val="both"/>
        <w:rPr>
          <w:sz w:val="24"/>
        </w:rPr>
      </w:pPr>
      <w:r w:rsidRPr="00A45188">
        <w:rPr>
          <w:sz w:val="24"/>
        </w:rPr>
        <w:t xml:space="preserve">“8(ii) … that the term ‘corruptly’ connoted secrecy.  As the 1906 Act had been formulated in terms of principal and agent, it must follow that a payment could not be secret if it was made with the knowledge and consent of the principal.  Thus it must be for the prosecution to prove, as part of its case, the specific ingredient of lack of knowledge or informed consent by the principal; in essence the element of corruption was the doing of the act prohibited without having first made full disclosure to the principal and obtaining his informed consent.” </w:t>
      </w:r>
    </w:p>
    <w:p w:rsidR="00A45188" w:rsidRPr="007C3886" w:rsidRDefault="00A45188" w:rsidP="00A45188">
      <w:pPr>
        <w:tabs>
          <w:tab w:val="left" w:pos="1260"/>
        </w:tabs>
        <w:snapToGrid w:val="0"/>
        <w:spacing w:line="360" w:lineRule="auto"/>
        <w:ind w:left="806" w:right="720"/>
        <w:jc w:val="both"/>
      </w:pPr>
    </w:p>
    <w:p w:rsidR="00A45188" w:rsidRDefault="00A45188" w:rsidP="00A45188">
      <w:pPr>
        <w:pStyle w:val="Bob1"/>
        <w:tabs>
          <w:tab w:val="clear" w:pos="720"/>
          <w:tab w:val="left" w:pos="1440"/>
        </w:tabs>
        <w:ind w:left="0" w:firstLine="0"/>
        <w:jc w:val="both"/>
      </w:pPr>
      <w:r>
        <w:t xml:space="preserve">Given that the 1906 Act required that the giving be made corruptly, Lord Thomas said: </w:t>
      </w:r>
    </w:p>
    <w:p w:rsidR="00A45188" w:rsidRPr="00A45188" w:rsidRDefault="00A45188" w:rsidP="00A45188">
      <w:pPr>
        <w:tabs>
          <w:tab w:val="left" w:pos="1530"/>
        </w:tabs>
        <w:spacing w:before="120"/>
        <w:ind w:left="720" w:right="117"/>
        <w:jc w:val="both"/>
        <w:rPr>
          <w:b/>
          <w:sz w:val="24"/>
        </w:rPr>
      </w:pPr>
      <w:r w:rsidRPr="00A45188">
        <w:rPr>
          <w:sz w:val="24"/>
        </w:rPr>
        <w:t>“28.</w:t>
      </w:r>
      <w:r w:rsidRPr="00A45188">
        <w:rPr>
          <w:sz w:val="24"/>
        </w:rPr>
        <w:tab/>
        <w:t>There might well be cases where the defendant who is a commercial agent avers that his principal knew of the payment as he had made full disclosure and gave his informed consent; or the defendant might aver that he honestly believed that the agent’s principal knew and gave his informed consent to the receipt of the payment by his agent. It would in such a case be necessary when deciding whether the payment was or was not made or received corruptly for the jury to consider that evidence. However, there is no requirement that the prosecution specifically prove the lack of knowledge and informed consent of the principal separately.”</w:t>
      </w:r>
    </w:p>
    <w:p w:rsidR="00A45188" w:rsidRPr="000A0679" w:rsidRDefault="00A45188" w:rsidP="00A45188">
      <w:pPr>
        <w:tabs>
          <w:tab w:val="left" w:pos="1530"/>
        </w:tabs>
        <w:spacing w:line="360" w:lineRule="auto"/>
        <w:ind w:left="720" w:right="720"/>
        <w:jc w:val="both"/>
        <w:rPr>
          <w:szCs w:val="28"/>
        </w:rPr>
      </w:pPr>
    </w:p>
    <w:p w:rsidR="00A45188" w:rsidRDefault="00A45188" w:rsidP="00A45188">
      <w:pPr>
        <w:pStyle w:val="Bob1"/>
        <w:tabs>
          <w:tab w:val="clear" w:pos="720"/>
          <w:tab w:val="left" w:pos="1440"/>
        </w:tabs>
        <w:ind w:left="0" w:firstLine="0"/>
        <w:jc w:val="both"/>
      </w:pPr>
      <w:r w:rsidRPr="007844AE">
        <w:t xml:space="preserve">Had the word corruptly been retained in Hong Kong, I would have concluded that on the facts of this case the payment did not fall within </w:t>
      </w:r>
      <w:r>
        <w:br/>
      </w:r>
      <w:r w:rsidRPr="007844AE">
        <w:t>s</w:t>
      </w:r>
      <w:r>
        <w:t xml:space="preserve"> </w:t>
      </w:r>
      <w:r w:rsidRPr="007844AE">
        <w:t xml:space="preserve">9. </w:t>
      </w:r>
      <w:r>
        <w:t xml:space="preserve"> </w:t>
      </w:r>
      <w:r w:rsidRPr="007844AE">
        <w:t xml:space="preserve">However, the word “corruptly” having been replaced, the payment being for a forbidden purpose, it </w:t>
      </w:r>
      <w:r>
        <w:t>f</w:t>
      </w:r>
      <w:r w:rsidRPr="007844AE">
        <w:t>ell within s</w:t>
      </w:r>
      <w:r>
        <w:t xml:space="preserve"> </w:t>
      </w:r>
      <w:r w:rsidRPr="007844AE">
        <w:t xml:space="preserve">9, and </w:t>
      </w:r>
      <w:r>
        <w:t>i</w:t>
      </w:r>
      <w:r w:rsidRPr="007844AE">
        <w:t>t is necessary to consider whether there was any reasonable excuse.</w:t>
      </w:r>
      <w:r w:rsidRPr="00E803EE">
        <w:t xml:space="preserve">  </w:t>
      </w:r>
      <w:r>
        <w:t xml:space="preserve">The Court of Appeal was of the view that there was no reasonable excuse.  </w:t>
      </w:r>
    </w:p>
    <w:p w:rsidR="00A45188" w:rsidRPr="00A45188" w:rsidRDefault="00A45188" w:rsidP="00A45188">
      <w:pPr>
        <w:pStyle w:val="Bob1"/>
        <w:tabs>
          <w:tab w:val="clear" w:pos="720"/>
          <w:tab w:val="left" w:pos="1440"/>
        </w:tabs>
        <w:ind w:left="0" w:firstLine="0"/>
        <w:jc w:val="both"/>
      </w:pPr>
      <w:r w:rsidRPr="00A45188">
        <w:rPr>
          <w:szCs w:val="28"/>
        </w:rPr>
        <w:lastRenderedPageBreak/>
        <w:t>In the second judgment of the Court of Appeal</w:t>
      </w:r>
      <w:r>
        <w:rPr>
          <w:rStyle w:val="FootnoteReference"/>
          <w:szCs w:val="28"/>
        </w:rPr>
        <w:footnoteReference w:id="106"/>
      </w:r>
      <w:r w:rsidRPr="00A45188">
        <w:rPr>
          <w:szCs w:val="28"/>
        </w:rPr>
        <w:t xml:space="preserve"> it said at </w:t>
      </w:r>
      <w:r w:rsidRPr="00A45188">
        <w:rPr>
          <w:szCs w:val="28"/>
        </w:rPr>
        <w:br/>
        <w:t>para 88:</w:t>
      </w:r>
    </w:p>
    <w:p w:rsidR="00A45188" w:rsidRPr="00A45188" w:rsidRDefault="00A45188" w:rsidP="00A45188">
      <w:pPr>
        <w:tabs>
          <w:tab w:val="left" w:pos="1440"/>
        </w:tabs>
        <w:snapToGrid w:val="0"/>
        <w:spacing w:before="120"/>
        <w:ind w:left="720" w:right="-63"/>
        <w:jc w:val="both"/>
        <w:rPr>
          <w:sz w:val="24"/>
        </w:rPr>
      </w:pPr>
      <w:r w:rsidRPr="00A45188">
        <w:rPr>
          <w:sz w:val="24"/>
        </w:rPr>
        <w:t>“We agree that permission</w:t>
      </w:r>
      <w:r w:rsidRPr="00A45188">
        <w:rPr>
          <w:rStyle w:val="FootnoteReference"/>
          <w:sz w:val="24"/>
        </w:rPr>
        <w:footnoteReference w:id="107"/>
      </w:r>
      <w:r w:rsidRPr="00A45188">
        <w:rPr>
          <w:sz w:val="24"/>
        </w:rPr>
        <w:t xml:space="preserve"> and reasonable excuse are two separate defences provided for by the Ordinance.  We also agree that reasonable excuse is wider in scope than permission.” </w:t>
      </w:r>
    </w:p>
    <w:p w:rsidR="00A45188" w:rsidRPr="0021392C" w:rsidRDefault="00A45188" w:rsidP="00A45188">
      <w:pPr>
        <w:tabs>
          <w:tab w:val="left" w:pos="1260"/>
        </w:tabs>
        <w:snapToGrid w:val="0"/>
        <w:spacing w:line="360" w:lineRule="auto"/>
        <w:ind w:left="720" w:right="720"/>
        <w:jc w:val="both"/>
      </w:pPr>
    </w:p>
    <w:p w:rsidR="00A45188" w:rsidRDefault="00A45188" w:rsidP="00A45188">
      <w:pPr>
        <w:tabs>
          <w:tab w:val="left" w:pos="1260"/>
        </w:tabs>
        <w:spacing w:line="360" w:lineRule="auto"/>
        <w:jc w:val="both"/>
        <w:rPr>
          <w:szCs w:val="28"/>
        </w:rPr>
      </w:pPr>
      <w:r>
        <w:rPr>
          <w:szCs w:val="28"/>
        </w:rPr>
        <w:t xml:space="preserve">With respect, I agree. </w:t>
      </w:r>
    </w:p>
    <w:p w:rsidR="00A45188" w:rsidRDefault="00A45188" w:rsidP="00A45188">
      <w:pPr>
        <w:pStyle w:val="ListParagraph"/>
        <w:spacing w:line="360" w:lineRule="auto"/>
        <w:rPr>
          <w:sz w:val="28"/>
          <w:szCs w:val="28"/>
        </w:rPr>
      </w:pPr>
    </w:p>
    <w:p w:rsidR="00A45188" w:rsidRDefault="00A45188" w:rsidP="00A45188">
      <w:pPr>
        <w:pStyle w:val="Bob1"/>
        <w:tabs>
          <w:tab w:val="clear" w:pos="720"/>
          <w:tab w:val="left" w:pos="1440"/>
        </w:tabs>
        <w:ind w:left="0" w:firstLine="0"/>
        <w:jc w:val="both"/>
      </w:pPr>
      <w:r>
        <w:t xml:space="preserve">The Court of Appeal went on to say: </w:t>
      </w:r>
    </w:p>
    <w:p w:rsidR="00A45188" w:rsidRPr="00A45188" w:rsidRDefault="00A45188" w:rsidP="00A45188">
      <w:pPr>
        <w:tabs>
          <w:tab w:val="left" w:pos="1260"/>
        </w:tabs>
        <w:snapToGrid w:val="0"/>
        <w:spacing w:before="120"/>
        <w:ind w:left="720" w:right="-63"/>
        <w:jc w:val="both"/>
        <w:rPr>
          <w:sz w:val="24"/>
        </w:rPr>
      </w:pPr>
      <w:r w:rsidRPr="00A45188">
        <w:rPr>
          <w:sz w:val="24"/>
        </w:rPr>
        <w:t>“88.</w:t>
      </w:r>
      <w:r w:rsidRPr="00A45188">
        <w:rPr>
          <w:sz w:val="24"/>
        </w:rPr>
        <w:tab/>
        <w:t xml:space="preserve">… Under some circumstances, it is possible that an agent who does not have his principal’s permission but accepts an advantage which is related to his principal’s business can use reasonable excuse as his defence.  Take for example, an agent who has from time to time applied to his principal for permission to accept an advantage on account of his doing an act in relation to his principal’s business, and to whom the principal has always granted permission, will reasonably believe that under the same circumstances he can obtain his principal’s permission. However, on one occasion, when the agent applied for permission from his principal pursuant to section 9(5)(b) of the Ordinance after he accepted an advantage, his principal, without informing him of any change, suddenly, for no reason, refuses to give him permission. The agent cannot legitimize his acceptance of the advantage by the permission provided in the Ordinance, but it is highly likely that he can successfully convince the court that he has a reasonable excuse and thereby legitimizing his acceptance of the advantage.” </w:t>
      </w:r>
    </w:p>
    <w:p w:rsidR="00A45188" w:rsidRDefault="00A45188" w:rsidP="00A45188">
      <w:pPr>
        <w:tabs>
          <w:tab w:val="left" w:pos="1260"/>
        </w:tabs>
        <w:spacing w:line="360" w:lineRule="auto"/>
        <w:jc w:val="both"/>
        <w:rPr>
          <w:szCs w:val="28"/>
        </w:rPr>
      </w:pPr>
    </w:p>
    <w:p w:rsidR="00A45188" w:rsidRDefault="00A45188" w:rsidP="00A45188">
      <w:pPr>
        <w:pStyle w:val="Bob1"/>
        <w:tabs>
          <w:tab w:val="clear" w:pos="720"/>
          <w:tab w:val="left" w:pos="1440"/>
        </w:tabs>
        <w:ind w:left="0" w:firstLine="0"/>
        <w:jc w:val="both"/>
      </w:pPr>
      <w:r>
        <w:t>With respect, on these facts I feel sure that the defence of reasonable excuse has been established because they showed that the agent honestly believed that his principal would not object to his accepting the advantage.  In other words, he had the consent of his principal to accept the payment, the paradigm of a reasonable excuse.  In my view, that is precisely Chan’s position.  TVB accepted it knew that Chan would appear in the programme as a guest of OC.  On the evidence the inescapable conclusion was that Chan would be paid by OC through IEAP.</w:t>
      </w:r>
      <w:r>
        <w:rPr>
          <w:rStyle w:val="FootnoteReference"/>
          <w:szCs w:val="28"/>
        </w:rPr>
        <w:footnoteReference w:id="108"/>
      </w:r>
      <w:r>
        <w:t xml:space="preserve">  It is true that there was no evidence that TVB knew how much Chan </w:t>
      </w:r>
      <w:r>
        <w:lastRenderedPageBreak/>
        <w:t>would be paid by OC.  It was suggested that absent such knowledge there was no informed consent.  What constitutes a fully informed consent is a question of fact and “there is no precise formula which will determine all cases”.</w:t>
      </w:r>
      <w:r>
        <w:rPr>
          <w:rStyle w:val="FootnoteReference"/>
          <w:szCs w:val="28"/>
        </w:rPr>
        <w:footnoteReference w:id="109"/>
      </w:r>
      <w:r>
        <w:t xml:space="preserve">  In this case I do not believe it mattered.  On the facts TVB must be taken to have consented to Chan performing in the programme as OC’s guest and be paid for it.  The exact amount was of no consequence to TVB.</w:t>
      </w:r>
    </w:p>
    <w:p w:rsidR="00A45188" w:rsidRPr="00A45188" w:rsidRDefault="00A45188" w:rsidP="00A45188">
      <w:pPr>
        <w:pStyle w:val="Bob1"/>
        <w:tabs>
          <w:tab w:val="clear" w:pos="720"/>
          <w:tab w:val="left" w:pos="1440"/>
        </w:tabs>
        <w:ind w:left="0" w:firstLine="0"/>
        <w:jc w:val="both"/>
      </w:pPr>
      <w:r w:rsidRPr="00A45188">
        <w:rPr>
          <w:szCs w:val="28"/>
        </w:rPr>
        <w:t>For the above reasons, I am of the view that no offence was committed under s 9 because Chan had a reasonable excuse in appearing as OC’s guest and be paid for it.  It follows that both he and Tseng should be acquitted of all the charges relating to this incident.  I would allow their appeals.</w:t>
      </w:r>
    </w:p>
    <w:p w:rsidR="00492FF5" w:rsidRPr="00492FF5" w:rsidRDefault="00492FF5" w:rsidP="00C52C78">
      <w:pPr>
        <w:tabs>
          <w:tab w:val="left" w:pos="1260"/>
        </w:tabs>
        <w:spacing w:after="240" w:line="360" w:lineRule="auto"/>
        <w:jc w:val="both"/>
        <w:rPr>
          <w:b/>
        </w:rPr>
      </w:pPr>
      <w:r w:rsidRPr="00492FF5">
        <w:rPr>
          <w:b/>
        </w:rPr>
        <w:t xml:space="preserve">Mr Justice </w:t>
      </w:r>
      <w:proofErr w:type="spellStart"/>
      <w:r w:rsidRPr="00492FF5">
        <w:rPr>
          <w:b/>
        </w:rPr>
        <w:t>Fok</w:t>
      </w:r>
      <w:proofErr w:type="spellEnd"/>
      <w:r w:rsidRPr="00492FF5">
        <w:rPr>
          <w:b/>
        </w:rPr>
        <w:t xml:space="preserve"> PJ:</w:t>
      </w:r>
    </w:p>
    <w:p w:rsidR="00D03ADF" w:rsidRDefault="00D03ADF" w:rsidP="00D03ADF">
      <w:pPr>
        <w:pStyle w:val="Bob1"/>
        <w:tabs>
          <w:tab w:val="clear" w:pos="720"/>
          <w:tab w:val="left" w:pos="1440"/>
        </w:tabs>
        <w:ind w:left="0" w:firstLine="0"/>
        <w:jc w:val="both"/>
      </w:pPr>
      <w:r>
        <w:t xml:space="preserve">I have had the benefit of reading in draft the judgments of Ribeiro PJ and Tang PJ.  I agree with them in their respective conclusions that these appeals should be allowed.  </w:t>
      </w:r>
      <w:r w:rsidRPr="00742927">
        <w:t xml:space="preserve">As will be apparent, </w:t>
      </w:r>
      <w:r>
        <w:t>however</w:t>
      </w:r>
      <w:r w:rsidRPr="00742927">
        <w:t>, Ribeiro PJ arrives at his conclusion by a very different route to that of Tang PJ</w:t>
      </w:r>
      <w:r>
        <w:t xml:space="preserve"> and, for that reason, I add this short judgment to indicate my agreement with the reasoning of Ribeiro PJ and to explain my preference for his reasoning in arriving at the conclusion that the two appellants were not guilty of an offence under section 9 of the POBO</w:t>
      </w:r>
      <w:r w:rsidRPr="00742927">
        <w:t>.</w:t>
      </w:r>
    </w:p>
    <w:p w:rsidR="00D03ADF" w:rsidRPr="00D03ADF" w:rsidRDefault="00D03ADF" w:rsidP="00D03ADF">
      <w:pPr>
        <w:pStyle w:val="Bob1"/>
        <w:tabs>
          <w:tab w:val="clear" w:pos="720"/>
          <w:tab w:val="left" w:pos="1440"/>
        </w:tabs>
        <w:ind w:left="0" w:firstLine="0"/>
        <w:jc w:val="both"/>
      </w:pPr>
      <w:r w:rsidRPr="00D03ADF">
        <w:rPr>
          <w:szCs w:val="28"/>
        </w:rPr>
        <w:t xml:space="preserve">Ribeiro PJ’s analysis of the need, if guilt under section 9 is to be established, for there to be conduct </w:t>
      </w:r>
      <w:proofErr w:type="gramStart"/>
      <w:r w:rsidRPr="00D03ADF">
        <w:rPr>
          <w:szCs w:val="28"/>
        </w:rPr>
        <w:t>adverse</w:t>
      </w:r>
      <w:proofErr w:type="gramEnd"/>
      <w:r w:rsidRPr="00D03ADF">
        <w:rPr>
          <w:szCs w:val="28"/>
        </w:rPr>
        <w:t xml:space="preserve"> to the principal’s interests (Section H of his judgment) is, in my opinion, sound and consistent with the language of section 9 properly construed in accordance with its context and purpose.</w:t>
      </w:r>
    </w:p>
    <w:p w:rsidR="00D03ADF" w:rsidRPr="00D03ADF" w:rsidRDefault="00D03ADF" w:rsidP="00D03ADF">
      <w:pPr>
        <w:pStyle w:val="Bob1"/>
        <w:tabs>
          <w:tab w:val="clear" w:pos="720"/>
          <w:tab w:val="left" w:pos="1440"/>
        </w:tabs>
        <w:ind w:left="0" w:firstLine="0"/>
        <w:jc w:val="both"/>
      </w:pPr>
      <w:r w:rsidRPr="00D03ADF">
        <w:rPr>
          <w:szCs w:val="28"/>
        </w:rPr>
        <w:t>I do not, with respect, share the view of Tang PJ that the omission of the word “corruptly” in section 9 (which had previously been found in section 4 of the Preventi</w:t>
      </w:r>
      <w:r w:rsidR="00211B5B">
        <w:rPr>
          <w:szCs w:val="28"/>
        </w:rPr>
        <w:t>on of Bribery Ordinance (Cap.201</w:t>
      </w:r>
      <w:r w:rsidRPr="00D03ADF">
        <w:rPr>
          <w:szCs w:val="28"/>
        </w:rPr>
        <w:t xml:space="preserve">)) means that, for an offence </w:t>
      </w:r>
      <w:r w:rsidRPr="00D03ADF">
        <w:rPr>
          <w:szCs w:val="28"/>
        </w:rPr>
        <w:lastRenderedPageBreak/>
        <w:t>under section 9 to be made out, the prosecution need prove only a payment to an agent of which his principal does not know and to which he does not consent.</w:t>
      </w:r>
    </w:p>
    <w:p w:rsidR="00D03ADF" w:rsidRPr="00D03ADF" w:rsidRDefault="00D03ADF" w:rsidP="00D03ADF">
      <w:pPr>
        <w:pStyle w:val="Bob1"/>
        <w:tabs>
          <w:tab w:val="clear" w:pos="720"/>
          <w:tab w:val="left" w:pos="1440"/>
        </w:tabs>
        <w:ind w:left="0" w:firstLine="0"/>
        <w:jc w:val="both"/>
      </w:pPr>
      <w:r w:rsidRPr="00D03ADF">
        <w:rPr>
          <w:szCs w:val="28"/>
        </w:rPr>
        <w:t>The section does not, in my view, criminalise any and all payments of money by a third party to an agent made without the principal’s knowledge and consent.  If it had been intended to cast the offence in such wide terms (and they would be very wide indeed), section 9 would have been very differently and much more simply worded.</w:t>
      </w:r>
    </w:p>
    <w:p w:rsidR="00D03ADF" w:rsidRPr="00D03ADF" w:rsidRDefault="00D03ADF" w:rsidP="00D03ADF">
      <w:pPr>
        <w:pStyle w:val="Bob1"/>
        <w:tabs>
          <w:tab w:val="clear" w:pos="720"/>
          <w:tab w:val="left" w:pos="1440"/>
        </w:tabs>
        <w:ind w:left="0" w:firstLine="0"/>
        <w:jc w:val="both"/>
      </w:pPr>
      <w:r w:rsidRPr="00D03ADF">
        <w:rPr>
          <w:szCs w:val="28"/>
        </w:rPr>
        <w:t>Instead, the Legislature required that the advantage solicited, accepted or offered must have been as “an inducement to or reward for” the agent’s doing (or forbearing to do) an act “in relation to his principal’s affairs or business” (in sub-sections 9(1)(a) and 9(2)(a)) or showing or forbearing to show “favour or disfavour” to someone “in relation to his principal’s affairs or business” (in sub-sections 9(1)(b) and 9(2)(b)).  The words “inducement” and “reward” require the advantage solicited, accepted or offered be invested with some quality of purpose.  This is reinforced by the use of the words “favour” and “disfavour” in sub-sections 9(1)(b) and 9(2)(b).</w:t>
      </w:r>
    </w:p>
    <w:p w:rsidR="00D03ADF" w:rsidRPr="00D03ADF" w:rsidRDefault="00D03ADF" w:rsidP="00D03ADF">
      <w:pPr>
        <w:pStyle w:val="Bob1"/>
        <w:tabs>
          <w:tab w:val="clear" w:pos="720"/>
          <w:tab w:val="left" w:pos="1440"/>
        </w:tabs>
        <w:ind w:left="0" w:firstLine="0"/>
        <w:jc w:val="both"/>
      </w:pPr>
      <w:r w:rsidRPr="00D03ADF">
        <w:rPr>
          <w:szCs w:val="28"/>
        </w:rPr>
        <w:t>Likewise, the Legislature required that the advantage be “in relation to his principal’s affairs or business”.  Section 9 is not the private sector mirror image of the section 4 offence.  The offence in the latter section is established on proof of an advantage solicited or accepted by a public servant for an act “in his capacity as a public servant”.  It is the nature of the act performed (or not) as a public servant in return for the advantage that invests the advantage with its criminality.  In contrast, for section 9, it is not enough that the advantage is solicited or accepted by the agent in his capacity as such.  It must additionally be “in relation to his principal’s affairs or business”.</w:t>
      </w:r>
    </w:p>
    <w:p w:rsidR="00D03ADF" w:rsidRPr="00D03ADF" w:rsidRDefault="00D03ADF" w:rsidP="00D03ADF">
      <w:pPr>
        <w:pStyle w:val="Bob1"/>
        <w:tabs>
          <w:tab w:val="clear" w:pos="720"/>
          <w:tab w:val="left" w:pos="1440"/>
        </w:tabs>
        <w:ind w:left="0" w:firstLine="0"/>
        <w:jc w:val="both"/>
      </w:pPr>
      <w:r w:rsidRPr="00D03ADF">
        <w:rPr>
          <w:szCs w:val="28"/>
        </w:rPr>
        <w:t xml:space="preserve">Those words in section 9 are critical.  They were construed by Lord Lloyd of Berwick in </w:t>
      </w:r>
      <w:r w:rsidRPr="00D03ADF">
        <w:rPr>
          <w:i/>
          <w:szCs w:val="28"/>
        </w:rPr>
        <w:t xml:space="preserve">Commissioner of the ICAC v </w:t>
      </w:r>
      <w:proofErr w:type="spellStart"/>
      <w:r w:rsidRPr="00D03ADF">
        <w:rPr>
          <w:i/>
          <w:szCs w:val="28"/>
        </w:rPr>
        <w:t>Ch’ng</w:t>
      </w:r>
      <w:proofErr w:type="spellEnd"/>
      <w:r w:rsidRPr="00D03ADF">
        <w:rPr>
          <w:i/>
          <w:szCs w:val="28"/>
        </w:rPr>
        <w:t xml:space="preserve"> </w:t>
      </w:r>
      <w:proofErr w:type="spellStart"/>
      <w:r w:rsidRPr="00D03ADF">
        <w:rPr>
          <w:i/>
          <w:szCs w:val="28"/>
        </w:rPr>
        <w:t>Poh</w:t>
      </w:r>
      <w:proofErr w:type="spellEnd"/>
      <w:r w:rsidRPr="00D03ADF">
        <w:rPr>
          <w:szCs w:val="28"/>
        </w:rPr>
        <w:t xml:space="preserve"> [1997] HKLRD</w:t>
      </w:r>
      <w:r w:rsidR="00C52C78">
        <w:rPr>
          <w:szCs w:val="28"/>
        </w:rPr>
        <w:t> </w:t>
      </w:r>
      <w:r w:rsidRPr="00D03ADF">
        <w:rPr>
          <w:szCs w:val="28"/>
        </w:rPr>
        <w:t xml:space="preserve">652 </w:t>
      </w:r>
      <w:r w:rsidRPr="00D03ADF">
        <w:rPr>
          <w:szCs w:val="28"/>
        </w:rPr>
        <w:lastRenderedPageBreak/>
        <w:t>at pp.656-657 as meaning that the action or forbearance of the agent must have been intended to “influence or affect the principal’s affairs” and be “aimed at the principal”.  It would be surprising, to say the least, for Lord Lloyd to have expressed himself as he did if he thought that those words simply meant that the payment must be “related to” the principal’s affairs or business in the broad sense urged by the prosecution in these appeals.</w:t>
      </w:r>
    </w:p>
    <w:p w:rsidR="00D03ADF" w:rsidRPr="00D03ADF" w:rsidRDefault="00D03ADF" w:rsidP="00D03ADF">
      <w:pPr>
        <w:pStyle w:val="Bob1"/>
        <w:tabs>
          <w:tab w:val="clear" w:pos="720"/>
          <w:tab w:val="left" w:pos="1440"/>
        </w:tabs>
        <w:ind w:left="0" w:firstLine="0"/>
        <w:jc w:val="both"/>
      </w:pPr>
      <w:r w:rsidRPr="00D03ADF">
        <w:rPr>
          <w:szCs w:val="28"/>
        </w:rPr>
        <w:t>I do not therefore agree that the Attorney General’s statement that “the Crown will need to prove only a payment to the … agent” is a correct or complete statement of the elements of the offence under section 9.  It is unlikely that this was his intention given the language of section 9 as a whole.  Rather that statement, seen in context, was commenting on the wording of the then proposed section 9 “[a]s … now drafted” and addressing the concern he expressed as to what the Crown would have to establish “before an accused had a case to answer”.  Removing the word “corruptly” from section 9 did not mean that there was no need for a qualitative assessment of the payment and, on its wording, the section clearly requires an examination of the nature, purpose and context of the payment.  This is referred to, in Tang PJ’s judgment, as “a forbidden purpose”.  I respectfully agree with the need for there to be such a “forbidden purpose” and the real debate in these appeals has been directed to the search for a proper definition of that prohibited purpose.</w:t>
      </w:r>
    </w:p>
    <w:p w:rsidR="00D03ADF" w:rsidRPr="00D03ADF" w:rsidRDefault="00D03ADF" w:rsidP="00D03ADF">
      <w:pPr>
        <w:pStyle w:val="Bob1"/>
        <w:tabs>
          <w:tab w:val="clear" w:pos="720"/>
          <w:tab w:val="left" w:pos="1440"/>
        </w:tabs>
        <w:ind w:left="0" w:firstLine="0"/>
        <w:jc w:val="both"/>
      </w:pPr>
      <w:r w:rsidRPr="00D03ADF">
        <w:rPr>
          <w:szCs w:val="28"/>
        </w:rPr>
        <w:t xml:space="preserve">In my </w:t>
      </w:r>
      <w:r>
        <w:rPr>
          <w:szCs w:val="28"/>
        </w:rPr>
        <w:t>view, that definition is to be found in Sections H and I of the judgment of Ribeiro PJ</w:t>
      </w:r>
      <w:r w:rsidRPr="00D03ADF">
        <w:rPr>
          <w:szCs w:val="28"/>
        </w:rPr>
        <w:t>.</w:t>
      </w:r>
      <w:r>
        <w:rPr>
          <w:szCs w:val="28"/>
        </w:rPr>
        <w:t xml:space="preserve">  </w:t>
      </w:r>
      <w:r>
        <w:rPr>
          <w:rFonts w:eastAsia="PMingLiU"/>
          <w:szCs w:val="28"/>
          <w:lang w:eastAsia="zh-TW"/>
        </w:rPr>
        <w:t>I also agree in all other respects with that judgment.</w:t>
      </w:r>
    </w:p>
    <w:p w:rsidR="00492FF5" w:rsidRPr="00492FF5" w:rsidRDefault="00492FF5" w:rsidP="00D03ADF">
      <w:pPr>
        <w:pStyle w:val="Bob1"/>
        <w:numPr>
          <w:ilvl w:val="0"/>
          <w:numId w:val="0"/>
        </w:numPr>
        <w:tabs>
          <w:tab w:val="left" w:pos="1440"/>
        </w:tabs>
        <w:jc w:val="both"/>
        <w:rPr>
          <w:b/>
        </w:rPr>
      </w:pPr>
      <w:r w:rsidRPr="00492FF5">
        <w:rPr>
          <w:b/>
        </w:rPr>
        <w:t>Mr Justice Stock NPJ:</w:t>
      </w:r>
    </w:p>
    <w:p w:rsidR="00492FF5" w:rsidRDefault="00D03ADF" w:rsidP="00492FF5">
      <w:pPr>
        <w:pStyle w:val="Bob1"/>
        <w:tabs>
          <w:tab w:val="clear" w:pos="720"/>
          <w:tab w:val="num" w:pos="1440"/>
        </w:tabs>
        <w:ind w:left="0" w:firstLine="0"/>
        <w:jc w:val="both"/>
      </w:pPr>
      <w:r>
        <w:t xml:space="preserve">I agree with the judgments of Mr Justice Ribeiro PJ and Mr Justice </w:t>
      </w:r>
      <w:proofErr w:type="spellStart"/>
      <w:r>
        <w:t>Fok</w:t>
      </w:r>
      <w:proofErr w:type="spellEnd"/>
      <w:r>
        <w:t xml:space="preserve"> PJ.</w:t>
      </w:r>
    </w:p>
    <w:p w:rsidR="00C52C78" w:rsidRDefault="00C52C78">
      <w:pPr>
        <w:spacing w:after="200" w:line="276" w:lineRule="auto"/>
        <w:rPr>
          <w:rFonts w:eastAsiaTheme="minorEastAsia"/>
          <w:b/>
          <w:lang w:eastAsia="zh-CN"/>
        </w:rPr>
      </w:pPr>
      <w:r>
        <w:rPr>
          <w:b/>
        </w:rPr>
        <w:br w:type="page"/>
      </w:r>
    </w:p>
    <w:p w:rsidR="00492FF5" w:rsidRPr="00492FF5" w:rsidRDefault="00492FF5" w:rsidP="00492FF5">
      <w:pPr>
        <w:pStyle w:val="Bob1"/>
        <w:numPr>
          <w:ilvl w:val="0"/>
          <w:numId w:val="0"/>
        </w:numPr>
        <w:tabs>
          <w:tab w:val="left" w:pos="1440"/>
        </w:tabs>
        <w:jc w:val="both"/>
        <w:rPr>
          <w:b/>
        </w:rPr>
      </w:pPr>
      <w:r w:rsidRPr="00492FF5">
        <w:rPr>
          <w:b/>
        </w:rPr>
        <w:lastRenderedPageBreak/>
        <w:t>Lord Walker NPJ:</w:t>
      </w:r>
    </w:p>
    <w:p w:rsidR="00492FF5" w:rsidRDefault="00D03ADF" w:rsidP="00492FF5">
      <w:pPr>
        <w:pStyle w:val="Bob1"/>
        <w:tabs>
          <w:tab w:val="clear" w:pos="720"/>
          <w:tab w:val="left" w:pos="1440"/>
        </w:tabs>
        <w:ind w:left="0" w:firstLine="0"/>
        <w:jc w:val="both"/>
      </w:pPr>
      <w:r>
        <w:t xml:space="preserve">I agree with the judgments of Mr Justice Ribeiro PJ and Mr Justice </w:t>
      </w:r>
      <w:proofErr w:type="spellStart"/>
      <w:r>
        <w:t>Fok</w:t>
      </w:r>
      <w:proofErr w:type="spellEnd"/>
      <w:r>
        <w:t xml:space="preserve"> PJ.</w:t>
      </w:r>
    </w:p>
    <w:p w:rsidR="00492FF5" w:rsidRPr="00492FF5" w:rsidRDefault="00492FF5" w:rsidP="00492FF5">
      <w:pPr>
        <w:pStyle w:val="Bob1"/>
        <w:numPr>
          <w:ilvl w:val="0"/>
          <w:numId w:val="0"/>
        </w:numPr>
        <w:tabs>
          <w:tab w:val="left" w:pos="1440"/>
        </w:tabs>
        <w:jc w:val="both"/>
        <w:rPr>
          <w:b/>
        </w:rPr>
      </w:pPr>
      <w:r w:rsidRPr="00492FF5">
        <w:rPr>
          <w:b/>
        </w:rPr>
        <w:t>Mr Justice Ribeiro PJ:</w:t>
      </w:r>
    </w:p>
    <w:p w:rsidR="00A6642F" w:rsidRPr="00A6642F" w:rsidRDefault="00A6642F" w:rsidP="00A6642F">
      <w:pPr>
        <w:pStyle w:val="Bob1"/>
        <w:tabs>
          <w:tab w:val="clear" w:pos="720"/>
          <w:tab w:val="num" w:pos="1440"/>
        </w:tabs>
        <w:ind w:left="0" w:firstLine="0"/>
        <w:jc w:val="both"/>
      </w:pPr>
      <w:r w:rsidRPr="00A6642F">
        <w:t>The appeals are unanimously allowed and the appellants’ convictions are quashed.  Any submissions as to costs should be lodged within 21 days of the date of the handing down of this judgment with any submissions in reply to be lodged within 14 days thereafter.</w:t>
      </w:r>
    </w:p>
    <w:p w:rsidR="00525C4D" w:rsidRDefault="00525C4D" w:rsidP="00525C4D">
      <w:pPr>
        <w:pStyle w:val="BodyTextIndent"/>
        <w:tabs>
          <w:tab w:val="left" w:pos="0"/>
          <w:tab w:val="left" w:pos="540"/>
          <w:tab w:val="left" w:pos="9000"/>
        </w:tabs>
        <w:ind w:left="0" w:right="118"/>
        <w:rPr>
          <w:szCs w:val="28"/>
        </w:rPr>
      </w:pPr>
    </w:p>
    <w:p w:rsidR="00667D4E" w:rsidRDefault="00667D4E" w:rsidP="00667D4E">
      <w:pPr>
        <w:rPr>
          <w:szCs w:val="28"/>
        </w:rPr>
      </w:pPr>
    </w:p>
    <w:p w:rsidR="00492FF5" w:rsidRDefault="00492FF5" w:rsidP="00667D4E">
      <w:pPr>
        <w:rPr>
          <w:szCs w:val="28"/>
        </w:rPr>
      </w:pPr>
    </w:p>
    <w:p w:rsidR="00492FF5" w:rsidRPr="00013FD3" w:rsidRDefault="00492FF5" w:rsidP="00667D4E">
      <w:pPr>
        <w:rPr>
          <w:szCs w:val="28"/>
        </w:rPr>
      </w:pPr>
    </w:p>
    <w:tbl>
      <w:tblPr>
        <w:tblW w:w="0" w:type="auto"/>
        <w:jc w:val="center"/>
        <w:tblLook w:val="0000" w:firstRow="0" w:lastRow="0" w:firstColumn="0" w:lastColumn="0" w:noHBand="0" w:noVBand="0"/>
      </w:tblPr>
      <w:tblGrid>
        <w:gridCol w:w="2952"/>
        <w:gridCol w:w="2952"/>
        <w:gridCol w:w="2952"/>
      </w:tblGrid>
      <w:tr w:rsidR="00667D4E" w:rsidRPr="00013FD3" w:rsidTr="00284B4B">
        <w:trPr>
          <w:jc w:val="center"/>
        </w:trPr>
        <w:tc>
          <w:tcPr>
            <w:tcW w:w="2952" w:type="dxa"/>
          </w:tcPr>
          <w:p w:rsidR="00667D4E" w:rsidRPr="00013FD3" w:rsidRDefault="00667D4E" w:rsidP="00284B4B">
            <w:pPr>
              <w:tabs>
                <w:tab w:val="left" w:pos="6660"/>
              </w:tabs>
              <w:jc w:val="center"/>
              <w:rPr>
                <w:szCs w:val="28"/>
              </w:rPr>
            </w:pPr>
            <w:r w:rsidRPr="00013FD3">
              <w:rPr>
                <w:rFonts w:hint="eastAsia"/>
                <w:szCs w:val="28"/>
              </w:rPr>
              <w:t>(R A V Ribeiro)</w:t>
            </w:r>
          </w:p>
          <w:p w:rsidR="00667D4E" w:rsidRPr="00013FD3" w:rsidRDefault="00667D4E" w:rsidP="00284B4B">
            <w:pPr>
              <w:tabs>
                <w:tab w:val="left" w:pos="6660"/>
              </w:tabs>
              <w:jc w:val="center"/>
              <w:rPr>
                <w:szCs w:val="28"/>
              </w:rPr>
            </w:pPr>
            <w:r w:rsidRPr="00013FD3">
              <w:rPr>
                <w:rFonts w:hint="eastAsia"/>
                <w:szCs w:val="28"/>
              </w:rPr>
              <w:t>Permanent Judge</w:t>
            </w:r>
          </w:p>
        </w:tc>
        <w:tc>
          <w:tcPr>
            <w:tcW w:w="2952" w:type="dxa"/>
          </w:tcPr>
          <w:p w:rsidR="00667D4E" w:rsidRPr="00013FD3" w:rsidRDefault="00667D4E" w:rsidP="00284B4B">
            <w:pPr>
              <w:tabs>
                <w:tab w:val="left" w:pos="6660"/>
              </w:tabs>
              <w:jc w:val="center"/>
              <w:rPr>
                <w:szCs w:val="28"/>
              </w:rPr>
            </w:pPr>
            <w:r w:rsidRPr="00013FD3">
              <w:rPr>
                <w:rFonts w:hint="eastAsia"/>
                <w:szCs w:val="28"/>
              </w:rPr>
              <w:t>(Robert Tang)</w:t>
            </w:r>
          </w:p>
          <w:p w:rsidR="00667D4E" w:rsidRPr="00013FD3" w:rsidRDefault="00667D4E" w:rsidP="00284B4B">
            <w:pPr>
              <w:tabs>
                <w:tab w:val="left" w:pos="6660"/>
              </w:tabs>
              <w:jc w:val="center"/>
              <w:rPr>
                <w:szCs w:val="28"/>
              </w:rPr>
            </w:pPr>
            <w:r w:rsidRPr="00013FD3">
              <w:rPr>
                <w:rFonts w:hint="eastAsia"/>
                <w:szCs w:val="28"/>
              </w:rPr>
              <w:t>Permanent Judge</w:t>
            </w:r>
          </w:p>
        </w:tc>
        <w:tc>
          <w:tcPr>
            <w:tcW w:w="2952" w:type="dxa"/>
          </w:tcPr>
          <w:p w:rsidR="00667D4E" w:rsidRPr="00013FD3" w:rsidRDefault="00667D4E" w:rsidP="00284B4B">
            <w:pPr>
              <w:jc w:val="center"/>
              <w:rPr>
                <w:szCs w:val="28"/>
              </w:rPr>
            </w:pPr>
            <w:r w:rsidRPr="00013FD3">
              <w:rPr>
                <w:rFonts w:hint="eastAsia"/>
                <w:szCs w:val="28"/>
              </w:rPr>
              <w:t xml:space="preserve">(Joseph </w:t>
            </w:r>
            <w:proofErr w:type="spellStart"/>
            <w:r w:rsidRPr="00013FD3">
              <w:rPr>
                <w:rFonts w:hint="eastAsia"/>
                <w:szCs w:val="28"/>
              </w:rPr>
              <w:t>Fok</w:t>
            </w:r>
            <w:proofErr w:type="spellEnd"/>
            <w:r w:rsidRPr="00013FD3">
              <w:rPr>
                <w:rFonts w:hint="eastAsia"/>
                <w:szCs w:val="28"/>
              </w:rPr>
              <w:t>)</w:t>
            </w:r>
          </w:p>
          <w:p w:rsidR="00667D4E" w:rsidRPr="00013FD3" w:rsidRDefault="00667D4E" w:rsidP="00284B4B">
            <w:pPr>
              <w:tabs>
                <w:tab w:val="left" w:pos="6660"/>
              </w:tabs>
              <w:jc w:val="center"/>
              <w:rPr>
                <w:szCs w:val="28"/>
              </w:rPr>
            </w:pPr>
            <w:r w:rsidRPr="00013FD3">
              <w:rPr>
                <w:rFonts w:hint="eastAsia"/>
                <w:szCs w:val="28"/>
              </w:rPr>
              <w:t>Permanent Judge</w:t>
            </w:r>
          </w:p>
        </w:tc>
      </w:tr>
    </w:tbl>
    <w:p w:rsidR="00667D4E" w:rsidRPr="00013FD3" w:rsidRDefault="00667D4E" w:rsidP="00667D4E">
      <w:pPr>
        <w:rPr>
          <w:szCs w:val="28"/>
        </w:rPr>
      </w:pPr>
    </w:p>
    <w:p w:rsidR="00667D4E" w:rsidRPr="00013FD3" w:rsidRDefault="00667D4E" w:rsidP="00667D4E">
      <w:pPr>
        <w:rPr>
          <w:szCs w:val="28"/>
        </w:rPr>
      </w:pPr>
    </w:p>
    <w:p w:rsidR="00667D4E" w:rsidRPr="00013FD3" w:rsidRDefault="00667D4E" w:rsidP="00667D4E">
      <w:pPr>
        <w:rPr>
          <w:szCs w:val="28"/>
        </w:rPr>
      </w:pPr>
    </w:p>
    <w:p w:rsidR="00667D4E" w:rsidRPr="00013FD3" w:rsidRDefault="00667D4E" w:rsidP="00667D4E">
      <w:pPr>
        <w:rPr>
          <w:szCs w:val="28"/>
        </w:rPr>
      </w:pPr>
    </w:p>
    <w:p w:rsidR="00667D4E" w:rsidRPr="00013FD3" w:rsidRDefault="00667D4E" w:rsidP="00667D4E">
      <w:pPr>
        <w:rPr>
          <w:szCs w:val="28"/>
        </w:rPr>
      </w:pPr>
    </w:p>
    <w:tbl>
      <w:tblPr>
        <w:tblW w:w="0" w:type="auto"/>
        <w:tblLook w:val="0000" w:firstRow="0" w:lastRow="0" w:firstColumn="0" w:lastColumn="0" w:noHBand="0" w:noVBand="0"/>
      </w:tblPr>
      <w:tblGrid>
        <w:gridCol w:w="4428"/>
        <w:gridCol w:w="4428"/>
      </w:tblGrid>
      <w:tr w:rsidR="00667D4E" w:rsidRPr="00013FD3" w:rsidTr="00284B4B">
        <w:tc>
          <w:tcPr>
            <w:tcW w:w="4428" w:type="dxa"/>
          </w:tcPr>
          <w:p w:rsidR="00667D4E" w:rsidRPr="00013FD3" w:rsidRDefault="00667D4E" w:rsidP="00284B4B">
            <w:pPr>
              <w:jc w:val="center"/>
              <w:rPr>
                <w:szCs w:val="28"/>
              </w:rPr>
            </w:pPr>
            <w:r w:rsidRPr="00013FD3">
              <w:rPr>
                <w:rFonts w:hint="eastAsia"/>
                <w:szCs w:val="28"/>
              </w:rPr>
              <w:t>(</w:t>
            </w:r>
            <w:r>
              <w:rPr>
                <w:lang w:eastAsia="zh-CN"/>
              </w:rPr>
              <w:t>Frank Stock</w:t>
            </w:r>
            <w:r w:rsidRPr="00013FD3">
              <w:rPr>
                <w:rFonts w:hint="eastAsia"/>
                <w:szCs w:val="28"/>
              </w:rPr>
              <w:t>)</w:t>
            </w:r>
          </w:p>
          <w:p w:rsidR="00667D4E" w:rsidRPr="00013FD3" w:rsidRDefault="00667D4E" w:rsidP="00284B4B">
            <w:pPr>
              <w:jc w:val="center"/>
              <w:rPr>
                <w:szCs w:val="28"/>
              </w:rPr>
            </w:pPr>
            <w:r w:rsidRPr="00013FD3">
              <w:rPr>
                <w:rFonts w:hint="eastAsia"/>
                <w:szCs w:val="28"/>
              </w:rPr>
              <w:t>Non-Permanent Judge</w:t>
            </w:r>
          </w:p>
        </w:tc>
        <w:tc>
          <w:tcPr>
            <w:tcW w:w="4428" w:type="dxa"/>
          </w:tcPr>
          <w:p w:rsidR="00667D4E" w:rsidRPr="00013FD3" w:rsidRDefault="00667D4E" w:rsidP="00284B4B">
            <w:pPr>
              <w:jc w:val="center"/>
              <w:rPr>
                <w:szCs w:val="28"/>
              </w:rPr>
            </w:pPr>
            <w:r w:rsidRPr="00013FD3">
              <w:rPr>
                <w:rFonts w:hint="eastAsia"/>
                <w:szCs w:val="28"/>
              </w:rPr>
              <w:t>(</w:t>
            </w:r>
            <w:r>
              <w:rPr>
                <w:rFonts w:hint="eastAsia"/>
                <w:lang w:eastAsia="zh-CN"/>
              </w:rPr>
              <w:t xml:space="preserve">Lord Walker of </w:t>
            </w:r>
            <w:proofErr w:type="spellStart"/>
            <w:r>
              <w:rPr>
                <w:rFonts w:hint="eastAsia"/>
                <w:lang w:eastAsia="zh-CN"/>
              </w:rPr>
              <w:t>Gestingthorpe</w:t>
            </w:r>
            <w:proofErr w:type="spellEnd"/>
            <w:r w:rsidRPr="00013FD3">
              <w:rPr>
                <w:rFonts w:hint="eastAsia"/>
                <w:szCs w:val="28"/>
              </w:rPr>
              <w:t>)</w:t>
            </w:r>
          </w:p>
          <w:p w:rsidR="00667D4E" w:rsidRPr="00013FD3" w:rsidRDefault="00667D4E" w:rsidP="00284B4B">
            <w:pPr>
              <w:jc w:val="center"/>
              <w:rPr>
                <w:szCs w:val="28"/>
              </w:rPr>
            </w:pPr>
            <w:r w:rsidRPr="00013FD3">
              <w:rPr>
                <w:rFonts w:hint="eastAsia"/>
                <w:szCs w:val="28"/>
              </w:rPr>
              <w:t>Non-Permanent Judge</w:t>
            </w:r>
          </w:p>
        </w:tc>
      </w:tr>
    </w:tbl>
    <w:p w:rsidR="00667D4E" w:rsidRPr="00013FD3" w:rsidRDefault="00667D4E" w:rsidP="00667D4E">
      <w:pPr>
        <w:pStyle w:val="Bob1"/>
        <w:numPr>
          <w:ilvl w:val="0"/>
          <w:numId w:val="0"/>
        </w:numPr>
        <w:spacing w:after="0" w:line="240" w:lineRule="auto"/>
        <w:rPr>
          <w:szCs w:val="28"/>
        </w:rPr>
      </w:pPr>
    </w:p>
    <w:p w:rsidR="00667D4E" w:rsidRDefault="00667D4E" w:rsidP="00667D4E">
      <w:pPr>
        <w:pStyle w:val="Bob1"/>
        <w:numPr>
          <w:ilvl w:val="0"/>
          <w:numId w:val="0"/>
        </w:numPr>
        <w:spacing w:after="0" w:line="240" w:lineRule="auto"/>
        <w:ind w:left="720" w:hanging="720"/>
        <w:jc w:val="both"/>
        <w:rPr>
          <w:szCs w:val="28"/>
        </w:rPr>
      </w:pPr>
    </w:p>
    <w:p w:rsidR="00667D4E" w:rsidRPr="004F542E" w:rsidRDefault="00667D4E" w:rsidP="00492FF5">
      <w:pPr>
        <w:pStyle w:val="Bob1"/>
        <w:numPr>
          <w:ilvl w:val="0"/>
          <w:numId w:val="0"/>
        </w:numPr>
        <w:spacing w:after="0" w:line="240" w:lineRule="auto"/>
        <w:jc w:val="both"/>
        <w:rPr>
          <w:szCs w:val="28"/>
          <w:lang w:val="en-US"/>
        </w:rPr>
      </w:pPr>
      <w:r>
        <w:rPr>
          <w:szCs w:val="28"/>
        </w:rPr>
        <w:t>Mr</w:t>
      </w:r>
      <w:r w:rsidRPr="004F542E">
        <w:rPr>
          <w:szCs w:val="28"/>
        </w:rPr>
        <w:t xml:space="preserve"> </w:t>
      </w:r>
      <w:r>
        <w:rPr>
          <w:szCs w:val="28"/>
        </w:rPr>
        <w:t xml:space="preserve">Joseph </w:t>
      </w:r>
      <w:proofErr w:type="spellStart"/>
      <w:r>
        <w:rPr>
          <w:szCs w:val="28"/>
        </w:rPr>
        <w:t>Tse</w:t>
      </w:r>
      <w:proofErr w:type="spellEnd"/>
      <w:r>
        <w:rPr>
          <w:szCs w:val="28"/>
        </w:rPr>
        <w:t xml:space="preserve"> S</w:t>
      </w:r>
      <w:r w:rsidRPr="004F542E">
        <w:rPr>
          <w:szCs w:val="28"/>
        </w:rPr>
        <w:t xml:space="preserve">C, Mr </w:t>
      </w:r>
      <w:r>
        <w:rPr>
          <w:szCs w:val="28"/>
        </w:rPr>
        <w:t>Charles J. Chan</w:t>
      </w:r>
      <w:r w:rsidRPr="004F542E">
        <w:rPr>
          <w:szCs w:val="28"/>
        </w:rPr>
        <w:t xml:space="preserve"> and Mr </w:t>
      </w:r>
      <w:r>
        <w:rPr>
          <w:szCs w:val="28"/>
        </w:rPr>
        <w:t>Byron C.Y. Tsang</w:t>
      </w:r>
      <w:r w:rsidRPr="004F542E">
        <w:rPr>
          <w:szCs w:val="28"/>
        </w:rPr>
        <w:t xml:space="preserve">, instructed by </w:t>
      </w:r>
      <w:r>
        <w:rPr>
          <w:szCs w:val="28"/>
        </w:rPr>
        <w:t>Ivan Tang</w:t>
      </w:r>
      <w:r w:rsidRPr="004F542E">
        <w:rPr>
          <w:szCs w:val="28"/>
        </w:rPr>
        <w:t xml:space="preserve"> &amp; Co., for the Appellant in FACC </w:t>
      </w:r>
      <w:r>
        <w:rPr>
          <w:szCs w:val="28"/>
        </w:rPr>
        <w:t>11</w:t>
      </w:r>
      <w:r w:rsidRPr="004F542E">
        <w:rPr>
          <w:szCs w:val="28"/>
        </w:rPr>
        <w:t>/201</w:t>
      </w:r>
      <w:r>
        <w:rPr>
          <w:szCs w:val="28"/>
        </w:rPr>
        <w:t>6</w:t>
      </w:r>
    </w:p>
    <w:p w:rsidR="00667D4E" w:rsidRPr="004F542E" w:rsidRDefault="00667D4E" w:rsidP="00492FF5">
      <w:pPr>
        <w:pStyle w:val="Bob1"/>
        <w:numPr>
          <w:ilvl w:val="0"/>
          <w:numId w:val="0"/>
        </w:numPr>
        <w:spacing w:after="0" w:line="240" w:lineRule="auto"/>
        <w:jc w:val="both"/>
        <w:rPr>
          <w:szCs w:val="28"/>
          <w:lang w:val="en-US"/>
        </w:rPr>
      </w:pPr>
    </w:p>
    <w:p w:rsidR="00667D4E" w:rsidRPr="004F542E" w:rsidRDefault="00667D4E" w:rsidP="00492FF5">
      <w:pPr>
        <w:widowControl w:val="0"/>
        <w:autoSpaceDE w:val="0"/>
        <w:autoSpaceDN w:val="0"/>
        <w:adjustRightInd w:val="0"/>
        <w:jc w:val="both"/>
        <w:rPr>
          <w:b/>
          <w:bCs/>
          <w:szCs w:val="28"/>
        </w:rPr>
      </w:pPr>
      <w:r>
        <w:rPr>
          <w:szCs w:val="28"/>
          <w:lang w:eastAsia="zh-CN"/>
        </w:rPr>
        <w:t>Mr David Perry QC, Ms</w:t>
      </w:r>
      <w:r w:rsidRPr="004F542E">
        <w:rPr>
          <w:szCs w:val="28"/>
          <w:lang w:eastAsia="zh-CN"/>
        </w:rPr>
        <w:t xml:space="preserve"> </w:t>
      </w:r>
      <w:r>
        <w:rPr>
          <w:szCs w:val="28"/>
          <w:lang w:eastAsia="zh-CN"/>
        </w:rPr>
        <w:t>Maggie Wong</w:t>
      </w:r>
      <w:r w:rsidRPr="004F542E">
        <w:rPr>
          <w:szCs w:val="28"/>
          <w:lang w:eastAsia="zh-CN"/>
        </w:rPr>
        <w:t xml:space="preserve">, </w:t>
      </w:r>
      <w:r>
        <w:rPr>
          <w:szCs w:val="28"/>
          <w:lang w:eastAsia="zh-CN"/>
        </w:rPr>
        <w:t>Mr Derek C.L. Chan and Mr Samuel Sung, instructed by Angela Lau Law Office</w:t>
      </w:r>
      <w:r w:rsidRPr="004F542E">
        <w:rPr>
          <w:szCs w:val="28"/>
          <w:lang w:eastAsia="zh-CN"/>
        </w:rPr>
        <w:t xml:space="preserve">, for the Appellant in FACC </w:t>
      </w:r>
      <w:r>
        <w:rPr>
          <w:szCs w:val="28"/>
          <w:lang w:eastAsia="zh-CN"/>
        </w:rPr>
        <w:t>18</w:t>
      </w:r>
      <w:r w:rsidRPr="004F542E">
        <w:rPr>
          <w:szCs w:val="28"/>
          <w:lang w:eastAsia="zh-CN"/>
        </w:rPr>
        <w:t>/201</w:t>
      </w:r>
      <w:r>
        <w:rPr>
          <w:szCs w:val="28"/>
          <w:lang w:eastAsia="zh-CN"/>
        </w:rPr>
        <w:t>6</w:t>
      </w:r>
    </w:p>
    <w:p w:rsidR="00667D4E" w:rsidRPr="004F542E" w:rsidRDefault="00667D4E" w:rsidP="000C27F3">
      <w:pPr>
        <w:pStyle w:val="BodyTextIndent"/>
        <w:spacing w:after="0"/>
        <w:ind w:left="0" w:right="-58"/>
        <w:jc w:val="both"/>
        <w:rPr>
          <w:szCs w:val="28"/>
        </w:rPr>
      </w:pPr>
    </w:p>
    <w:p w:rsidR="00667D4E" w:rsidRPr="004F542E" w:rsidRDefault="00667D4E" w:rsidP="00492FF5">
      <w:pPr>
        <w:autoSpaceDE w:val="0"/>
        <w:autoSpaceDN w:val="0"/>
        <w:adjustRightInd w:val="0"/>
        <w:jc w:val="both"/>
        <w:rPr>
          <w:szCs w:val="28"/>
          <w:lang w:eastAsia="zh-CN"/>
        </w:rPr>
      </w:pPr>
      <w:r w:rsidRPr="004F542E">
        <w:rPr>
          <w:szCs w:val="28"/>
          <w:lang w:eastAsia="zh-CN"/>
        </w:rPr>
        <w:t xml:space="preserve">Mr </w:t>
      </w:r>
      <w:r>
        <w:rPr>
          <w:szCs w:val="28"/>
          <w:lang w:eastAsia="zh-CN"/>
        </w:rPr>
        <w:t>Jonathan Caplan Q</w:t>
      </w:r>
      <w:r w:rsidRPr="004F542E">
        <w:rPr>
          <w:szCs w:val="28"/>
          <w:lang w:eastAsia="zh-CN"/>
        </w:rPr>
        <w:t xml:space="preserve">C </w:t>
      </w:r>
      <w:r>
        <w:rPr>
          <w:szCs w:val="28"/>
          <w:lang w:eastAsia="zh-CN"/>
        </w:rPr>
        <w:t xml:space="preserve">and Mr Eric Kwok SC, </w:t>
      </w:r>
      <w:r w:rsidRPr="004F542E">
        <w:rPr>
          <w:szCs w:val="28"/>
          <w:lang w:eastAsia="zh-CN"/>
        </w:rPr>
        <w:t xml:space="preserve">on fiat, and Mr </w:t>
      </w:r>
      <w:r>
        <w:rPr>
          <w:szCs w:val="28"/>
          <w:lang w:eastAsia="zh-CN"/>
        </w:rPr>
        <w:t>Felix</w:t>
      </w:r>
      <w:r w:rsidRPr="004F542E">
        <w:rPr>
          <w:szCs w:val="28"/>
          <w:lang w:eastAsia="zh-CN"/>
        </w:rPr>
        <w:t xml:space="preserve"> Tam S</w:t>
      </w:r>
      <w:r>
        <w:rPr>
          <w:szCs w:val="28"/>
          <w:lang w:eastAsia="zh-CN"/>
        </w:rPr>
        <w:t>PP</w:t>
      </w:r>
      <w:r w:rsidRPr="004F542E">
        <w:rPr>
          <w:szCs w:val="28"/>
          <w:lang w:eastAsia="zh-CN"/>
        </w:rPr>
        <w:t xml:space="preserve">, of the Department of Justice, for the </w:t>
      </w:r>
      <w:r>
        <w:rPr>
          <w:szCs w:val="28"/>
          <w:lang w:eastAsia="zh-CN"/>
        </w:rPr>
        <w:t>Respondent</w:t>
      </w:r>
      <w:r w:rsidRPr="004F542E">
        <w:rPr>
          <w:szCs w:val="28"/>
          <w:lang w:eastAsia="zh-CN"/>
        </w:rPr>
        <w:t xml:space="preserve"> in </w:t>
      </w:r>
      <w:r w:rsidRPr="004F542E">
        <w:rPr>
          <w:szCs w:val="28"/>
        </w:rPr>
        <w:t xml:space="preserve">FACC </w:t>
      </w:r>
      <w:r>
        <w:rPr>
          <w:szCs w:val="28"/>
        </w:rPr>
        <w:t>11</w:t>
      </w:r>
      <w:r w:rsidRPr="004F542E">
        <w:rPr>
          <w:szCs w:val="28"/>
        </w:rPr>
        <w:t>/201</w:t>
      </w:r>
      <w:r>
        <w:rPr>
          <w:szCs w:val="28"/>
        </w:rPr>
        <w:t xml:space="preserve">6 and </w:t>
      </w:r>
      <w:r w:rsidRPr="004F542E">
        <w:rPr>
          <w:szCs w:val="28"/>
          <w:lang w:eastAsia="zh-CN"/>
        </w:rPr>
        <w:t xml:space="preserve">FACC </w:t>
      </w:r>
      <w:r>
        <w:rPr>
          <w:szCs w:val="28"/>
          <w:lang w:eastAsia="zh-CN"/>
        </w:rPr>
        <w:t>18</w:t>
      </w:r>
      <w:r w:rsidRPr="004F542E">
        <w:rPr>
          <w:szCs w:val="28"/>
          <w:lang w:eastAsia="zh-CN"/>
        </w:rPr>
        <w:t>/201</w:t>
      </w:r>
      <w:r>
        <w:rPr>
          <w:szCs w:val="28"/>
          <w:lang w:eastAsia="zh-CN"/>
        </w:rPr>
        <w:t>6</w:t>
      </w:r>
    </w:p>
    <w:p w:rsidR="00667D4E" w:rsidRDefault="00667D4E" w:rsidP="00667D4E">
      <w:pPr>
        <w:pStyle w:val="BodyTextIndent"/>
        <w:ind w:left="0" w:right="-62"/>
        <w:rPr>
          <w:szCs w:val="28"/>
        </w:rPr>
      </w:pPr>
    </w:p>
    <w:p w:rsidR="00525C4D" w:rsidRPr="004F57D0" w:rsidRDefault="00525C4D" w:rsidP="00667D4E">
      <w:pPr>
        <w:pStyle w:val="BodyTextIndent"/>
        <w:tabs>
          <w:tab w:val="left" w:pos="0"/>
          <w:tab w:val="left" w:pos="540"/>
          <w:tab w:val="left" w:pos="9000"/>
        </w:tabs>
        <w:ind w:left="0" w:right="118"/>
      </w:pPr>
    </w:p>
    <w:sectPr w:rsidR="00525C4D" w:rsidRPr="004F57D0" w:rsidSect="004A5BF8">
      <w:headerReference w:type="default" r:id="rId8"/>
      <w:pgSz w:w="11907" w:h="16839" w:code="9"/>
      <w:pgMar w:top="1440" w:right="1440" w:bottom="1440" w:left="1440"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358" w:rsidRDefault="007E3358" w:rsidP="00CC0407">
      <w:r>
        <w:separator/>
      </w:r>
    </w:p>
  </w:endnote>
  <w:endnote w:type="continuationSeparator" w:id="0">
    <w:p w:rsidR="007E3358" w:rsidRDefault="007E3358" w:rsidP="00CC0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358" w:rsidRDefault="007E3358" w:rsidP="00CC0407">
      <w:r>
        <w:separator/>
      </w:r>
    </w:p>
  </w:footnote>
  <w:footnote w:type="continuationSeparator" w:id="0">
    <w:p w:rsidR="007E3358" w:rsidRDefault="007E3358" w:rsidP="00CC0407">
      <w:r>
        <w:continuationSeparator/>
      </w:r>
    </w:p>
  </w:footnote>
  <w:footnote w:id="1">
    <w:p w:rsidR="00284B4B" w:rsidRDefault="00284B4B" w:rsidP="00525C4D">
      <w:pPr>
        <w:pStyle w:val="FootnoteText"/>
        <w:tabs>
          <w:tab w:val="left" w:pos="360"/>
        </w:tabs>
      </w:pPr>
      <w:r>
        <w:rPr>
          <w:rStyle w:val="FootnoteReference"/>
        </w:rPr>
        <w:footnoteRef/>
      </w:r>
      <w:r>
        <w:t xml:space="preserve"> </w:t>
      </w:r>
      <w:r>
        <w:tab/>
        <w:t>Cap 201.</w:t>
      </w:r>
    </w:p>
  </w:footnote>
  <w:footnote w:id="2">
    <w:p w:rsidR="00284B4B" w:rsidRDefault="00284B4B" w:rsidP="00084AC6">
      <w:pPr>
        <w:pStyle w:val="FootnoteText"/>
        <w:tabs>
          <w:tab w:val="left" w:pos="360"/>
        </w:tabs>
        <w:ind w:left="360" w:hanging="360"/>
        <w:jc w:val="both"/>
      </w:pPr>
      <w:r>
        <w:rPr>
          <w:rStyle w:val="FootnoteReference"/>
        </w:rPr>
        <w:footnoteRef/>
      </w:r>
      <w:r>
        <w:t xml:space="preserve"> </w:t>
      </w:r>
      <w:r>
        <w:tab/>
        <w:t>DCCC 1214/2010.</w:t>
      </w:r>
    </w:p>
  </w:footnote>
  <w:footnote w:id="3">
    <w:p w:rsidR="00284B4B" w:rsidRDefault="00284B4B" w:rsidP="00084AC6">
      <w:pPr>
        <w:pStyle w:val="FootnoteText"/>
        <w:tabs>
          <w:tab w:val="left" w:pos="360"/>
        </w:tabs>
        <w:ind w:left="360" w:hanging="360"/>
        <w:jc w:val="both"/>
      </w:pPr>
      <w:r>
        <w:rPr>
          <w:rStyle w:val="FootnoteReference"/>
        </w:rPr>
        <w:footnoteRef/>
      </w:r>
      <w:r>
        <w:t xml:space="preserve"> </w:t>
      </w:r>
      <w:r>
        <w:tab/>
        <w:t>The Case Stated by the Judge is dated 5 March 2012, CACC 103/2012 (“</w:t>
      </w:r>
      <w:r>
        <w:rPr>
          <w:u w:val="single"/>
        </w:rPr>
        <w:t>1</w:t>
      </w:r>
      <w:r w:rsidRPr="00903363">
        <w:rPr>
          <w:u w:val="single"/>
          <w:vertAlign w:val="superscript"/>
        </w:rPr>
        <w:t>st</w:t>
      </w:r>
      <w:r>
        <w:rPr>
          <w:u w:val="single"/>
        </w:rPr>
        <w:t xml:space="preserve"> Case Stated</w:t>
      </w:r>
      <w:r>
        <w:t>”).</w:t>
      </w:r>
    </w:p>
  </w:footnote>
  <w:footnote w:id="4">
    <w:p w:rsidR="00284B4B" w:rsidRDefault="00284B4B" w:rsidP="00084AC6">
      <w:pPr>
        <w:pStyle w:val="FootnoteText"/>
        <w:tabs>
          <w:tab w:val="left" w:pos="360"/>
        </w:tabs>
        <w:ind w:left="360" w:hanging="360"/>
        <w:jc w:val="both"/>
      </w:pPr>
      <w:r>
        <w:rPr>
          <w:rStyle w:val="FootnoteReference"/>
        </w:rPr>
        <w:footnoteRef/>
      </w:r>
      <w:r>
        <w:t xml:space="preserve"> </w:t>
      </w:r>
      <w:r>
        <w:tab/>
        <w:t>Yeung VP, Cheung and Yuen JJA, CACC 355/2011 and CACC 103/2012 (21 November 2012) (“</w:t>
      </w:r>
      <w:r>
        <w:rPr>
          <w:u w:val="single"/>
        </w:rPr>
        <w:t>1</w:t>
      </w:r>
      <w:r w:rsidRPr="005A44F6">
        <w:rPr>
          <w:u w:val="single"/>
          <w:vertAlign w:val="superscript"/>
        </w:rPr>
        <w:t>st</w:t>
      </w:r>
      <w:r>
        <w:rPr>
          <w:u w:val="single"/>
        </w:rPr>
        <w:t xml:space="preserve"> CA Judgment</w:t>
      </w:r>
      <w:r>
        <w:t>”).</w:t>
      </w:r>
    </w:p>
  </w:footnote>
  <w:footnote w:id="5">
    <w:p w:rsidR="00284B4B" w:rsidRDefault="00284B4B" w:rsidP="00084AC6">
      <w:pPr>
        <w:pStyle w:val="FootnoteText"/>
        <w:tabs>
          <w:tab w:val="left" w:pos="360"/>
        </w:tabs>
        <w:ind w:left="360" w:hanging="360"/>
        <w:jc w:val="both"/>
      </w:pPr>
      <w:r>
        <w:rPr>
          <w:rStyle w:val="FootnoteReference"/>
        </w:rPr>
        <w:footnoteRef/>
      </w:r>
      <w:r>
        <w:t xml:space="preserve"> </w:t>
      </w:r>
      <w:r>
        <w:tab/>
        <w:t>DCCC 1214/2010.</w:t>
      </w:r>
    </w:p>
  </w:footnote>
  <w:footnote w:id="6">
    <w:p w:rsidR="00284B4B" w:rsidRDefault="00284B4B" w:rsidP="00084AC6">
      <w:pPr>
        <w:pStyle w:val="FootnoteText"/>
        <w:tabs>
          <w:tab w:val="left" w:pos="360"/>
        </w:tabs>
        <w:ind w:left="360" w:hanging="360"/>
        <w:jc w:val="both"/>
      </w:pPr>
      <w:r>
        <w:rPr>
          <w:rStyle w:val="FootnoteReference"/>
        </w:rPr>
        <w:footnoteRef/>
      </w:r>
      <w:r>
        <w:t xml:space="preserve"> </w:t>
      </w:r>
      <w:r>
        <w:tab/>
        <w:t>The second Case Stated by the Judge is dated 17 September 2014, CACC 183/2014 (“</w:t>
      </w:r>
      <w:r>
        <w:rPr>
          <w:u w:val="single"/>
        </w:rPr>
        <w:t>2</w:t>
      </w:r>
      <w:r w:rsidRPr="005A44F6">
        <w:rPr>
          <w:u w:val="single"/>
          <w:vertAlign w:val="superscript"/>
        </w:rPr>
        <w:t>nd</w:t>
      </w:r>
      <w:r>
        <w:rPr>
          <w:u w:val="single"/>
        </w:rPr>
        <w:t xml:space="preserve"> Case Stated</w:t>
      </w:r>
      <w:r>
        <w:t>”).</w:t>
      </w:r>
    </w:p>
  </w:footnote>
  <w:footnote w:id="7">
    <w:p w:rsidR="00284B4B" w:rsidRDefault="00284B4B" w:rsidP="00084AC6">
      <w:pPr>
        <w:pStyle w:val="FootnoteText"/>
        <w:tabs>
          <w:tab w:val="left" w:pos="360"/>
        </w:tabs>
        <w:ind w:left="360" w:hanging="360"/>
        <w:jc w:val="both"/>
      </w:pPr>
      <w:r>
        <w:rPr>
          <w:rStyle w:val="FootnoteReference"/>
        </w:rPr>
        <w:footnoteRef/>
      </w:r>
      <w:r>
        <w:t xml:space="preserve"> </w:t>
      </w:r>
      <w:r>
        <w:tab/>
        <w:t>Yeung VP, Yuen and Pang JJA, CACC 92/2013</w:t>
      </w:r>
      <w:r w:rsidRPr="00783602">
        <w:t xml:space="preserve"> </w:t>
      </w:r>
      <w:r>
        <w:t>and CACC 183/2014 (26 October 2015) (“</w:t>
      </w:r>
      <w:r w:rsidRPr="00783602">
        <w:rPr>
          <w:u w:val="single"/>
        </w:rPr>
        <w:t>2</w:t>
      </w:r>
      <w:r w:rsidRPr="005A44F6">
        <w:rPr>
          <w:u w:val="single"/>
          <w:vertAlign w:val="superscript"/>
        </w:rPr>
        <w:t>nd</w:t>
      </w:r>
      <w:r w:rsidRPr="00783602">
        <w:rPr>
          <w:u w:val="single"/>
        </w:rPr>
        <w:t xml:space="preserve"> CA Judgment</w:t>
      </w:r>
      <w:r>
        <w:t>”).</w:t>
      </w:r>
    </w:p>
  </w:footnote>
  <w:footnote w:id="8">
    <w:p w:rsidR="00284B4B" w:rsidRDefault="00284B4B" w:rsidP="0062404C">
      <w:pPr>
        <w:pStyle w:val="FootnoteText"/>
        <w:tabs>
          <w:tab w:val="left" w:pos="360"/>
        </w:tabs>
        <w:jc w:val="both"/>
      </w:pPr>
      <w:r>
        <w:rPr>
          <w:rStyle w:val="FootnoteReference"/>
        </w:rPr>
        <w:footnoteRef/>
      </w:r>
      <w:r>
        <w:t xml:space="preserve"> </w:t>
      </w:r>
      <w:r>
        <w:tab/>
        <w:t>Yeung VP, Yuen and Pang JJA, CACC 103/2012 and CACC 183/2014 (26 January 2016).</w:t>
      </w:r>
    </w:p>
  </w:footnote>
  <w:footnote w:id="9">
    <w:p w:rsidR="00284B4B" w:rsidRDefault="00284B4B" w:rsidP="00084AC6">
      <w:pPr>
        <w:pStyle w:val="FootnoteText"/>
        <w:tabs>
          <w:tab w:val="left" w:pos="360"/>
        </w:tabs>
        <w:ind w:left="360" w:hanging="360"/>
        <w:jc w:val="both"/>
      </w:pPr>
      <w:r>
        <w:rPr>
          <w:rStyle w:val="FootnoteReference"/>
        </w:rPr>
        <w:footnoteRef/>
      </w:r>
      <w:r>
        <w:t xml:space="preserve"> </w:t>
      </w:r>
      <w:r>
        <w:tab/>
        <w:t xml:space="preserve">Tang and </w:t>
      </w:r>
      <w:proofErr w:type="spellStart"/>
      <w:r>
        <w:t>Fok</w:t>
      </w:r>
      <w:proofErr w:type="spellEnd"/>
      <w:r>
        <w:t xml:space="preserve"> PJJ and Stock NPJ, FAMC 4/2016 (29 June 2016) in Chan’s case; and Ribeiro, Tang and </w:t>
      </w:r>
      <w:proofErr w:type="spellStart"/>
      <w:r>
        <w:t>Fok</w:t>
      </w:r>
      <w:proofErr w:type="spellEnd"/>
      <w:r>
        <w:t xml:space="preserve"> PJJ, FAMC 40 of 2016 (4 October 2016) in Tseng’s case.</w:t>
      </w:r>
    </w:p>
  </w:footnote>
  <w:footnote w:id="10">
    <w:p w:rsidR="00284B4B" w:rsidRDefault="00284B4B" w:rsidP="00084AC6">
      <w:pPr>
        <w:pStyle w:val="FootnoteText"/>
        <w:tabs>
          <w:tab w:val="left" w:pos="360"/>
        </w:tabs>
      </w:pPr>
      <w:r>
        <w:rPr>
          <w:rStyle w:val="FootnoteReference"/>
        </w:rPr>
        <w:footnoteRef/>
      </w:r>
      <w:r>
        <w:t xml:space="preserve"> </w:t>
      </w:r>
      <w:r>
        <w:tab/>
        <w:t>In Sections F, G and H of this judgment.</w:t>
      </w:r>
    </w:p>
  </w:footnote>
  <w:footnote w:id="11">
    <w:p w:rsidR="00284B4B" w:rsidRDefault="00284B4B" w:rsidP="00084AC6">
      <w:pPr>
        <w:pStyle w:val="FootnoteText"/>
        <w:tabs>
          <w:tab w:val="left" w:pos="360"/>
        </w:tabs>
        <w:ind w:left="360" w:hanging="360"/>
        <w:jc w:val="both"/>
      </w:pPr>
      <w:r>
        <w:rPr>
          <w:rStyle w:val="FootnoteReference"/>
        </w:rPr>
        <w:footnoteRef/>
      </w:r>
      <w:r>
        <w:t xml:space="preserve"> </w:t>
      </w:r>
      <w:r>
        <w:tab/>
        <w:t xml:space="preserve">POBO section 11.  See </w:t>
      </w:r>
      <w:r w:rsidRPr="00FE21BA">
        <w:rPr>
          <w:i/>
          <w:szCs w:val="28"/>
          <w:lang w:eastAsia="zh-CN"/>
        </w:rPr>
        <w:t xml:space="preserve">HKSAR v So </w:t>
      </w:r>
      <w:proofErr w:type="spellStart"/>
      <w:r w:rsidRPr="00FE21BA">
        <w:rPr>
          <w:i/>
          <w:szCs w:val="28"/>
          <w:lang w:eastAsia="zh-CN"/>
        </w:rPr>
        <w:t>Kam</w:t>
      </w:r>
      <w:proofErr w:type="spellEnd"/>
      <w:r w:rsidRPr="00FE21BA">
        <w:rPr>
          <w:i/>
          <w:szCs w:val="28"/>
          <w:lang w:eastAsia="zh-CN"/>
        </w:rPr>
        <w:t xml:space="preserve"> Tim </w:t>
      </w:r>
      <w:r w:rsidRPr="00FE21BA">
        <w:rPr>
          <w:szCs w:val="28"/>
          <w:lang w:eastAsia="zh-CN"/>
        </w:rPr>
        <w:t>[1997] HKLRD 1123</w:t>
      </w:r>
      <w:r>
        <w:rPr>
          <w:szCs w:val="28"/>
          <w:lang w:eastAsia="zh-CN"/>
        </w:rPr>
        <w:t xml:space="preserve"> at 1126.</w:t>
      </w:r>
    </w:p>
  </w:footnote>
  <w:footnote w:id="12">
    <w:p w:rsidR="00284B4B" w:rsidRDefault="00284B4B" w:rsidP="00084AC6">
      <w:pPr>
        <w:pStyle w:val="FootnoteText"/>
        <w:tabs>
          <w:tab w:val="left" w:pos="360"/>
        </w:tabs>
        <w:ind w:left="360" w:hanging="360"/>
        <w:jc w:val="both"/>
      </w:pPr>
      <w:r>
        <w:rPr>
          <w:rStyle w:val="FootnoteReference"/>
        </w:rPr>
        <w:footnoteRef/>
      </w:r>
      <w:r>
        <w:t xml:space="preserve"> </w:t>
      </w:r>
      <w:r>
        <w:tab/>
      </w:r>
      <w:r w:rsidRPr="00FE21BA">
        <w:rPr>
          <w:szCs w:val="28"/>
          <w:lang w:eastAsia="zh-CN"/>
        </w:rPr>
        <w:t>(CACC 497/2002, 24 August 2004, unreported)</w:t>
      </w:r>
      <w:r>
        <w:rPr>
          <w:szCs w:val="28"/>
          <w:lang w:eastAsia="zh-CN"/>
        </w:rPr>
        <w:t xml:space="preserve"> at §44.  Citing </w:t>
      </w:r>
      <w:r>
        <w:rPr>
          <w:i/>
          <w:szCs w:val="28"/>
          <w:lang w:eastAsia="zh-CN"/>
        </w:rPr>
        <w:t xml:space="preserve">R </w:t>
      </w:r>
      <w:proofErr w:type="gramStart"/>
      <w:r>
        <w:rPr>
          <w:i/>
          <w:szCs w:val="28"/>
          <w:lang w:eastAsia="zh-CN"/>
        </w:rPr>
        <w:t>v</w:t>
      </w:r>
      <w:proofErr w:type="gramEnd"/>
      <w:r>
        <w:rPr>
          <w:i/>
          <w:szCs w:val="28"/>
          <w:lang w:eastAsia="zh-CN"/>
        </w:rPr>
        <w:t xml:space="preserve"> Li </w:t>
      </w:r>
      <w:proofErr w:type="spellStart"/>
      <w:r>
        <w:rPr>
          <w:i/>
          <w:szCs w:val="28"/>
          <w:lang w:eastAsia="zh-CN"/>
        </w:rPr>
        <w:t>Fook</w:t>
      </w:r>
      <w:proofErr w:type="spellEnd"/>
      <w:r>
        <w:rPr>
          <w:i/>
          <w:szCs w:val="28"/>
          <w:lang w:eastAsia="zh-CN"/>
        </w:rPr>
        <w:t xml:space="preserve"> S</w:t>
      </w:r>
      <w:r w:rsidRPr="00FE21BA">
        <w:rPr>
          <w:i/>
          <w:szCs w:val="28"/>
          <w:lang w:eastAsia="zh-CN"/>
        </w:rPr>
        <w:t xml:space="preserve">iu Ronald </w:t>
      </w:r>
      <w:r w:rsidRPr="00FE21BA">
        <w:rPr>
          <w:szCs w:val="28"/>
          <w:lang w:eastAsia="zh-CN"/>
        </w:rPr>
        <w:t>[1991] 2 HKLR 288</w:t>
      </w:r>
      <w:r>
        <w:rPr>
          <w:szCs w:val="28"/>
          <w:lang w:eastAsia="zh-CN"/>
        </w:rPr>
        <w:t xml:space="preserve">, see per </w:t>
      </w:r>
      <w:proofErr w:type="spellStart"/>
      <w:r>
        <w:rPr>
          <w:szCs w:val="28"/>
          <w:lang w:eastAsia="zh-CN"/>
        </w:rPr>
        <w:t>Fuad</w:t>
      </w:r>
      <w:proofErr w:type="spellEnd"/>
      <w:r>
        <w:rPr>
          <w:szCs w:val="28"/>
          <w:lang w:eastAsia="zh-CN"/>
        </w:rPr>
        <w:t xml:space="preserve"> VP at 298.</w:t>
      </w:r>
    </w:p>
  </w:footnote>
  <w:footnote w:id="13">
    <w:p w:rsidR="00284B4B" w:rsidRDefault="00284B4B" w:rsidP="00084AC6">
      <w:pPr>
        <w:pStyle w:val="FootnoteText"/>
        <w:tabs>
          <w:tab w:val="left" w:pos="360"/>
        </w:tabs>
        <w:ind w:left="360" w:hanging="360"/>
        <w:jc w:val="both"/>
      </w:pPr>
      <w:r>
        <w:rPr>
          <w:rStyle w:val="FootnoteReference"/>
        </w:rPr>
        <w:footnoteRef/>
      </w:r>
      <w:r>
        <w:t xml:space="preserve"> </w:t>
      </w:r>
      <w:r>
        <w:tab/>
        <w:t>That is, an act “aimed at” and “intended to influence or affect” the principal’s affairs or business.  See Section F of this judgment.</w:t>
      </w:r>
    </w:p>
  </w:footnote>
  <w:footnote w:id="14">
    <w:p w:rsidR="00284B4B" w:rsidRPr="00FD4517" w:rsidRDefault="00284B4B" w:rsidP="00084AC6">
      <w:pPr>
        <w:pStyle w:val="FootnoteText"/>
        <w:tabs>
          <w:tab w:val="left" w:pos="360"/>
        </w:tabs>
        <w:jc w:val="both"/>
      </w:pPr>
      <w:r>
        <w:rPr>
          <w:rStyle w:val="FootnoteReference"/>
        </w:rPr>
        <w:footnoteRef/>
      </w:r>
      <w:r>
        <w:tab/>
      </w:r>
      <w:r w:rsidRPr="00FD4517">
        <w:rPr>
          <w:szCs w:val="24"/>
          <w:lang w:eastAsia="zh-CN"/>
        </w:rPr>
        <w:t>[1997] HKLRD 652</w:t>
      </w:r>
      <w:r>
        <w:rPr>
          <w:szCs w:val="24"/>
          <w:lang w:eastAsia="zh-CN"/>
        </w:rPr>
        <w:t>.</w:t>
      </w:r>
    </w:p>
  </w:footnote>
  <w:footnote w:id="15">
    <w:p w:rsidR="00284B4B" w:rsidRDefault="00284B4B" w:rsidP="00084AC6">
      <w:pPr>
        <w:pStyle w:val="FootnoteText"/>
        <w:tabs>
          <w:tab w:val="left" w:pos="360"/>
        </w:tabs>
        <w:jc w:val="both"/>
      </w:pPr>
      <w:r>
        <w:rPr>
          <w:rStyle w:val="FootnoteReference"/>
        </w:rPr>
        <w:footnoteRef/>
      </w:r>
      <w:r>
        <w:t xml:space="preserve"> </w:t>
      </w:r>
      <w:r>
        <w:tab/>
        <w:t>In Section F of this judgment.</w:t>
      </w:r>
    </w:p>
  </w:footnote>
  <w:footnote w:id="16">
    <w:p w:rsidR="00284B4B" w:rsidRPr="00FD4517" w:rsidRDefault="00284B4B" w:rsidP="00084AC6">
      <w:pPr>
        <w:pStyle w:val="FootnoteText"/>
        <w:tabs>
          <w:tab w:val="left" w:pos="360"/>
        </w:tabs>
        <w:jc w:val="both"/>
      </w:pPr>
      <w:r>
        <w:rPr>
          <w:rStyle w:val="FootnoteReference"/>
        </w:rPr>
        <w:footnoteRef/>
      </w:r>
      <w:r>
        <w:t xml:space="preserve"> </w:t>
      </w:r>
      <w:r>
        <w:tab/>
        <w:t>1</w:t>
      </w:r>
      <w:r w:rsidRPr="005A44F6">
        <w:rPr>
          <w:vertAlign w:val="superscript"/>
        </w:rPr>
        <w:t>st</w:t>
      </w:r>
      <w:r>
        <w:t xml:space="preserve"> Case Stated §11.</w:t>
      </w:r>
    </w:p>
  </w:footnote>
  <w:footnote w:id="17">
    <w:p w:rsidR="00284B4B" w:rsidRPr="00B139AE" w:rsidRDefault="00284B4B" w:rsidP="00084AC6">
      <w:pPr>
        <w:pStyle w:val="FootnoteText"/>
        <w:tabs>
          <w:tab w:val="left" w:pos="360"/>
        </w:tabs>
        <w:jc w:val="both"/>
      </w:pPr>
      <w:r>
        <w:rPr>
          <w:rStyle w:val="FootnoteReference"/>
        </w:rPr>
        <w:footnoteRef/>
      </w:r>
      <w:r>
        <w:t xml:space="preserve"> </w:t>
      </w:r>
      <w:r>
        <w:tab/>
      </w:r>
      <w:r>
        <w:rPr>
          <w:i/>
        </w:rPr>
        <w:t xml:space="preserve">Ibid </w:t>
      </w:r>
      <w:r>
        <w:t>§12(6).</w:t>
      </w:r>
    </w:p>
  </w:footnote>
  <w:footnote w:id="18">
    <w:p w:rsidR="00284B4B" w:rsidRPr="00524696" w:rsidRDefault="00284B4B" w:rsidP="00084AC6">
      <w:pPr>
        <w:pStyle w:val="FootnoteText"/>
        <w:tabs>
          <w:tab w:val="left" w:pos="360"/>
        </w:tabs>
        <w:jc w:val="both"/>
      </w:pPr>
      <w:r>
        <w:rPr>
          <w:rStyle w:val="FootnoteReference"/>
        </w:rPr>
        <w:footnoteRef/>
      </w:r>
      <w:r>
        <w:t xml:space="preserve"> </w:t>
      </w:r>
      <w:r>
        <w:tab/>
        <w:t>At §§32-35.</w:t>
      </w:r>
    </w:p>
  </w:footnote>
  <w:footnote w:id="19">
    <w:p w:rsidR="00284B4B" w:rsidRPr="00972025" w:rsidRDefault="00284B4B" w:rsidP="0062404C">
      <w:pPr>
        <w:pStyle w:val="FootnoteText"/>
        <w:tabs>
          <w:tab w:val="left" w:pos="360"/>
        </w:tabs>
        <w:jc w:val="both"/>
      </w:pPr>
      <w:r>
        <w:rPr>
          <w:rStyle w:val="FootnoteReference"/>
        </w:rPr>
        <w:footnoteRef/>
      </w:r>
      <w:r>
        <w:t xml:space="preserve"> </w:t>
      </w:r>
      <w:r>
        <w:tab/>
        <w:t>1</w:t>
      </w:r>
      <w:r w:rsidRPr="005A44F6">
        <w:rPr>
          <w:vertAlign w:val="superscript"/>
        </w:rPr>
        <w:t>st</w:t>
      </w:r>
      <w:r>
        <w:t xml:space="preserve"> CA Judgment §§105-106.</w:t>
      </w:r>
    </w:p>
  </w:footnote>
  <w:footnote w:id="20">
    <w:p w:rsidR="00284B4B" w:rsidRPr="00FB60B7" w:rsidRDefault="00284B4B" w:rsidP="00084AC6">
      <w:pPr>
        <w:pStyle w:val="FootnoteText"/>
        <w:tabs>
          <w:tab w:val="left" w:pos="360"/>
        </w:tabs>
      </w:pPr>
      <w:r>
        <w:rPr>
          <w:rStyle w:val="FootnoteReference"/>
        </w:rPr>
        <w:footnoteRef/>
      </w:r>
      <w:r>
        <w:t xml:space="preserve"> </w:t>
      </w:r>
      <w:r>
        <w:tab/>
        <w:t>1</w:t>
      </w:r>
      <w:r w:rsidRPr="005A44F6">
        <w:rPr>
          <w:vertAlign w:val="superscript"/>
        </w:rPr>
        <w:t>st</w:t>
      </w:r>
      <w:r>
        <w:t xml:space="preserve"> CA Judgment, §128.</w:t>
      </w:r>
    </w:p>
  </w:footnote>
  <w:footnote w:id="21">
    <w:p w:rsidR="00284B4B" w:rsidRPr="00FB60B7" w:rsidRDefault="00284B4B" w:rsidP="00084AC6">
      <w:pPr>
        <w:pStyle w:val="FootnoteText"/>
        <w:tabs>
          <w:tab w:val="left" w:pos="360"/>
        </w:tabs>
      </w:pPr>
      <w:r>
        <w:rPr>
          <w:rStyle w:val="FootnoteReference"/>
        </w:rPr>
        <w:footnoteRef/>
      </w:r>
      <w:r>
        <w:t xml:space="preserve"> </w:t>
      </w:r>
      <w:r>
        <w:tab/>
      </w:r>
      <w:r w:rsidRPr="00FB60B7">
        <w:t>[2008] 5 HKLRD 846</w:t>
      </w:r>
      <w:r>
        <w:t>.</w:t>
      </w:r>
    </w:p>
  </w:footnote>
  <w:footnote w:id="22">
    <w:p w:rsidR="00284B4B" w:rsidRDefault="00284B4B" w:rsidP="00084AC6">
      <w:pPr>
        <w:pStyle w:val="FootnoteText"/>
        <w:tabs>
          <w:tab w:val="left" w:pos="360"/>
        </w:tabs>
      </w:pPr>
      <w:r>
        <w:rPr>
          <w:rStyle w:val="FootnoteReference"/>
        </w:rPr>
        <w:footnoteRef/>
      </w:r>
      <w:r>
        <w:t xml:space="preserve"> </w:t>
      </w:r>
      <w:r>
        <w:tab/>
        <w:t>In Section H.3 of this judgment.</w:t>
      </w:r>
    </w:p>
  </w:footnote>
  <w:footnote w:id="23">
    <w:p w:rsidR="00284B4B" w:rsidRPr="00E10D12" w:rsidRDefault="00284B4B" w:rsidP="00084AC6">
      <w:pPr>
        <w:pStyle w:val="FootnoteText"/>
        <w:tabs>
          <w:tab w:val="left" w:pos="360"/>
        </w:tabs>
      </w:pPr>
      <w:r>
        <w:rPr>
          <w:rStyle w:val="FootnoteReference"/>
        </w:rPr>
        <w:footnoteRef/>
      </w:r>
      <w:r>
        <w:t xml:space="preserve"> </w:t>
      </w:r>
      <w:r>
        <w:tab/>
        <w:t>1</w:t>
      </w:r>
      <w:r w:rsidRPr="005A44F6">
        <w:rPr>
          <w:vertAlign w:val="superscript"/>
        </w:rPr>
        <w:t>st</w:t>
      </w:r>
      <w:r>
        <w:t xml:space="preserve"> CA Judgment, §153.</w:t>
      </w:r>
    </w:p>
  </w:footnote>
  <w:footnote w:id="24">
    <w:p w:rsidR="00284B4B" w:rsidRDefault="00284B4B" w:rsidP="00084AC6">
      <w:pPr>
        <w:pStyle w:val="FootnoteText"/>
        <w:tabs>
          <w:tab w:val="left" w:pos="360"/>
        </w:tabs>
        <w:jc w:val="both"/>
      </w:pPr>
      <w:r>
        <w:rPr>
          <w:rStyle w:val="FootnoteReference"/>
        </w:rPr>
        <w:footnoteRef/>
      </w:r>
      <w:r>
        <w:t xml:space="preserve"> </w:t>
      </w:r>
      <w:r>
        <w:tab/>
        <w:t>1</w:t>
      </w:r>
      <w:r w:rsidRPr="005A44F6">
        <w:rPr>
          <w:vertAlign w:val="superscript"/>
        </w:rPr>
        <w:t>st</w:t>
      </w:r>
      <w:r>
        <w:t xml:space="preserve"> CA Judgment §154.</w:t>
      </w:r>
    </w:p>
  </w:footnote>
  <w:footnote w:id="25">
    <w:p w:rsidR="00284B4B" w:rsidRDefault="00284B4B" w:rsidP="00084AC6">
      <w:pPr>
        <w:pStyle w:val="FootnoteText"/>
        <w:tabs>
          <w:tab w:val="left" w:pos="360"/>
        </w:tabs>
        <w:jc w:val="both"/>
      </w:pPr>
      <w:r>
        <w:rPr>
          <w:rStyle w:val="FootnoteReference"/>
        </w:rPr>
        <w:footnoteRef/>
      </w:r>
      <w:r>
        <w:t xml:space="preserve"> </w:t>
      </w:r>
      <w:r>
        <w:tab/>
        <w:t>Acting for the respondent with Mr Eric Kwok SC and Mr Felix Tam SPP.</w:t>
      </w:r>
    </w:p>
  </w:footnote>
  <w:footnote w:id="26">
    <w:p w:rsidR="00284B4B" w:rsidRDefault="00284B4B" w:rsidP="00084AC6">
      <w:pPr>
        <w:pStyle w:val="FootnoteText"/>
        <w:tabs>
          <w:tab w:val="left" w:pos="360"/>
        </w:tabs>
        <w:jc w:val="both"/>
      </w:pPr>
      <w:r>
        <w:rPr>
          <w:rStyle w:val="FootnoteReference"/>
        </w:rPr>
        <w:footnoteRef/>
      </w:r>
      <w:r>
        <w:t xml:space="preserve"> </w:t>
      </w:r>
      <w:r>
        <w:tab/>
      </w:r>
      <w:r w:rsidRPr="00994D11">
        <w:t>[1997] HKLRD 652</w:t>
      </w:r>
      <w:r>
        <w:t>.</w:t>
      </w:r>
    </w:p>
  </w:footnote>
  <w:footnote w:id="27">
    <w:p w:rsidR="00284B4B" w:rsidRDefault="00284B4B" w:rsidP="00084AC6">
      <w:pPr>
        <w:pStyle w:val="FootnoteText"/>
        <w:tabs>
          <w:tab w:val="left" w:pos="360"/>
        </w:tabs>
      </w:pPr>
      <w:r>
        <w:rPr>
          <w:rStyle w:val="FootnoteReference"/>
        </w:rPr>
        <w:footnoteRef/>
      </w:r>
      <w:r>
        <w:t xml:space="preserve"> </w:t>
      </w:r>
      <w:r>
        <w:tab/>
        <w:t>At 656-657.</w:t>
      </w:r>
    </w:p>
  </w:footnote>
  <w:footnote w:id="28">
    <w:p w:rsidR="00284B4B" w:rsidRDefault="00284B4B" w:rsidP="00084AC6">
      <w:pPr>
        <w:pStyle w:val="FootnoteText"/>
        <w:tabs>
          <w:tab w:val="left" w:pos="360"/>
        </w:tabs>
      </w:pPr>
      <w:r>
        <w:rPr>
          <w:rStyle w:val="FootnoteReference"/>
        </w:rPr>
        <w:footnoteRef/>
      </w:r>
      <w:r>
        <w:t xml:space="preserve"> </w:t>
      </w:r>
      <w:r>
        <w:tab/>
        <w:t>At 657.</w:t>
      </w:r>
    </w:p>
  </w:footnote>
  <w:footnote w:id="29">
    <w:p w:rsidR="00284B4B" w:rsidRDefault="00284B4B" w:rsidP="00492FF5">
      <w:pPr>
        <w:pStyle w:val="FootnoteText"/>
        <w:tabs>
          <w:tab w:val="left" w:pos="360"/>
        </w:tabs>
      </w:pPr>
      <w:r>
        <w:rPr>
          <w:rStyle w:val="FootnoteReference"/>
        </w:rPr>
        <w:footnoteRef/>
      </w:r>
      <w:r>
        <w:t xml:space="preserve"> </w:t>
      </w:r>
      <w:r>
        <w:tab/>
        <w:t>1</w:t>
      </w:r>
      <w:r w:rsidRPr="005A44F6">
        <w:rPr>
          <w:vertAlign w:val="superscript"/>
        </w:rPr>
        <w:t>st</w:t>
      </w:r>
      <w:r>
        <w:t xml:space="preserve"> CA Judgment, §150.</w:t>
      </w:r>
    </w:p>
  </w:footnote>
  <w:footnote w:id="30">
    <w:p w:rsidR="00284B4B" w:rsidRDefault="00284B4B" w:rsidP="00492FF5">
      <w:pPr>
        <w:pStyle w:val="FootnoteText"/>
        <w:tabs>
          <w:tab w:val="left" w:pos="360"/>
        </w:tabs>
      </w:pPr>
      <w:r>
        <w:rPr>
          <w:rStyle w:val="FootnoteReference"/>
        </w:rPr>
        <w:footnoteRef/>
      </w:r>
      <w:r>
        <w:t xml:space="preserve"> </w:t>
      </w:r>
      <w:r>
        <w:tab/>
        <w:t>In Section H.1 of this judgment.</w:t>
      </w:r>
    </w:p>
  </w:footnote>
  <w:footnote w:id="31">
    <w:p w:rsidR="00284B4B" w:rsidRDefault="00284B4B" w:rsidP="00492FF5">
      <w:pPr>
        <w:pStyle w:val="FootnoteText"/>
        <w:tabs>
          <w:tab w:val="left" w:pos="360"/>
        </w:tabs>
        <w:ind w:left="360" w:hanging="360"/>
        <w:jc w:val="both"/>
      </w:pPr>
      <w:r>
        <w:rPr>
          <w:rStyle w:val="FootnoteReference"/>
        </w:rPr>
        <w:footnoteRef/>
      </w:r>
      <w:r>
        <w:t xml:space="preserve"> </w:t>
      </w:r>
      <w:r>
        <w:tab/>
        <w:t xml:space="preserve">(2005) 8 HKCFAR 628 at §109.  This duty was reiterated by Lord Woolf NPJ in </w:t>
      </w:r>
      <w:r w:rsidRPr="00FE21BA">
        <w:rPr>
          <w:i/>
          <w:szCs w:val="28"/>
          <w:lang w:eastAsia="zh-CN"/>
        </w:rPr>
        <w:t xml:space="preserve">HKSAR v Lam Yuk Fai </w:t>
      </w:r>
      <w:r w:rsidRPr="00FE21BA">
        <w:rPr>
          <w:szCs w:val="28"/>
          <w:lang w:eastAsia="zh-CN"/>
        </w:rPr>
        <w:t>(2006) 9 HKCFAR 281</w:t>
      </w:r>
      <w:r>
        <w:rPr>
          <w:szCs w:val="28"/>
          <w:lang w:eastAsia="zh-CN"/>
        </w:rPr>
        <w:t>.</w:t>
      </w:r>
    </w:p>
  </w:footnote>
  <w:footnote w:id="32">
    <w:p w:rsidR="00284B4B" w:rsidRDefault="00284B4B" w:rsidP="00492FF5">
      <w:pPr>
        <w:pStyle w:val="FootnoteText"/>
        <w:tabs>
          <w:tab w:val="left" w:pos="360"/>
        </w:tabs>
      </w:pPr>
      <w:r>
        <w:rPr>
          <w:rStyle w:val="FootnoteReference"/>
        </w:rPr>
        <w:footnoteRef/>
      </w:r>
      <w:r>
        <w:t xml:space="preserve"> </w:t>
      </w:r>
      <w:r>
        <w:tab/>
        <w:t>1</w:t>
      </w:r>
      <w:r w:rsidRPr="005A44F6">
        <w:rPr>
          <w:vertAlign w:val="superscript"/>
        </w:rPr>
        <w:t>st</w:t>
      </w:r>
      <w:r>
        <w:t xml:space="preserve"> CA Judgment, §101-104.</w:t>
      </w:r>
    </w:p>
  </w:footnote>
  <w:footnote w:id="33">
    <w:p w:rsidR="00284B4B" w:rsidRDefault="00284B4B" w:rsidP="00492FF5">
      <w:pPr>
        <w:pStyle w:val="FootnoteText"/>
        <w:tabs>
          <w:tab w:val="left" w:pos="360"/>
        </w:tabs>
      </w:pPr>
      <w:r>
        <w:rPr>
          <w:rStyle w:val="FootnoteReference"/>
        </w:rPr>
        <w:footnoteRef/>
      </w:r>
      <w:r>
        <w:t xml:space="preserve"> </w:t>
      </w:r>
      <w:r>
        <w:tab/>
        <w:t xml:space="preserve">As noted in </w:t>
      </w:r>
      <w:r>
        <w:rPr>
          <w:i/>
          <w:szCs w:val="28"/>
          <w:lang w:eastAsia="zh-CN"/>
        </w:rPr>
        <w:t xml:space="preserve">R v </w:t>
      </w:r>
      <w:proofErr w:type="spellStart"/>
      <w:r>
        <w:rPr>
          <w:i/>
          <w:szCs w:val="28"/>
          <w:lang w:eastAsia="zh-CN"/>
        </w:rPr>
        <w:t>Majeed</w:t>
      </w:r>
      <w:proofErr w:type="spellEnd"/>
      <w:r>
        <w:rPr>
          <w:i/>
          <w:szCs w:val="28"/>
          <w:lang w:eastAsia="zh-CN"/>
        </w:rPr>
        <w:t xml:space="preserve">, R v Westfield </w:t>
      </w:r>
      <w:r>
        <w:rPr>
          <w:szCs w:val="28"/>
          <w:lang w:eastAsia="zh-CN"/>
        </w:rPr>
        <w:t>[2013] 1 WLR 1041 at §§19 and 21.</w:t>
      </w:r>
    </w:p>
  </w:footnote>
  <w:footnote w:id="34">
    <w:p w:rsidR="00284B4B" w:rsidRDefault="00284B4B" w:rsidP="00492FF5">
      <w:pPr>
        <w:pStyle w:val="FootnoteText"/>
        <w:tabs>
          <w:tab w:val="left" w:pos="360"/>
        </w:tabs>
      </w:pPr>
      <w:r>
        <w:rPr>
          <w:rStyle w:val="FootnoteReference"/>
        </w:rPr>
        <w:footnoteRef/>
      </w:r>
      <w:r>
        <w:t xml:space="preserve"> </w:t>
      </w:r>
      <w:r>
        <w:tab/>
        <w:t>Section F of this judgment.</w:t>
      </w:r>
    </w:p>
  </w:footnote>
  <w:footnote w:id="35">
    <w:p w:rsidR="00284B4B" w:rsidRDefault="00284B4B" w:rsidP="00492FF5">
      <w:pPr>
        <w:pStyle w:val="FootnoteText"/>
        <w:tabs>
          <w:tab w:val="left" w:pos="360"/>
        </w:tabs>
      </w:pPr>
      <w:r>
        <w:rPr>
          <w:rStyle w:val="FootnoteReference"/>
        </w:rPr>
        <w:footnoteRef/>
      </w:r>
      <w:r>
        <w:t xml:space="preserve"> </w:t>
      </w:r>
      <w:r>
        <w:tab/>
        <w:t>1</w:t>
      </w:r>
      <w:r w:rsidRPr="005A44F6">
        <w:rPr>
          <w:vertAlign w:val="superscript"/>
        </w:rPr>
        <w:t>st</w:t>
      </w:r>
      <w:r>
        <w:t xml:space="preserve"> CA Judgment, §122.</w:t>
      </w:r>
    </w:p>
  </w:footnote>
  <w:footnote w:id="36">
    <w:p w:rsidR="00284B4B" w:rsidRPr="00E46419" w:rsidRDefault="00284B4B" w:rsidP="00492FF5">
      <w:pPr>
        <w:pStyle w:val="FootnoteText"/>
        <w:tabs>
          <w:tab w:val="left" w:pos="360"/>
        </w:tabs>
        <w:jc w:val="both"/>
      </w:pPr>
      <w:r>
        <w:rPr>
          <w:rStyle w:val="FootnoteReference"/>
        </w:rPr>
        <w:footnoteRef/>
      </w:r>
      <w:r>
        <w:t xml:space="preserve"> </w:t>
      </w:r>
      <w:r>
        <w:tab/>
      </w:r>
      <w:proofErr w:type="spellStart"/>
      <w:r>
        <w:rPr>
          <w:i/>
        </w:rPr>
        <w:t>Ch’ng</w:t>
      </w:r>
      <w:proofErr w:type="spellEnd"/>
      <w:r>
        <w:rPr>
          <w:i/>
        </w:rPr>
        <w:t xml:space="preserve"> </w:t>
      </w:r>
      <w:proofErr w:type="spellStart"/>
      <w:r>
        <w:rPr>
          <w:i/>
        </w:rPr>
        <w:t>Poh</w:t>
      </w:r>
      <w:proofErr w:type="spellEnd"/>
      <w:r>
        <w:rPr>
          <w:i/>
        </w:rPr>
        <w:t xml:space="preserve"> </w:t>
      </w:r>
      <w:r>
        <w:t>at 657.</w:t>
      </w:r>
    </w:p>
  </w:footnote>
  <w:footnote w:id="37">
    <w:p w:rsidR="00284B4B" w:rsidRDefault="00284B4B" w:rsidP="00492FF5">
      <w:pPr>
        <w:pStyle w:val="FootnoteText"/>
        <w:tabs>
          <w:tab w:val="left" w:pos="360"/>
        </w:tabs>
        <w:jc w:val="both"/>
      </w:pPr>
      <w:r>
        <w:rPr>
          <w:rStyle w:val="FootnoteReference"/>
        </w:rPr>
        <w:footnoteRef/>
      </w:r>
      <w:r>
        <w:t xml:space="preserve"> </w:t>
      </w:r>
      <w:r>
        <w:tab/>
        <w:t>Section C of this judgment.</w:t>
      </w:r>
    </w:p>
  </w:footnote>
  <w:footnote w:id="38">
    <w:p w:rsidR="00284B4B" w:rsidRDefault="00284B4B" w:rsidP="00492FF5">
      <w:pPr>
        <w:pStyle w:val="FootnoteText"/>
        <w:tabs>
          <w:tab w:val="left" w:pos="360"/>
        </w:tabs>
      </w:pPr>
      <w:r>
        <w:rPr>
          <w:rStyle w:val="FootnoteReference"/>
        </w:rPr>
        <w:footnoteRef/>
      </w:r>
      <w:r>
        <w:t xml:space="preserve"> </w:t>
      </w:r>
      <w:r>
        <w:tab/>
        <w:t>Section D of this judgment.</w:t>
      </w:r>
    </w:p>
  </w:footnote>
  <w:footnote w:id="39">
    <w:p w:rsidR="00284B4B" w:rsidRDefault="00284B4B" w:rsidP="00492FF5">
      <w:pPr>
        <w:pStyle w:val="FootnoteText"/>
        <w:tabs>
          <w:tab w:val="left" w:pos="360"/>
        </w:tabs>
      </w:pPr>
      <w:r>
        <w:rPr>
          <w:rStyle w:val="FootnoteReference"/>
        </w:rPr>
        <w:footnoteRef/>
      </w:r>
      <w:r>
        <w:t xml:space="preserve"> </w:t>
      </w:r>
      <w:r>
        <w:tab/>
        <w:t>1</w:t>
      </w:r>
      <w:r w:rsidRPr="005A44F6">
        <w:rPr>
          <w:vertAlign w:val="superscript"/>
        </w:rPr>
        <w:t>st</w:t>
      </w:r>
      <w:r>
        <w:t xml:space="preserve"> CA Judgment, §128.</w:t>
      </w:r>
    </w:p>
  </w:footnote>
  <w:footnote w:id="40">
    <w:p w:rsidR="00284B4B" w:rsidRPr="00C665D4" w:rsidRDefault="00284B4B" w:rsidP="00492FF5">
      <w:pPr>
        <w:pStyle w:val="FootnoteText"/>
        <w:tabs>
          <w:tab w:val="left" w:pos="360"/>
        </w:tabs>
        <w:ind w:left="360" w:hanging="360"/>
        <w:jc w:val="both"/>
      </w:pPr>
      <w:r>
        <w:rPr>
          <w:rStyle w:val="FootnoteReference"/>
        </w:rPr>
        <w:footnoteRef/>
      </w:r>
      <w:r>
        <w:t xml:space="preserve"> </w:t>
      </w:r>
      <w:r>
        <w:tab/>
        <w:t xml:space="preserve">See for example </w:t>
      </w:r>
      <w:r>
        <w:rPr>
          <w:i/>
        </w:rPr>
        <w:t>Mahmud v Bank of Credit and Commerce International</w:t>
      </w:r>
      <w:r>
        <w:t xml:space="preserve"> </w:t>
      </w:r>
      <w:r>
        <w:rPr>
          <w:i/>
        </w:rPr>
        <w:t xml:space="preserve">SA </w:t>
      </w:r>
      <w:r>
        <w:t>[1998] AC 20, per Lord Nicholls of Birkenhead at 35 and Lord Steyn at 45-46.</w:t>
      </w:r>
    </w:p>
  </w:footnote>
  <w:footnote w:id="41">
    <w:p w:rsidR="00284B4B" w:rsidRPr="00E27B16" w:rsidRDefault="00284B4B" w:rsidP="00492FF5">
      <w:pPr>
        <w:pStyle w:val="FootnoteText"/>
        <w:tabs>
          <w:tab w:val="left" w:pos="360"/>
        </w:tabs>
        <w:ind w:left="360" w:hanging="360"/>
        <w:jc w:val="both"/>
      </w:pPr>
      <w:r>
        <w:rPr>
          <w:rStyle w:val="FootnoteReference"/>
        </w:rPr>
        <w:footnoteRef/>
      </w:r>
      <w:r>
        <w:t xml:space="preserve"> </w:t>
      </w:r>
      <w:r>
        <w:tab/>
        <w:t>“To make further and better provision for the prevention of bribery and for purposes necessary thereto or connected therewith”.</w:t>
      </w:r>
    </w:p>
  </w:footnote>
  <w:footnote w:id="42">
    <w:p w:rsidR="00284B4B" w:rsidRPr="00E27B16" w:rsidRDefault="00284B4B" w:rsidP="00492FF5">
      <w:pPr>
        <w:pStyle w:val="FootnoteText"/>
        <w:tabs>
          <w:tab w:val="left" w:pos="360"/>
        </w:tabs>
        <w:ind w:left="360" w:hanging="360"/>
        <w:jc w:val="both"/>
      </w:pPr>
      <w:r>
        <w:rPr>
          <w:rStyle w:val="FootnoteReference"/>
        </w:rPr>
        <w:footnoteRef/>
      </w:r>
      <w:r>
        <w:t xml:space="preserve"> </w:t>
      </w:r>
      <w:r w:rsidRPr="00E27B16">
        <w:tab/>
      </w:r>
      <w:r>
        <w:t xml:space="preserve">Including </w:t>
      </w:r>
      <w:r w:rsidRPr="00E27B16">
        <w:t xml:space="preserve">in </w:t>
      </w:r>
      <w:r>
        <w:t xml:space="preserve">this Court in </w:t>
      </w:r>
      <w:r w:rsidRPr="00FE21BA">
        <w:rPr>
          <w:i/>
          <w:szCs w:val="28"/>
          <w:lang w:eastAsia="zh-CN"/>
        </w:rPr>
        <w:t xml:space="preserve">HKSAR v Ng Po On </w:t>
      </w:r>
      <w:r w:rsidRPr="00FE21BA">
        <w:rPr>
          <w:szCs w:val="28"/>
          <w:lang w:eastAsia="zh-CN"/>
        </w:rPr>
        <w:t>(2008) 11 HKCFAR 91</w:t>
      </w:r>
      <w:r>
        <w:rPr>
          <w:szCs w:val="28"/>
          <w:lang w:eastAsia="zh-CN"/>
        </w:rPr>
        <w:t xml:space="preserve"> at §§51 and 69.</w:t>
      </w:r>
    </w:p>
  </w:footnote>
  <w:footnote w:id="43">
    <w:p w:rsidR="00284B4B" w:rsidRDefault="00284B4B" w:rsidP="00492FF5">
      <w:pPr>
        <w:pStyle w:val="FootnoteText"/>
        <w:tabs>
          <w:tab w:val="left" w:pos="360"/>
        </w:tabs>
        <w:ind w:left="360" w:hanging="360"/>
        <w:jc w:val="both"/>
      </w:pPr>
      <w:r>
        <w:rPr>
          <w:rStyle w:val="FootnoteReference"/>
        </w:rPr>
        <w:footnoteRef/>
      </w:r>
      <w:r>
        <w:t xml:space="preserve"> </w:t>
      </w:r>
      <w:r>
        <w:tab/>
      </w:r>
      <w:r w:rsidRPr="00FE21BA">
        <w:rPr>
          <w:i/>
          <w:szCs w:val="28"/>
          <w:lang w:eastAsia="zh-CN"/>
        </w:rPr>
        <w:t xml:space="preserve">Commissioner of ICAC v </w:t>
      </w:r>
      <w:proofErr w:type="spellStart"/>
      <w:r w:rsidRPr="00FE21BA">
        <w:rPr>
          <w:i/>
          <w:szCs w:val="28"/>
          <w:lang w:eastAsia="zh-CN"/>
        </w:rPr>
        <w:t>Ch’ng</w:t>
      </w:r>
      <w:proofErr w:type="spellEnd"/>
      <w:r w:rsidRPr="00FE21BA">
        <w:rPr>
          <w:i/>
          <w:szCs w:val="28"/>
          <w:lang w:eastAsia="zh-CN"/>
        </w:rPr>
        <w:t xml:space="preserve"> </w:t>
      </w:r>
      <w:proofErr w:type="spellStart"/>
      <w:r w:rsidRPr="00FE21BA">
        <w:rPr>
          <w:i/>
          <w:szCs w:val="28"/>
          <w:lang w:eastAsia="zh-CN"/>
        </w:rPr>
        <w:t>Poh</w:t>
      </w:r>
      <w:proofErr w:type="spellEnd"/>
      <w:r w:rsidRPr="00FE21BA">
        <w:rPr>
          <w:i/>
          <w:szCs w:val="28"/>
          <w:lang w:eastAsia="zh-CN"/>
        </w:rPr>
        <w:t xml:space="preserve"> </w:t>
      </w:r>
      <w:r w:rsidRPr="00FE21BA">
        <w:rPr>
          <w:szCs w:val="28"/>
          <w:lang w:eastAsia="zh-CN"/>
        </w:rPr>
        <w:t>[1997] HKLRD 652</w:t>
      </w:r>
      <w:r>
        <w:rPr>
          <w:szCs w:val="28"/>
          <w:lang w:eastAsia="zh-CN"/>
        </w:rPr>
        <w:t xml:space="preserve"> at 656.</w:t>
      </w:r>
    </w:p>
  </w:footnote>
  <w:footnote w:id="44">
    <w:p w:rsidR="00284B4B" w:rsidRPr="00297117" w:rsidRDefault="00284B4B" w:rsidP="00492FF5">
      <w:pPr>
        <w:pStyle w:val="FootnoteText"/>
        <w:tabs>
          <w:tab w:val="left" w:pos="360"/>
        </w:tabs>
        <w:ind w:left="360" w:hanging="360"/>
        <w:jc w:val="both"/>
      </w:pPr>
      <w:r>
        <w:rPr>
          <w:rStyle w:val="FootnoteReference"/>
        </w:rPr>
        <w:footnoteRef/>
      </w:r>
      <w:r>
        <w:t xml:space="preserve"> </w:t>
      </w:r>
      <w:r>
        <w:tab/>
      </w:r>
      <w:r>
        <w:rPr>
          <w:i/>
        </w:rPr>
        <w:t xml:space="preserve">Ibid </w:t>
      </w:r>
      <w:r>
        <w:t>at 657.  Italics supplied.</w:t>
      </w:r>
    </w:p>
  </w:footnote>
  <w:footnote w:id="45">
    <w:p w:rsidR="00284B4B" w:rsidRPr="00FC5B6D" w:rsidRDefault="00284B4B" w:rsidP="00492FF5">
      <w:pPr>
        <w:pStyle w:val="FootnoteText"/>
        <w:tabs>
          <w:tab w:val="left" w:pos="360"/>
        </w:tabs>
        <w:ind w:left="360" w:hanging="360"/>
        <w:jc w:val="both"/>
      </w:pPr>
      <w:r>
        <w:rPr>
          <w:rStyle w:val="FootnoteReference"/>
        </w:rPr>
        <w:footnoteRef/>
      </w:r>
      <w:r>
        <w:t xml:space="preserve"> </w:t>
      </w:r>
      <w:r>
        <w:tab/>
        <w:t>Prevention of Corruption Ordinance, Cap 215, section 4(a) (enacted in 1948), referring to any agent who “</w:t>
      </w:r>
      <w:r w:rsidRPr="00FC5B6D">
        <w:rPr>
          <w:i/>
        </w:rPr>
        <w:t>corruptly</w:t>
      </w:r>
      <w:r>
        <w:t xml:space="preserve"> accepts or obtains [</w:t>
      </w:r>
      <w:proofErr w:type="spellStart"/>
      <w:r>
        <w:t>etc</w:t>
      </w:r>
      <w:proofErr w:type="spellEnd"/>
      <w:r>
        <w:t>] ... any gift or consideration as an inducement or reward [</w:t>
      </w:r>
      <w:proofErr w:type="spellStart"/>
      <w:r>
        <w:t>etc</w:t>
      </w:r>
      <w:proofErr w:type="spellEnd"/>
      <w:r>
        <w:t>]”.</w:t>
      </w:r>
    </w:p>
  </w:footnote>
  <w:footnote w:id="46">
    <w:p w:rsidR="00284B4B" w:rsidRDefault="00284B4B" w:rsidP="00492FF5">
      <w:pPr>
        <w:pStyle w:val="FootnoteText"/>
        <w:tabs>
          <w:tab w:val="left" w:pos="360"/>
        </w:tabs>
        <w:ind w:left="360" w:hanging="360"/>
        <w:jc w:val="both"/>
      </w:pPr>
      <w:r>
        <w:rPr>
          <w:rStyle w:val="FootnoteReference"/>
        </w:rPr>
        <w:footnoteRef/>
      </w:r>
      <w:r>
        <w:t xml:space="preserve"> </w:t>
      </w:r>
      <w:r>
        <w:tab/>
        <w:t>18</w:t>
      </w:r>
      <w:r w:rsidRPr="00B407AB">
        <w:rPr>
          <w:vertAlign w:val="superscript"/>
        </w:rPr>
        <w:t>th</w:t>
      </w:r>
      <w:r>
        <w:t xml:space="preserve"> November 1970, Resumption of debate on second reading (21.10.70), Hansard p 196-197.</w:t>
      </w:r>
    </w:p>
  </w:footnote>
  <w:footnote w:id="47">
    <w:p w:rsidR="00284B4B" w:rsidRPr="00B407AB" w:rsidRDefault="00284B4B" w:rsidP="00492FF5">
      <w:pPr>
        <w:pStyle w:val="FootnoteText"/>
        <w:tabs>
          <w:tab w:val="left" w:pos="360"/>
        </w:tabs>
        <w:ind w:left="360" w:hanging="360"/>
        <w:jc w:val="both"/>
      </w:pPr>
      <w:r>
        <w:rPr>
          <w:rStyle w:val="FootnoteReference"/>
        </w:rPr>
        <w:footnoteRef/>
      </w:r>
      <w:r>
        <w:t xml:space="preserve"> </w:t>
      </w:r>
      <w:r>
        <w:tab/>
        <w:t xml:space="preserve">Mr Denys Roberts, </w:t>
      </w:r>
      <w:r>
        <w:rPr>
          <w:i/>
        </w:rPr>
        <w:t>ibid</w:t>
      </w:r>
      <w:r>
        <w:t>, p 201.</w:t>
      </w:r>
    </w:p>
  </w:footnote>
  <w:footnote w:id="48">
    <w:p w:rsidR="00284B4B" w:rsidRDefault="00284B4B" w:rsidP="00492FF5">
      <w:pPr>
        <w:pStyle w:val="FootnoteText"/>
        <w:tabs>
          <w:tab w:val="left" w:pos="360"/>
        </w:tabs>
        <w:ind w:left="360" w:hanging="360"/>
        <w:jc w:val="both"/>
      </w:pPr>
      <w:r>
        <w:rPr>
          <w:rStyle w:val="FootnoteReference"/>
        </w:rPr>
        <w:footnoteRef/>
      </w:r>
      <w:r>
        <w:t xml:space="preserve"> </w:t>
      </w:r>
      <w:r>
        <w:tab/>
      </w:r>
      <w:r w:rsidRPr="00FE21BA">
        <w:rPr>
          <w:szCs w:val="28"/>
          <w:lang w:eastAsia="zh-CN"/>
        </w:rPr>
        <w:t>(2009) 12 HKCFAR 568</w:t>
      </w:r>
      <w:r>
        <w:rPr>
          <w:szCs w:val="28"/>
          <w:lang w:eastAsia="zh-CN"/>
        </w:rPr>
        <w:t xml:space="preserve"> at §14.</w:t>
      </w:r>
    </w:p>
  </w:footnote>
  <w:footnote w:id="49">
    <w:p w:rsidR="00284B4B" w:rsidRDefault="00284B4B" w:rsidP="00D22A91">
      <w:pPr>
        <w:pStyle w:val="FootnoteText"/>
        <w:tabs>
          <w:tab w:val="left" w:pos="360"/>
        </w:tabs>
      </w:pPr>
      <w:r>
        <w:rPr>
          <w:rStyle w:val="FootnoteReference"/>
        </w:rPr>
        <w:footnoteRef/>
      </w:r>
      <w:r>
        <w:t xml:space="preserve"> </w:t>
      </w:r>
      <w:r>
        <w:tab/>
        <w:t>Set out in Section C above.</w:t>
      </w:r>
    </w:p>
  </w:footnote>
  <w:footnote w:id="50">
    <w:p w:rsidR="00284B4B" w:rsidRDefault="00284B4B" w:rsidP="00492FF5">
      <w:pPr>
        <w:pStyle w:val="FootnoteText"/>
        <w:tabs>
          <w:tab w:val="left" w:pos="360"/>
        </w:tabs>
        <w:ind w:left="360" w:hanging="360"/>
        <w:jc w:val="both"/>
      </w:pPr>
      <w:r>
        <w:rPr>
          <w:rStyle w:val="FootnoteReference"/>
        </w:rPr>
        <w:footnoteRef/>
      </w:r>
      <w:r>
        <w:tab/>
        <w:t>[1961] HKLR 13 at 94 (Full Court).</w:t>
      </w:r>
    </w:p>
  </w:footnote>
  <w:footnote w:id="51">
    <w:p w:rsidR="00284B4B" w:rsidRDefault="00284B4B" w:rsidP="00492FF5">
      <w:pPr>
        <w:pStyle w:val="FootnoteText"/>
        <w:tabs>
          <w:tab w:val="left" w:pos="360"/>
        </w:tabs>
        <w:ind w:left="360" w:hanging="360"/>
        <w:jc w:val="both"/>
      </w:pPr>
      <w:r>
        <w:rPr>
          <w:rStyle w:val="FootnoteReference"/>
        </w:rPr>
        <w:footnoteRef/>
      </w:r>
      <w:r>
        <w:t xml:space="preserve"> </w:t>
      </w:r>
      <w:r>
        <w:tab/>
        <w:t xml:space="preserve">Section 4(a) of the </w:t>
      </w:r>
      <w:r w:rsidRPr="00FE21BA">
        <w:rPr>
          <w:color w:val="000000"/>
          <w:szCs w:val="28"/>
        </w:rPr>
        <w:t>Pre</w:t>
      </w:r>
      <w:r>
        <w:rPr>
          <w:color w:val="000000"/>
          <w:szCs w:val="28"/>
        </w:rPr>
        <w:t>vention of Corruption Ordinance</w:t>
      </w:r>
      <w:r w:rsidRPr="00FE21BA">
        <w:rPr>
          <w:color w:val="000000"/>
          <w:szCs w:val="28"/>
        </w:rPr>
        <w:t xml:space="preserve"> </w:t>
      </w:r>
      <w:r>
        <w:rPr>
          <w:color w:val="000000"/>
          <w:szCs w:val="28"/>
        </w:rPr>
        <w:t>(</w:t>
      </w:r>
      <w:r w:rsidRPr="00FE21BA">
        <w:rPr>
          <w:color w:val="000000"/>
          <w:szCs w:val="28"/>
        </w:rPr>
        <w:t>Cap 215</w:t>
      </w:r>
      <w:r>
        <w:rPr>
          <w:color w:val="000000"/>
          <w:szCs w:val="28"/>
        </w:rPr>
        <w:t xml:space="preserve">) which </w:t>
      </w:r>
      <w:r w:rsidRPr="00D80C01">
        <w:rPr>
          <w:color w:val="000000"/>
          <w:szCs w:val="28"/>
        </w:rPr>
        <w:t>provide</w:t>
      </w:r>
      <w:r>
        <w:rPr>
          <w:color w:val="000000"/>
          <w:szCs w:val="28"/>
        </w:rPr>
        <w:t>d</w:t>
      </w:r>
      <w:r w:rsidRPr="00D80C01">
        <w:rPr>
          <w:color w:val="000000"/>
          <w:szCs w:val="28"/>
        </w:rPr>
        <w:t xml:space="preserve"> that if any agent corruptly accepts any gift as an inducement or reward for doing or forbearing to do or for having done or forborne to do any act in relation to his principal's affairs, he shall be guilty of an offence.</w:t>
      </w:r>
    </w:p>
  </w:footnote>
  <w:footnote w:id="52">
    <w:p w:rsidR="00284B4B" w:rsidRDefault="00284B4B" w:rsidP="00492FF5">
      <w:pPr>
        <w:pStyle w:val="FootnoteText"/>
        <w:tabs>
          <w:tab w:val="left" w:pos="360"/>
        </w:tabs>
        <w:ind w:left="360" w:hanging="360"/>
        <w:jc w:val="both"/>
      </w:pPr>
      <w:r>
        <w:rPr>
          <w:rStyle w:val="FootnoteReference"/>
        </w:rPr>
        <w:footnoteRef/>
      </w:r>
      <w:r>
        <w:t xml:space="preserve"> </w:t>
      </w:r>
      <w:r>
        <w:tab/>
      </w:r>
      <w:r w:rsidRPr="004A47C7">
        <w:t>[2008] 5 HKLRD 846</w:t>
      </w:r>
      <w:r>
        <w:t>.</w:t>
      </w:r>
    </w:p>
  </w:footnote>
  <w:footnote w:id="53">
    <w:p w:rsidR="00284B4B" w:rsidRDefault="00284B4B" w:rsidP="00492FF5">
      <w:pPr>
        <w:pStyle w:val="FootnoteText"/>
        <w:tabs>
          <w:tab w:val="left" w:pos="360"/>
        </w:tabs>
      </w:pPr>
      <w:r>
        <w:rPr>
          <w:rStyle w:val="FootnoteReference"/>
        </w:rPr>
        <w:footnoteRef/>
      </w:r>
      <w:r>
        <w:t xml:space="preserve"> </w:t>
      </w:r>
      <w:r>
        <w:tab/>
      </w:r>
      <w:r>
        <w:rPr>
          <w:i/>
        </w:rPr>
        <w:t xml:space="preserve">Ibid </w:t>
      </w:r>
      <w:r>
        <w:t>at §3.</w:t>
      </w:r>
    </w:p>
  </w:footnote>
  <w:footnote w:id="54">
    <w:p w:rsidR="00284B4B" w:rsidRDefault="00284B4B" w:rsidP="00492FF5">
      <w:pPr>
        <w:pStyle w:val="FootnoteText"/>
        <w:tabs>
          <w:tab w:val="left" w:pos="360"/>
        </w:tabs>
      </w:pPr>
      <w:r>
        <w:rPr>
          <w:rStyle w:val="FootnoteReference"/>
        </w:rPr>
        <w:footnoteRef/>
      </w:r>
      <w:r>
        <w:t xml:space="preserve"> </w:t>
      </w:r>
      <w:r>
        <w:tab/>
      </w:r>
      <w:r>
        <w:rPr>
          <w:i/>
        </w:rPr>
        <w:t xml:space="preserve">Ibid </w:t>
      </w:r>
      <w:r>
        <w:t>at §37.</w:t>
      </w:r>
    </w:p>
  </w:footnote>
  <w:footnote w:id="55">
    <w:p w:rsidR="00284B4B" w:rsidRDefault="00284B4B" w:rsidP="00492FF5">
      <w:pPr>
        <w:pStyle w:val="FootnoteText"/>
        <w:tabs>
          <w:tab w:val="left" w:pos="360"/>
        </w:tabs>
      </w:pPr>
      <w:r>
        <w:rPr>
          <w:rStyle w:val="FootnoteReference"/>
        </w:rPr>
        <w:footnoteRef/>
      </w:r>
      <w:r>
        <w:t xml:space="preserve"> </w:t>
      </w:r>
      <w:r>
        <w:tab/>
        <w:t>Cap 200.</w:t>
      </w:r>
    </w:p>
  </w:footnote>
  <w:footnote w:id="56">
    <w:p w:rsidR="00284B4B" w:rsidRDefault="00284B4B" w:rsidP="00492FF5">
      <w:pPr>
        <w:pStyle w:val="FootnoteText"/>
        <w:tabs>
          <w:tab w:val="left" w:pos="360"/>
        </w:tabs>
      </w:pPr>
      <w:r>
        <w:rPr>
          <w:rStyle w:val="FootnoteReference"/>
        </w:rPr>
        <w:footnoteRef/>
      </w:r>
      <w:r>
        <w:t xml:space="preserve"> </w:t>
      </w:r>
      <w:r>
        <w:tab/>
      </w:r>
      <w:r w:rsidRPr="004A47C7">
        <w:t>[2008] 5 HKLRD 846</w:t>
      </w:r>
      <w:r>
        <w:t xml:space="preserve"> at §39.</w:t>
      </w:r>
    </w:p>
  </w:footnote>
  <w:footnote w:id="57">
    <w:p w:rsidR="00284B4B" w:rsidRPr="005F168E" w:rsidRDefault="00284B4B" w:rsidP="00492FF5">
      <w:pPr>
        <w:pStyle w:val="FootnoteText"/>
        <w:tabs>
          <w:tab w:val="left" w:pos="360"/>
        </w:tabs>
      </w:pPr>
      <w:r>
        <w:rPr>
          <w:rStyle w:val="FootnoteReference"/>
        </w:rPr>
        <w:footnoteRef/>
      </w:r>
      <w:r>
        <w:t xml:space="preserve"> </w:t>
      </w:r>
      <w:r>
        <w:tab/>
      </w:r>
      <w:r>
        <w:rPr>
          <w:i/>
        </w:rPr>
        <w:t xml:space="preserve">Ibid </w:t>
      </w:r>
      <w:r>
        <w:t>at §40.</w:t>
      </w:r>
    </w:p>
  </w:footnote>
  <w:footnote w:id="58">
    <w:p w:rsidR="00284B4B" w:rsidRPr="008E402A" w:rsidRDefault="00284B4B" w:rsidP="00492FF5">
      <w:pPr>
        <w:pStyle w:val="FootnoteText"/>
        <w:tabs>
          <w:tab w:val="left" w:pos="360"/>
        </w:tabs>
        <w:ind w:left="360" w:hanging="360"/>
        <w:jc w:val="both"/>
      </w:pPr>
      <w:r>
        <w:rPr>
          <w:rStyle w:val="FootnoteReference"/>
        </w:rPr>
        <w:footnoteRef/>
      </w:r>
      <w:r>
        <w:t xml:space="preserve"> </w:t>
      </w:r>
      <w:r>
        <w:tab/>
        <w:t xml:space="preserve">Ian </w:t>
      </w:r>
      <w:proofErr w:type="spellStart"/>
      <w:r>
        <w:t>McWalters</w:t>
      </w:r>
      <w:proofErr w:type="spellEnd"/>
      <w:r>
        <w:t xml:space="preserve"> SC, </w:t>
      </w:r>
      <w:r>
        <w:rPr>
          <w:i/>
        </w:rPr>
        <w:t>Bribery and Corruption Law in Hong Kong</w:t>
      </w:r>
      <w:r>
        <w:t xml:space="preserve"> (Lexis </w:t>
      </w:r>
      <w:proofErr w:type="spellStart"/>
      <w:r>
        <w:t>Nexis</w:t>
      </w:r>
      <w:proofErr w:type="spellEnd"/>
      <w:r>
        <w:t xml:space="preserve"> 3</w:t>
      </w:r>
      <w:r w:rsidRPr="008E402A">
        <w:rPr>
          <w:vertAlign w:val="superscript"/>
        </w:rPr>
        <w:t>rd</w:t>
      </w:r>
      <w:r>
        <w:t xml:space="preserve"> Ed), §9.5.</w:t>
      </w:r>
    </w:p>
  </w:footnote>
  <w:footnote w:id="59">
    <w:p w:rsidR="00284B4B" w:rsidRDefault="00284B4B" w:rsidP="00492FF5">
      <w:pPr>
        <w:pStyle w:val="FootnoteText"/>
        <w:tabs>
          <w:tab w:val="left" w:pos="360"/>
        </w:tabs>
        <w:jc w:val="both"/>
      </w:pPr>
      <w:r>
        <w:rPr>
          <w:rStyle w:val="FootnoteReference"/>
        </w:rPr>
        <w:footnoteRef/>
      </w:r>
      <w:r>
        <w:t xml:space="preserve"> </w:t>
      </w:r>
      <w:r>
        <w:tab/>
      </w:r>
      <w:r w:rsidRPr="00FE21BA">
        <w:rPr>
          <w:szCs w:val="28"/>
          <w:lang w:eastAsia="zh-CN"/>
        </w:rPr>
        <w:t>(2016) 19 HKCFAR 110</w:t>
      </w:r>
      <w:r>
        <w:rPr>
          <w:szCs w:val="28"/>
          <w:lang w:eastAsia="zh-CN"/>
        </w:rPr>
        <w:t xml:space="preserve"> at §36.</w:t>
      </w:r>
    </w:p>
  </w:footnote>
  <w:footnote w:id="60">
    <w:p w:rsidR="00284B4B" w:rsidRDefault="00284B4B" w:rsidP="00492FF5">
      <w:pPr>
        <w:pStyle w:val="FootnoteText"/>
        <w:tabs>
          <w:tab w:val="left" w:pos="360"/>
        </w:tabs>
      </w:pPr>
      <w:r>
        <w:rPr>
          <w:rStyle w:val="FootnoteReference"/>
        </w:rPr>
        <w:footnoteRef/>
      </w:r>
      <w:r>
        <w:t xml:space="preserve"> </w:t>
      </w:r>
      <w:r>
        <w:tab/>
        <w:t>2</w:t>
      </w:r>
      <w:r w:rsidRPr="005A44F6">
        <w:rPr>
          <w:vertAlign w:val="superscript"/>
        </w:rPr>
        <w:t>nd</w:t>
      </w:r>
      <w:r>
        <w:t xml:space="preserve"> CA Judgment, §93.</w:t>
      </w:r>
    </w:p>
  </w:footnote>
  <w:footnote w:id="61">
    <w:p w:rsidR="00284B4B" w:rsidRDefault="00284B4B" w:rsidP="00492FF5">
      <w:pPr>
        <w:pStyle w:val="FootnoteText"/>
        <w:tabs>
          <w:tab w:val="left" w:pos="360"/>
        </w:tabs>
      </w:pPr>
      <w:r>
        <w:rPr>
          <w:rStyle w:val="FootnoteReference"/>
        </w:rPr>
        <w:footnoteRef/>
      </w:r>
      <w:r>
        <w:t xml:space="preserve"> </w:t>
      </w:r>
      <w:r>
        <w:tab/>
      </w:r>
      <w:r w:rsidRPr="00FE21BA">
        <w:rPr>
          <w:szCs w:val="28"/>
          <w:lang w:eastAsia="zh-CN"/>
        </w:rPr>
        <w:t>(2008) 11 HKCFAR 91</w:t>
      </w:r>
      <w:r>
        <w:rPr>
          <w:szCs w:val="28"/>
          <w:lang w:eastAsia="zh-CN"/>
        </w:rPr>
        <w:t>.</w:t>
      </w:r>
    </w:p>
  </w:footnote>
  <w:footnote w:id="62">
    <w:p w:rsidR="00284B4B" w:rsidRDefault="00284B4B" w:rsidP="00492FF5">
      <w:pPr>
        <w:pStyle w:val="FootnoteText"/>
        <w:tabs>
          <w:tab w:val="left" w:pos="360"/>
        </w:tabs>
      </w:pPr>
      <w:r>
        <w:rPr>
          <w:rStyle w:val="FootnoteReference"/>
        </w:rPr>
        <w:footnoteRef/>
      </w:r>
      <w:r>
        <w:t xml:space="preserve"> </w:t>
      </w:r>
      <w:r>
        <w:tab/>
        <w:t>At §37.</w:t>
      </w:r>
    </w:p>
  </w:footnote>
  <w:footnote w:id="63">
    <w:p w:rsidR="00284B4B" w:rsidRDefault="00284B4B" w:rsidP="00492FF5">
      <w:pPr>
        <w:pStyle w:val="FootnoteText"/>
        <w:tabs>
          <w:tab w:val="left" w:pos="360"/>
        </w:tabs>
        <w:ind w:left="360" w:hanging="360"/>
        <w:jc w:val="both"/>
      </w:pPr>
      <w:r>
        <w:rPr>
          <w:rStyle w:val="FootnoteReference"/>
        </w:rPr>
        <w:footnoteRef/>
      </w:r>
      <w:r>
        <w:t xml:space="preserve"> </w:t>
      </w:r>
      <w:r>
        <w:tab/>
        <w:t xml:space="preserve">Section 94A of the Criminal Procedure Ordinance (Cap 221) which relieves the prosecution of </w:t>
      </w:r>
      <w:proofErr w:type="spellStart"/>
      <w:r>
        <w:t>negativing</w:t>
      </w:r>
      <w:proofErr w:type="spellEnd"/>
      <w:r>
        <w:t xml:space="preserve"> exceptions or exemptions or qualifications to the operation of a law creating an offence. </w:t>
      </w:r>
    </w:p>
  </w:footnote>
  <w:footnote w:id="64">
    <w:p w:rsidR="00284B4B" w:rsidRDefault="00284B4B" w:rsidP="00492FF5">
      <w:pPr>
        <w:pStyle w:val="FootnoteText"/>
        <w:tabs>
          <w:tab w:val="left" w:pos="360"/>
        </w:tabs>
        <w:ind w:left="360" w:hanging="360"/>
        <w:jc w:val="both"/>
      </w:pPr>
      <w:r>
        <w:rPr>
          <w:rStyle w:val="FootnoteReference"/>
        </w:rPr>
        <w:footnoteRef/>
      </w:r>
      <w:r>
        <w:t xml:space="preserve"> </w:t>
      </w:r>
      <w:r>
        <w:tab/>
        <w:t>Cap 200.  Section 159A(2): “</w:t>
      </w:r>
      <w:r w:rsidRPr="0007519B">
        <w:t>Where liability for any offence may be incurred without knowledge on the part of the person committing it of any particular fact or circumstance necessary for the commission of the offence, a person shall nevertheless not be guilty of conspiracy to commit that offence by virtue of subsection (1) unless he and at least one other party to the agreement intend or know that that fact or circumstance shall or will exist at the time when the conduct constituting the offence is to take place.</w:t>
      </w:r>
      <w:r>
        <w:t>”</w:t>
      </w:r>
    </w:p>
  </w:footnote>
  <w:footnote w:id="65">
    <w:p w:rsidR="00284B4B" w:rsidRDefault="00284B4B" w:rsidP="00492FF5">
      <w:pPr>
        <w:pStyle w:val="FootnoteText"/>
        <w:tabs>
          <w:tab w:val="left" w:pos="360"/>
        </w:tabs>
        <w:ind w:left="360" w:hanging="360"/>
        <w:jc w:val="both"/>
      </w:pPr>
      <w:r>
        <w:rPr>
          <w:rStyle w:val="FootnoteReference"/>
        </w:rPr>
        <w:footnoteRef/>
      </w:r>
      <w:r>
        <w:t xml:space="preserve"> </w:t>
      </w:r>
      <w:r>
        <w:tab/>
      </w:r>
      <w:r w:rsidRPr="00FE21BA">
        <w:rPr>
          <w:szCs w:val="28"/>
          <w:lang w:eastAsia="zh-CN"/>
        </w:rPr>
        <w:t>(2008) 11 HKCFAR 91</w:t>
      </w:r>
      <w:r>
        <w:rPr>
          <w:szCs w:val="28"/>
          <w:lang w:eastAsia="zh-CN"/>
        </w:rPr>
        <w:t xml:space="preserve"> at </w:t>
      </w:r>
      <w:r>
        <w:t>§11.</w:t>
      </w:r>
    </w:p>
  </w:footnote>
  <w:footnote w:id="66">
    <w:p w:rsidR="00284B4B" w:rsidRDefault="00284B4B" w:rsidP="00492FF5">
      <w:pPr>
        <w:pStyle w:val="FootnoteText"/>
        <w:tabs>
          <w:tab w:val="left" w:pos="360"/>
        </w:tabs>
        <w:ind w:left="360" w:hanging="360"/>
      </w:pPr>
      <w:r>
        <w:rPr>
          <w:rStyle w:val="FootnoteReference"/>
        </w:rPr>
        <w:footnoteRef/>
      </w:r>
      <w:r>
        <w:t xml:space="preserve"> </w:t>
      </w:r>
      <w:r>
        <w:tab/>
        <w:t>Appearing with Ms Maggie Wong, Mr Derek C L Chan and Mr Samuel Sung for Tseng.</w:t>
      </w:r>
    </w:p>
  </w:footnote>
  <w:footnote w:id="67">
    <w:p w:rsidR="00284B4B" w:rsidRDefault="00284B4B" w:rsidP="00492FF5">
      <w:pPr>
        <w:pStyle w:val="FootnoteText"/>
        <w:tabs>
          <w:tab w:val="left" w:pos="360"/>
        </w:tabs>
        <w:jc w:val="both"/>
      </w:pPr>
      <w:r>
        <w:rPr>
          <w:rStyle w:val="FootnoteReference"/>
        </w:rPr>
        <w:footnoteRef/>
      </w:r>
      <w:r>
        <w:t xml:space="preserve"> </w:t>
      </w:r>
      <w:r>
        <w:tab/>
        <w:t>Such as the rules of evidence contained in POBO sections 10, 20, 21 and 21A.</w:t>
      </w:r>
    </w:p>
  </w:footnote>
  <w:footnote w:id="68">
    <w:p w:rsidR="00284B4B" w:rsidRDefault="00284B4B" w:rsidP="00492FF5">
      <w:pPr>
        <w:pStyle w:val="FootnoteText"/>
        <w:tabs>
          <w:tab w:val="left" w:pos="360"/>
        </w:tabs>
        <w:ind w:left="360" w:hanging="360"/>
        <w:jc w:val="both"/>
      </w:pPr>
      <w:r>
        <w:rPr>
          <w:rStyle w:val="FootnoteReference"/>
        </w:rPr>
        <w:footnoteRef/>
      </w:r>
      <w:r>
        <w:t xml:space="preserve"> </w:t>
      </w:r>
      <w:r>
        <w:tab/>
        <w:t>Pursuant to section 83A of the Criminal Procedure Ordinance (Cap 221) in conjunction with section 17(2) of the Hong Kong Court of Final Appeal Ordinance (Cap 484).</w:t>
      </w:r>
    </w:p>
  </w:footnote>
  <w:footnote w:id="69">
    <w:p w:rsidR="00284B4B" w:rsidRPr="007A5657" w:rsidRDefault="00284B4B" w:rsidP="00C52C78">
      <w:pPr>
        <w:pStyle w:val="FootnoteText"/>
        <w:snapToGrid w:val="0"/>
        <w:ind w:left="360" w:hanging="360"/>
      </w:pPr>
      <w:r>
        <w:rPr>
          <w:rStyle w:val="FootnoteReference"/>
        </w:rPr>
        <w:footnoteRef/>
      </w:r>
      <w:r>
        <w:tab/>
        <w:t>Para 4 above.</w:t>
      </w:r>
    </w:p>
  </w:footnote>
  <w:footnote w:id="70">
    <w:p w:rsidR="00284B4B" w:rsidRDefault="00284B4B" w:rsidP="00C52C78">
      <w:pPr>
        <w:pStyle w:val="FootnoteText"/>
        <w:snapToGrid w:val="0"/>
        <w:ind w:left="360" w:hanging="360"/>
      </w:pPr>
      <w:r>
        <w:rPr>
          <w:rStyle w:val="FootnoteReference"/>
        </w:rPr>
        <w:footnoteRef/>
      </w:r>
      <w:r>
        <w:tab/>
        <w:t>A</w:t>
      </w:r>
      <w:r>
        <w:rPr>
          <w:rFonts w:hint="eastAsia"/>
        </w:rPr>
        <w:t xml:space="preserve"> </w:t>
      </w:r>
      <w:r>
        <w:t>popular artiste in the employ of TVB.</w:t>
      </w:r>
    </w:p>
  </w:footnote>
  <w:footnote w:id="71">
    <w:p w:rsidR="00284B4B" w:rsidRDefault="00284B4B" w:rsidP="00C52C78">
      <w:pPr>
        <w:pStyle w:val="FootnoteText"/>
        <w:tabs>
          <w:tab w:val="left" w:pos="360"/>
        </w:tabs>
        <w:ind w:left="360" w:hanging="360"/>
        <w:jc w:val="both"/>
      </w:pPr>
      <w:r>
        <w:rPr>
          <w:rStyle w:val="FootnoteReference"/>
        </w:rPr>
        <w:footnoteRef/>
      </w:r>
      <w:r>
        <w:tab/>
        <w:t>Yeung VP, Cheung and Yuen JJA, CACC 355/2011 and CACC 103/2012 (21 November 2012).</w:t>
      </w:r>
    </w:p>
  </w:footnote>
  <w:footnote w:id="72">
    <w:p w:rsidR="00284B4B" w:rsidRPr="00416D5D" w:rsidRDefault="00284B4B" w:rsidP="00C52C78">
      <w:pPr>
        <w:pStyle w:val="FootnoteText"/>
        <w:snapToGrid w:val="0"/>
        <w:ind w:left="360" w:hanging="360"/>
      </w:pPr>
      <w:r>
        <w:rPr>
          <w:rStyle w:val="FootnoteReference"/>
        </w:rPr>
        <w:footnoteRef/>
      </w:r>
      <w:r>
        <w:tab/>
        <w:t>Para 7 above.</w:t>
      </w:r>
    </w:p>
  </w:footnote>
  <w:footnote w:id="73">
    <w:p w:rsidR="00284B4B" w:rsidRPr="00F14A99" w:rsidRDefault="00284B4B" w:rsidP="00C52C78">
      <w:pPr>
        <w:pStyle w:val="FootnoteText"/>
        <w:ind w:left="360" w:hanging="360"/>
        <w:jc w:val="both"/>
      </w:pPr>
      <w:r>
        <w:rPr>
          <w:rStyle w:val="FootnoteReference"/>
        </w:rPr>
        <w:footnoteRef/>
      </w:r>
      <w:r>
        <w:tab/>
        <w:t xml:space="preserve">The issue is complicated by the fact that we are concerned with the charge of conspiracy.  See section K of Ribeiro PJ’s judgment.  </w:t>
      </w:r>
    </w:p>
  </w:footnote>
  <w:footnote w:id="74">
    <w:p w:rsidR="00284B4B" w:rsidRDefault="00284B4B" w:rsidP="00C52C78">
      <w:pPr>
        <w:pStyle w:val="FootnoteText"/>
        <w:ind w:left="360" w:hanging="360"/>
        <w:jc w:val="both"/>
      </w:pPr>
      <w:r>
        <w:rPr>
          <w:rStyle w:val="FootnoteReference"/>
        </w:rPr>
        <w:footnoteRef/>
      </w:r>
      <w:r>
        <w:tab/>
        <w:t>L</w:t>
      </w:r>
      <w:r>
        <w:rPr>
          <w:rFonts w:hint="eastAsia"/>
        </w:rPr>
        <w:t xml:space="preserve">ike </w:t>
      </w:r>
      <w:r>
        <w:t>Ribeiro PJ, I will not consider whether s 24 infringes the presumption of innocence.</w:t>
      </w:r>
    </w:p>
  </w:footnote>
  <w:footnote w:id="75">
    <w:p w:rsidR="00284B4B" w:rsidRDefault="00284B4B" w:rsidP="00C52C78">
      <w:pPr>
        <w:pStyle w:val="FootnoteText"/>
        <w:snapToGrid w:val="0"/>
        <w:ind w:left="360" w:hanging="360"/>
        <w:jc w:val="both"/>
      </w:pPr>
      <w:r>
        <w:rPr>
          <w:rStyle w:val="FootnoteReference"/>
        </w:rPr>
        <w:footnoteRef/>
      </w:r>
      <w:r>
        <w:tab/>
      </w:r>
      <w:proofErr w:type="spellStart"/>
      <w:r w:rsidRPr="009758D3">
        <w:rPr>
          <w:rFonts w:hint="eastAsia"/>
          <w:i/>
        </w:rPr>
        <w:t>Taikato</w:t>
      </w:r>
      <w:proofErr w:type="spellEnd"/>
      <w:r w:rsidRPr="009758D3">
        <w:rPr>
          <w:rFonts w:hint="eastAsia"/>
          <w:i/>
        </w:rPr>
        <w:t xml:space="preserve"> v R</w:t>
      </w:r>
      <w:r>
        <w:rPr>
          <w:rFonts w:hint="eastAsia"/>
        </w:rPr>
        <w:t xml:space="preserve"> </w:t>
      </w:r>
      <w:r>
        <w:t>(</w:t>
      </w:r>
      <w:r>
        <w:rPr>
          <w:rFonts w:hint="eastAsia"/>
        </w:rPr>
        <w:t>1996</w:t>
      </w:r>
      <w:r>
        <w:t>)</w:t>
      </w:r>
      <w:r>
        <w:rPr>
          <w:rFonts w:hint="eastAsia"/>
        </w:rPr>
        <w:t xml:space="preserve"> 186 CLR 454 at 464.</w:t>
      </w:r>
    </w:p>
  </w:footnote>
  <w:footnote w:id="76">
    <w:p w:rsidR="00284B4B" w:rsidRDefault="00284B4B" w:rsidP="00C52C78">
      <w:pPr>
        <w:pStyle w:val="FootnoteText"/>
        <w:snapToGrid w:val="0"/>
        <w:ind w:left="360" w:hanging="360"/>
        <w:jc w:val="both"/>
      </w:pPr>
      <w:r>
        <w:rPr>
          <w:rStyle w:val="FootnoteReference"/>
        </w:rPr>
        <w:footnoteRef/>
      </w:r>
      <w:r>
        <w:tab/>
        <w:t>A</w:t>
      </w:r>
      <w:r>
        <w:rPr>
          <w:rFonts w:hint="eastAsia"/>
        </w:rPr>
        <w:t xml:space="preserve">ll </w:t>
      </w:r>
      <w:r>
        <w:t>references are to Cap 201 unless otherwise stated.</w:t>
      </w:r>
    </w:p>
  </w:footnote>
  <w:footnote w:id="77">
    <w:p w:rsidR="00284B4B" w:rsidRDefault="00284B4B" w:rsidP="00C52C78">
      <w:pPr>
        <w:pStyle w:val="FootnoteText"/>
        <w:snapToGrid w:val="0"/>
        <w:ind w:left="360" w:hanging="360"/>
        <w:jc w:val="both"/>
      </w:pPr>
      <w:r>
        <w:rPr>
          <w:rStyle w:val="FootnoteReference"/>
        </w:rPr>
        <w:footnoteRef/>
      </w:r>
      <w:r>
        <w:tab/>
        <w:t xml:space="preserve">Section 9(2) provides a corresponding offence for the </w:t>
      </w:r>
      <w:proofErr w:type="spellStart"/>
      <w:r>
        <w:t>offeror</w:t>
      </w:r>
      <w:proofErr w:type="spellEnd"/>
      <w:r>
        <w:t xml:space="preserve">.  It is not necessary to deal separately with him. </w:t>
      </w:r>
    </w:p>
  </w:footnote>
  <w:footnote w:id="78">
    <w:p w:rsidR="00284B4B" w:rsidRDefault="00284B4B" w:rsidP="00C52C78">
      <w:pPr>
        <w:pStyle w:val="FootnoteText"/>
        <w:snapToGrid w:val="0"/>
        <w:ind w:left="360" w:hanging="360"/>
        <w:jc w:val="both"/>
      </w:pPr>
      <w:r>
        <w:rPr>
          <w:rStyle w:val="FootnoteReference"/>
        </w:rPr>
        <w:footnoteRef/>
      </w:r>
      <w:r>
        <w:tab/>
        <w:t>No reliance on such permission.</w:t>
      </w:r>
    </w:p>
  </w:footnote>
  <w:footnote w:id="79">
    <w:p w:rsidR="00284B4B" w:rsidRDefault="00284B4B" w:rsidP="00C52C78">
      <w:pPr>
        <w:pStyle w:val="FootnoteText"/>
        <w:ind w:left="360" w:hanging="360"/>
        <w:jc w:val="both"/>
      </w:pPr>
      <w:r>
        <w:rPr>
          <w:rStyle w:val="FootnoteReference"/>
        </w:rPr>
        <w:footnoteRef/>
      </w:r>
      <w:r>
        <w:tab/>
        <w:t>DCCC 1214/2010, para 29.</w:t>
      </w:r>
    </w:p>
  </w:footnote>
  <w:footnote w:id="80">
    <w:p w:rsidR="00284B4B" w:rsidRPr="006A1F72" w:rsidRDefault="00284B4B" w:rsidP="00C52C78">
      <w:pPr>
        <w:pStyle w:val="FootnoteText"/>
        <w:snapToGrid w:val="0"/>
        <w:ind w:left="360" w:hanging="360"/>
        <w:jc w:val="both"/>
      </w:pPr>
      <w:r>
        <w:rPr>
          <w:rStyle w:val="FootnoteReference"/>
        </w:rPr>
        <w:footnoteRef/>
      </w:r>
      <w:r>
        <w:tab/>
        <w:t xml:space="preserve">Section 4(2)(a).  Section 4(1) contains the corresponding offence for the </w:t>
      </w:r>
      <w:proofErr w:type="spellStart"/>
      <w:r>
        <w:t>offeror</w:t>
      </w:r>
      <w:proofErr w:type="spellEnd"/>
      <w:r>
        <w:t>, with which we are not concerned.</w:t>
      </w:r>
    </w:p>
  </w:footnote>
  <w:footnote w:id="81">
    <w:p w:rsidR="00284B4B" w:rsidRDefault="00284B4B" w:rsidP="00C52C78">
      <w:pPr>
        <w:pStyle w:val="FootnoteText"/>
        <w:snapToGrid w:val="0"/>
        <w:ind w:left="360" w:hanging="360"/>
        <w:jc w:val="both"/>
      </w:pPr>
      <w:r>
        <w:rPr>
          <w:rStyle w:val="FootnoteReference"/>
        </w:rPr>
        <w:footnoteRef/>
      </w:r>
      <w:r>
        <w:tab/>
        <w:t>I</w:t>
      </w:r>
      <w:r>
        <w:rPr>
          <w:rFonts w:hint="eastAsia"/>
        </w:rPr>
        <w:t xml:space="preserve">t </w:t>
      </w:r>
      <w:r>
        <w:t xml:space="preserve">was not the prosecution case that Chan was acting in his capacity as a public servant. </w:t>
      </w:r>
    </w:p>
  </w:footnote>
  <w:footnote w:id="82">
    <w:p w:rsidR="00284B4B" w:rsidRDefault="00284B4B" w:rsidP="00C52C78">
      <w:pPr>
        <w:pStyle w:val="FootnoteText"/>
        <w:tabs>
          <w:tab w:val="left" w:pos="360"/>
        </w:tabs>
      </w:pPr>
      <w:r>
        <w:rPr>
          <w:rStyle w:val="FootnoteReference"/>
        </w:rPr>
        <w:footnoteRef/>
      </w:r>
      <w:r>
        <w:tab/>
        <w:t>At p 656.</w:t>
      </w:r>
    </w:p>
  </w:footnote>
  <w:footnote w:id="83">
    <w:p w:rsidR="00284B4B" w:rsidRPr="0025084B" w:rsidRDefault="00284B4B" w:rsidP="00C52C78">
      <w:pPr>
        <w:pStyle w:val="FootnoteText"/>
        <w:snapToGrid w:val="0"/>
        <w:ind w:left="360" w:hanging="360"/>
        <w:jc w:val="both"/>
      </w:pPr>
      <w:r>
        <w:rPr>
          <w:rStyle w:val="FootnoteReference"/>
        </w:rPr>
        <w:footnoteRef/>
      </w:r>
      <w:r>
        <w:tab/>
        <w:t>Section 9(4) and (5) were introduced by amendment in 1980.  Section 4 of Cap 215 was based on s 1 of the Prevention of Corruption Act 1906 (“the 1906 Act”).</w:t>
      </w:r>
    </w:p>
  </w:footnote>
  <w:footnote w:id="84">
    <w:p w:rsidR="00284B4B" w:rsidRPr="00C94FAE" w:rsidRDefault="00284B4B" w:rsidP="00C52C78">
      <w:pPr>
        <w:pStyle w:val="FootnoteText"/>
        <w:snapToGrid w:val="0"/>
        <w:ind w:left="360" w:hanging="360"/>
        <w:jc w:val="both"/>
      </w:pPr>
      <w:r>
        <w:rPr>
          <w:rStyle w:val="FootnoteReference"/>
        </w:rPr>
        <w:footnoteRef/>
      </w:r>
      <w:r>
        <w:tab/>
        <w:t xml:space="preserve">Para 1.31, following </w:t>
      </w:r>
      <w:r w:rsidRPr="00DE0B94">
        <w:rPr>
          <w:i/>
        </w:rPr>
        <w:t>Cooper v Slade</w:t>
      </w:r>
      <w:r>
        <w:t xml:space="preserve"> (1858) 6 HLC 746, Willes J and </w:t>
      </w:r>
      <w:r w:rsidRPr="00DE0B94">
        <w:rPr>
          <w:i/>
        </w:rPr>
        <w:t>R v Smith</w:t>
      </w:r>
      <w:r>
        <w:t xml:space="preserve"> [1960] 2 QB 423.</w:t>
      </w:r>
    </w:p>
  </w:footnote>
  <w:footnote w:id="85">
    <w:p w:rsidR="00284B4B" w:rsidRDefault="00284B4B" w:rsidP="00C52C78">
      <w:pPr>
        <w:pStyle w:val="FootnoteText"/>
        <w:ind w:left="360" w:hanging="360"/>
        <w:jc w:val="both"/>
      </w:pPr>
      <w:r>
        <w:rPr>
          <w:rStyle w:val="FootnoteReference"/>
        </w:rPr>
        <w:footnoteRef/>
      </w:r>
      <w:r>
        <w:tab/>
        <w:t>D</w:t>
      </w:r>
      <w:r>
        <w:rPr>
          <w:rFonts w:hint="eastAsia"/>
        </w:rPr>
        <w:t xml:space="preserve">uring </w:t>
      </w:r>
      <w:r>
        <w:t>the second reading.</w:t>
      </w:r>
    </w:p>
  </w:footnote>
  <w:footnote w:id="86">
    <w:p w:rsidR="00284B4B" w:rsidRDefault="00284B4B" w:rsidP="00C52C78">
      <w:pPr>
        <w:pStyle w:val="FootnoteText"/>
        <w:ind w:left="360" w:hanging="360"/>
        <w:jc w:val="both"/>
      </w:pPr>
      <w:r>
        <w:rPr>
          <w:rStyle w:val="FootnoteReference"/>
        </w:rPr>
        <w:footnoteRef/>
      </w:r>
      <w:r>
        <w:tab/>
      </w:r>
      <w:r>
        <w:rPr>
          <w:rFonts w:hint="eastAsia"/>
        </w:rPr>
        <w:t>Hansard 18</w:t>
      </w:r>
      <w:r>
        <w:t xml:space="preserve"> November </w:t>
      </w:r>
      <w:r>
        <w:rPr>
          <w:rFonts w:hint="eastAsia"/>
        </w:rPr>
        <w:t>1970 at 201.</w:t>
      </w:r>
    </w:p>
  </w:footnote>
  <w:footnote w:id="87">
    <w:p w:rsidR="00284B4B" w:rsidRDefault="00284B4B" w:rsidP="00C52C78">
      <w:pPr>
        <w:pStyle w:val="FootnoteText"/>
        <w:snapToGrid w:val="0"/>
        <w:ind w:left="360" w:hanging="360"/>
        <w:jc w:val="both"/>
      </w:pPr>
      <w:r>
        <w:rPr>
          <w:rStyle w:val="FootnoteReference"/>
        </w:rPr>
        <w:footnoteRef/>
      </w:r>
      <w:r>
        <w:tab/>
        <w:t>However, if the soliciting or acceptance was made with permission by the principal in compliance with s</w:t>
      </w:r>
      <w:r>
        <w:rPr>
          <w:rFonts w:hint="eastAsia"/>
        </w:rPr>
        <w:t xml:space="preserve"> </w:t>
      </w:r>
      <w:r>
        <w:t xml:space="preserve">9(4) and (5), then neither the agent nor the </w:t>
      </w:r>
      <w:proofErr w:type="spellStart"/>
      <w:r>
        <w:t>offeror</w:t>
      </w:r>
      <w:proofErr w:type="spellEnd"/>
      <w:r>
        <w:t xml:space="preserve"> would be guilty of an offence under s 9(1)(a) or (b). </w:t>
      </w:r>
    </w:p>
  </w:footnote>
  <w:footnote w:id="88">
    <w:p w:rsidR="00284B4B" w:rsidRDefault="00284B4B" w:rsidP="00C52C78">
      <w:pPr>
        <w:pStyle w:val="FootnoteText"/>
        <w:snapToGrid w:val="0"/>
        <w:ind w:left="360" w:hanging="360"/>
        <w:jc w:val="both"/>
      </w:pPr>
      <w:r>
        <w:rPr>
          <w:rStyle w:val="FootnoteReference"/>
        </w:rPr>
        <w:footnoteRef/>
      </w:r>
      <w:r>
        <w:tab/>
        <w:t xml:space="preserve">There was a discussion at the hearing over whether if a junior clerk employed by TVB were to return to work after office hours for a contracted cleaner to clean TVB’s premises whether he could come within s 9.  I feel sure the defence of reasonable excuse would be available.  It would no more affect his employer if he was engaged after work to make sandwiches for the caterer who supplied them to his employer. But, the matter is fact sensitive.  The situation of a manager who owns an outside catering service and sells sandwiches to his employer without any disclosure may be more problematical.  </w:t>
      </w:r>
      <w:r>
        <w:rPr>
          <w:rFonts w:hint="eastAsia"/>
        </w:rPr>
        <w:t>Here Chan</w:t>
      </w:r>
      <w:r>
        <w:t>’s</w:t>
      </w:r>
      <w:r>
        <w:rPr>
          <w:rFonts w:hint="eastAsia"/>
        </w:rPr>
        <w:t xml:space="preserve"> contract of employment</w:t>
      </w:r>
      <w:r>
        <w:t xml:space="preserve"> with TVB did not permit outside work without the written consent of TVB.  Mr Caplan QC rightly accepted that this has no bearing on whether Chan’s </w:t>
      </w:r>
      <w:r w:rsidRPr="008C6BDD">
        <w:t xml:space="preserve">performance in “Be My Guest” related to TVB’s affairs or business. </w:t>
      </w:r>
      <w:r>
        <w:t xml:space="preserve"> </w:t>
      </w:r>
      <w:r w:rsidRPr="008C6BDD">
        <w:t>But, whether his appearance in the “Be My Guest” related to the affairs or business of TVB is not easily resolved</w:t>
      </w:r>
      <w:r>
        <w:t>.</w:t>
      </w:r>
    </w:p>
  </w:footnote>
  <w:footnote w:id="89">
    <w:p w:rsidR="00284B4B" w:rsidRDefault="00284B4B" w:rsidP="00C52C78">
      <w:pPr>
        <w:pStyle w:val="FootnoteText"/>
        <w:tabs>
          <w:tab w:val="left" w:pos="360"/>
        </w:tabs>
        <w:snapToGrid w:val="0"/>
        <w:jc w:val="both"/>
      </w:pPr>
      <w:r>
        <w:rPr>
          <w:rStyle w:val="FootnoteReference"/>
        </w:rPr>
        <w:footnoteRef/>
      </w:r>
      <w:r>
        <w:tab/>
        <w:t>P 657.</w:t>
      </w:r>
    </w:p>
  </w:footnote>
  <w:footnote w:id="90">
    <w:p w:rsidR="00284B4B" w:rsidRDefault="00284B4B" w:rsidP="00C52C78">
      <w:pPr>
        <w:pStyle w:val="FootnoteText"/>
        <w:snapToGrid w:val="0"/>
        <w:ind w:left="360" w:hanging="360"/>
        <w:jc w:val="both"/>
      </w:pPr>
      <w:r>
        <w:rPr>
          <w:rStyle w:val="FootnoteReference"/>
        </w:rPr>
        <w:footnoteRef/>
      </w:r>
      <w:r>
        <w:tab/>
      </w:r>
      <w:r>
        <w:rPr>
          <w:rFonts w:hint="eastAsia"/>
        </w:rPr>
        <w:t>1043G</w:t>
      </w:r>
      <w:r>
        <w:t>.</w:t>
      </w:r>
    </w:p>
  </w:footnote>
  <w:footnote w:id="91">
    <w:p w:rsidR="00284B4B" w:rsidRPr="00C916FE" w:rsidRDefault="00284B4B" w:rsidP="00C52C78">
      <w:pPr>
        <w:pStyle w:val="FootnoteText"/>
        <w:ind w:left="360" w:hanging="360"/>
        <w:jc w:val="both"/>
      </w:pPr>
      <w:r>
        <w:rPr>
          <w:rStyle w:val="FootnoteReference"/>
        </w:rPr>
        <w:footnoteRef/>
      </w:r>
      <w:r>
        <w:tab/>
        <w:t>Para 103 above.</w:t>
      </w:r>
    </w:p>
  </w:footnote>
  <w:footnote w:id="92">
    <w:p w:rsidR="00284B4B" w:rsidRPr="0001528E" w:rsidRDefault="00284B4B" w:rsidP="00C52C78">
      <w:pPr>
        <w:pStyle w:val="FootnoteText"/>
        <w:ind w:left="360" w:hanging="360"/>
      </w:pPr>
      <w:r>
        <w:rPr>
          <w:rStyle w:val="FootnoteReference"/>
        </w:rPr>
        <w:footnoteRef/>
      </w:r>
      <w:r>
        <w:tab/>
        <w:t xml:space="preserve">Lord Judge CJ, </w:t>
      </w:r>
      <w:proofErr w:type="spellStart"/>
      <w:r>
        <w:t>Openshaw</w:t>
      </w:r>
      <w:proofErr w:type="spellEnd"/>
      <w:r>
        <w:t>, Irwin JJ.</w:t>
      </w:r>
    </w:p>
  </w:footnote>
  <w:footnote w:id="93">
    <w:p w:rsidR="00284B4B" w:rsidRPr="00C916FE" w:rsidRDefault="00284B4B" w:rsidP="00C52C78">
      <w:pPr>
        <w:pStyle w:val="FootnoteText"/>
        <w:tabs>
          <w:tab w:val="left" w:pos="360"/>
        </w:tabs>
      </w:pPr>
      <w:r>
        <w:rPr>
          <w:rStyle w:val="FootnoteReference"/>
        </w:rPr>
        <w:footnoteRef/>
      </w:r>
      <w:r>
        <w:tab/>
        <w:t>Together with Ashworth and Browne JJ.</w:t>
      </w:r>
    </w:p>
  </w:footnote>
  <w:footnote w:id="94">
    <w:p w:rsidR="00284B4B" w:rsidRPr="003A5CF6" w:rsidRDefault="00284B4B" w:rsidP="00C52C78">
      <w:pPr>
        <w:pStyle w:val="FootnoteText"/>
        <w:tabs>
          <w:tab w:val="left" w:pos="360"/>
        </w:tabs>
      </w:pPr>
      <w:r>
        <w:rPr>
          <w:rStyle w:val="FootnoteReference"/>
        </w:rPr>
        <w:footnoteRef/>
      </w:r>
      <w:r>
        <w:tab/>
        <w:t>With the agreement of Ashworth and Browne JJ.</w:t>
      </w:r>
    </w:p>
  </w:footnote>
  <w:footnote w:id="95">
    <w:p w:rsidR="00284B4B" w:rsidRDefault="00284B4B" w:rsidP="00C52C78">
      <w:pPr>
        <w:pStyle w:val="FootnoteText"/>
        <w:tabs>
          <w:tab w:val="left" w:pos="360"/>
        </w:tabs>
      </w:pPr>
      <w:r>
        <w:rPr>
          <w:rStyle w:val="FootnoteReference"/>
        </w:rPr>
        <w:footnoteRef/>
      </w:r>
      <w:r>
        <w:tab/>
        <w:t>P 1056e.</w:t>
      </w:r>
    </w:p>
  </w:footnote>
  <w:footnote w:id="96">
    <w:p w:rsidR="00284B4B" w:rsidRDefault="00284B4B" w:rsidP="00C52C78">
      <w:pPr>
        <w:pStyle w:val="FootnoteText"/>
        <w:tabs>
          <w:tab w:val="left" w:pos="360"/>
        </w:tabs>
      </w:pPr>
      <w:r>
        <w:rPr>
          <w:rStyle w:val="FootnoteReference"/>
        </w:rPr>
        <w:footnoteRef/>
      </w:r>
      <w:r>
        <w:tab/>
        <w:t>(</w:t>
      </w:r>
      <w:r>
        <w:rPr>
          <w:rFonts w:hint="eastAsia"/>
        </w:rPr>
        <w:t>1948</w:t>
      </w:r>
      <w:r>
        <w:t>)</w:t>
      </w:r>
      <w:r>
        <w:rPr>
          <w:rFonts w:hint="eastAsia"/>
        </w:rPr>
        <w:t xml:space="preserve"> 33 C</w:t>
      </w:r>
      <w:r>
        <w:t>r</w:t>
      </w:r>
      <w:r>
        <w:rPr>
          <w:rFonts w:hint="eastAsia"/>
        </w:rPr>
        <w:t xml:space="preserve"> </w:t>
      </w:r>
      <w:r>
        <w:t>A</w:t>
      </w:r>
      <w:r>
        <w:rPr>
          <w:rFonts w:hint="eastAsia"/>
        </w:rPr>
        <w:t>pp Rep 5 at 9</w:t>
      </w:r>
      <w:r>
        <w:t>.</w:t>
      </w:r>
    </w:p>
  </w:footnote>
  <w:footnote w:id="97">
    <w:p w:rsidR="00284B4B" w:rsidRPr="003020DB" w:rsidRDefault="00284B4B" w:rsidP="00C52C78">
      <w:pPr>
        <w:pStyle w:val="FootnoteText"/>
        <w:snapToGrid w:val="0"/>
        <w:ind w:left="360" w:hanging="360"/>
        <w:jc w:val="both"/>
      </w:pPr>
      <w:r>
        <w:rPr>
          <w:rStyle w:val="FootnoteReference"/>
        </w:rPr>
        <w:footnoteRef/>
      </w:r>
      <w:r>
        <w:tab/>
        <w:t>Paras 61-65 above.</w:t>
      </w:r>
    </w:p>
  </w:footnote>
  <w:footnote w:id="98">
    <w:p w:rsidR="00284B4B" w:rsidRPr="006B0869" w:rsidRDefault="00284B4B" w:rsidP="00C52C78">
      <w:pPr>
        <w:pStyle w:val="FootnoteText"/>
        <w:snapToGrid w:val="0"/>
        <w:ind w:left="360" w:hanging="360"/>
        <w:jc w:val="both"/>
      </w:pPr>
      <w:r>
        <w:rPr>
          <w:rStyle w:val="FootnoteReference"/>
        </w:rPr>
        <w:footnoteRef/>
      </w:r>
      <w:r>
        <w:tab/>
        <w:t>Para 73 above.</w:t>
      </w:r>
    </w:p>
  </w:footnote>
  <w:footnote w:id="99">
    <w:p w:rsidR="00284B4B" w:rsidRDefault="00284B4B" w:rsidP="00C52C78">
      <w:pPr>
        <w:pStyle w:val="FootnoteText"/>
        <w:tabs>
          <w:tab w:val="left" w:pos="360"/>
        </w:tabs>
        <w:ind w:left="360" w:hanging="360"/>
        <w:jc w:val="both"/>
      </w:pPr>
      <w:r>
        <w:rPr>
          <w:rStyle w:val="FootnoteReference"/>
        </w:rPr>
        <w:footnoteRef/>
      </w:r>
      <w:r>
        <w:tab/>
      </w:r>
      <w:r w:rsidRPr="00E803EE">
        <w:rPr>
          <w:i/>
        </w:rPr>
        <w:t xml:space="preserve">R v </w:t>
      </w:r>
      <w:proofErr w:type="spellStart"/>
      <w:r w:rsidRPr="00E803EE">
        <w:rPr>
          <w:i/>
        </w:rPr>
        <w:t>Wellb</w:t>
      </w:r>
      <w:r>
        <w:rPr>
          <w:i/>
        </w:rPr>
        <w:t>urn</w:t>
      </w:r>
      <w:proofErr w:type="spellEnd"/>
      <w:r w:rsidRPr="00E803EE">
        <w:rPr>
          <w:i/>
        </w:rPr>
        <w:t xml:space="preserve"> and Others</w:t>
      </w:r>
      <w:r w:rsidRPr="00E803EE">
        <w:rPr>
          <w:rFonts w:hint="eastAsia"/>
        </w:rPr>
        <w:t xml:space="preserve"> </w:t>
      </w:r>
      <w:r>
        <w:t>(</w:t>
      </w:r>
      <w:r w:rsidRPr="00E803EE">
        <w:rPr>
          <w:rFonts w:hint="eastAsia"/>
        </w:rPr>
        <w:t>19</w:t>
      </w:r>
      <w:r w:rsidRPr="00E803EE">
        <w:t>79</w:t>
      </w:r>
      <w:r>
        <w:t>)</w:t>
      </w:r>
      <w:r w:rsidRPr="00E803EE">
        <w:t xml:space="preserve"> 69 Cr</w:t>
      </w:r>
      <w:r>
        <w:t xml:space="preserve"> App Rep 254 at 265, CA, Lawton LJ, </w:t>
      </w:r>
      <w:proofErr w:type="spellStart"/>
      <w:r>
        <w:t>Cantley</w:t>
      </w:r>
      <w:proofErr w:type="spellEnd"/>
      <w:r>
        <w:t xml:space="preserve"> and Willis JJ.</w:t>
      </w:r>
    </w:p>
  </w:footnote>
  <w:footnote w:id="100">
    <w:p w:rsidR="00284B4B" w:rsidRPr="007E5779" w:rsidRDefault="00284B4B" w:rsidP="00C52C78">
      <w:pPr>
        <w:pStyle w:val="FootnoteText"/>
        <w:snapToGrid w:val="0"/>
        <w:ind w:left="360" w:hanging="360"/>
        <w:jc w:val="both"/>
      </w:pPr>
      <w:r>
        <w:rPr>
          <w:rStyle w:val="FootnoteReference"/>
        </w:rPr>
        <w:footnoteRef/>
      </w:r>
      <w:r>
        <w:tab/>
        <w:t>Para 28 above.</w:t>
      </w:r>
    </w:p>
  </w:footnote>
  <w:footnote w:id="101">
    <w:p w:rsidR="00284B4B" w:rsidRPr="00BD7D53" w:rsidRDefault="00284B4B" w:rsidP="00C52C78">
      <w:pPr>
        <w:pStyle w:val="FootnoteText"/>
        <w:tabs>
          <w:tab w:val="left" w:pos="360"/>
        </w:tabs>
        <w:snapToGrid w:val="0"/>
        <w:jc w:val="both"/>
      </w:pPr>
      <w:r>
        <w:rPr>
          <w:rStyle w:val="FootnoteReference"/>
        </w:rPr>
        <w:footnoteRef/>
      </w:r>
      <w:r>
        <w:tab/>
        <w:t xml:space="preserve">Rafferty LJ, </w:t>
      </w:r>
      <w:proofErr w:type="spellStart"/>
      <w:r>
        <w:t>Henriques</w:t>
      </w:r>
      <w:proofErr w:type="spellEnd"/>
      <w:r>
        <w:t xml:space="preserve"> J.</w:t>
      </w:r>
    </w:p>
  </w:footnote>
  <w:footnote w:id="102">
    <w:p w:rsidR="00284B4B" w:rsidRPr="00E04046" w:rsidRDefault="00284B4B" w:rsidP="00C52C78">
      <w:pPr>
        <w:pStyle w:val="FootnoteText"/>
        <w:tabs>
          <w:tab w:val="left" w:pos="360"/>
        </w:tabs>
        <w:snapToGrid w:val="0"/>
        <w:ind w:left="360" w:hanging="360"/>
        <w:jc w:val="both"/>
      </w:pPr>
      <w:r>
        <w:rPr>
          <w:rStyle w:val="FootnoteReference"/>
        </w:rPr>
        <w:footnoteRef/>
      </w:r>
      <w:r>
        <w:tab/>
        <w:t>Lord Thomas also pointed out that s 1 also covered public servant which has a bearing on its construction.</w:t>
      </w:r>
    </w:p>
  </w:footnote>
  <w:footnote w:id="103">
    <w:p w:rsidR="00284B4B" w:rsidRPr="00427299" w:rsidRDefault="00284B4B" w:rsidP="00C52C78">
      <w:pPr>
        <w:pStyle w:val="FootnoteText"/>
        <w:snapToGrid w:val="0"/>
        <w:ind w:left="360" w:hanging="360"/>
        <w:jc w:val="both"/>
      </w:pPr>
      <w:r>
        <w:rPr>
          <w:rStyle w:val="FootnoteReference"/>
        </w:rPr>
        <w:footnoteRef/>
      </w:r>
      <w:r>
        <w:t xml:space="preserve"> </w:t>
      </w:r>
      <w:r>
        <w:tab/>
        <w:t>I ignore lawful authority or permission under subsections (4) and (5) which are irrelevant for the present purpose.</w:t>
      </w:r>
    </w:p>
  </w:footnote>
  <w:footnote w:id="104">
    <w:p w:rsidR="00284B4B" w:rsidRPr="00BD7D53" w:rsidRDefault="00284B4B" w:rsidP="00C52C78">
      <w:pPr>
        <w:pStyle w:val="FootnoteText"/>
        <w:snapToGrid w:val="0"/>
        <w:ind w:left="360" w:hanging="360"/>
      </w:pPr>
      <w:r>
        <w:rPr>
          <w:rStyle w:val="FootnoteReference"/>
        </w:rPr>
        <w:footnoteRef/>
      </w:r>
      <w:r>
        <w:tab/>
        <w:t>Second reading, Attorney General, Hansard 21 Oct 1970, p 131.</w:t>
      </w:r>
    </w:p>
  </w:footnote>
  <w:footnote w:id="105">
    <w:p w:rsidR="00284B4B" w:rsidRDefault="00284B4B" w:rsidP="00C52C78">
      <w:pPr>
        <w:pStyle w:val="FootnoteText"/>
        <w:ind w:left="360" w:hanging="360"/>
        <w:jc w:val="both"/>
      </w:pPr>
      <w:r>
        <w:rPr>
          <w:rStyle w:val="FootnoteReference"/>
        </w:rPr>
        <w:footnoteRef/>
      </w:r>
      <w:r>
        <w:tab/>
        <w:t>F</w:t>
      </w:r>
      <w:r>
        <w:rPr>
          <w:rFonts w:hint="eastAsia"/>
        </w:rPr>
        <w:t xml:space="preserve">or </w:t>
      </w:r>
      <w:r>
        <w:t>a long time, tipping was expected for many public service, including service in public hospitals.</w:t>
      </w:r>
    </w:p>
  </w:footnote>
  <w:footnote w:id="106">
    <w:p w:rsidR="00284B4B" w:rsidRPr="00D771C8" w:rsidRDefault="00284B4B" w:rsidP="00C52C78">
      <w:pPr>
        <w:pStyle w:val="FootnoteText"/>
        <w:snapToGrid w:val="0"/>
        <w:ind w:left="360" w:hanging="360"/>
      </w:pPr>
      <w:r>
        <w:rPr>
          <w:rStyle w:val="FootnoteReference"/>
        </w:rPr>
        <w:footnoteRef/>
      </w:r>
      <w:r>
        <w:tab/>
        <w:t>Yeung VP, Yuen and Pang JJA.</w:t>
      </w:r>
    </w:p>
  </w:footnote>
  <w:footnote w:id="107">
    <w:p w:rsidR="00284B4B" w:rsidRDefault="00284B4B" w:rsidP="00C52C78">
      <w:pPr>
        <w:pStyle w:val="FootnoteText"/>
        <w:snapToGrid w:val="0"/>
        <w:ind w:left="360" w:hanging="360"/>
      </w:pPr>
      <w:r>
        <w:rPr>
          <w:rStyle w:val="FootnoteReference"/>
        </w:rPr>
        <w:footnoteRef/>
      </w:r>
      <w:r>
        <w:tab/>
        <w:t>Complying with</w:t>
      </w:r>
      <w:r>
        <w:rPr>
          <w:rFonts w:hint="eastAsia"/>
        </w:rPr>
        <w:t xml:space="preserve"> </w:t>
      </w:r>
      <w:proofErr w:type="spellStart"/>
      <w:r>
        <w:t>ss</w:t>
      </w:r>
      <w:proofErr w:type="spellEnd"/>
      <w:r>
        <w:t xml:space="preserve"> (4) and (5).</w:t>
      </w:r>
    </w:p>
  </w:footnote>
  <w:footnote w:id="108">
    <w:p w:rsidR="00284B4B" w:rsidRDefault="00284B4B" w:rsidP="00C52C78">
      <w:pPr>
        <w:pStyle w:val="FootnoteText"/>
        <w:tabs>
          <w:tab w:val="left" w:pos="360"/>
        </w:tabs>
      </w:pPr>
      <w:r>
        <w:rPr>
          <w:rStyle w:val="FootnoteReference"/>
        </w:rPr>
        <w:footnoteRef/>
      </w:r>
      <w:r>
        <w:tab/>
        <w:t>Para 94 above.</w:t>
      </w:r>
    </w:p>
  </w:footnote>
  <w:footnote w:id="109">
    <w:p w:rsidR="00284B4B" w:rsidRPr="00DA42EB" w:rsidRDefault="00284B4B" w:rsidP="00A45188">
      <w:pPr>
        <w:pStyle w:val="FootnoteText"/>
        <w:tabs>
          <w:tab w:val="left" w:pos="360"/>
        </w:tabs>
        <w:spacing w:after="0"/>
      </w:pPr>
      <w:r w:rsidRPr="00DA42EB">
        <w:rPr>
          <w:rStyle w:val="FootnoteReference"/>
        </w:rPr>
        <w:footnoteRef/>
      </w:r>
      <w:r>
        <w:tab/>
      </w:r>
      <w:proofErr w:type="spellStart"/>
      <w:r w:rsidRPr="00554E1D">
        <w:rPr>
          <w:i/>
        </w:rPr>
        <w:t>Bowstead</w:t>
      </w:r>
      <w:proofErr w:type="spellEnd"/>
      <w:r w:rsidRPr="00554E1D">
        <w:rPr>
          <w:i/>
        </w:rPr>
        <w:t xml:space="preserve"> and Reynolds on Agency</w:t>
      </w:r>
      <w:r w:rsidRPr="00DA42EB">
        <w:t xml:space="preserve"> 20</w:t>
      </w:r>
      <w:r w:rsidRPr="00DA42EB">
        <w:rPr>
          <w:vertAlign w:val="superscript"/>
        </w:rPr>
        <w:t>th</w:t>
      </w:r>
      <w:r>
        <w:t xml:space="preserve"> edition 6 – 039.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8582"/>
      <w:docPartObj>
        <w:docPartGallery w:val="Page Numbers (Top of Page)"/>
        <w:docPartUnique/>
      </w:docPartObj>
    </w:sdtPr>
    <w:sdtContent>
      <w:p w:rsidR="00284B4B" w:rsidRDefault="00284B4B">
        <w:pPr>
          <w:pStyle w:val="Header"/>
          <w:jc w:val="center"/>
        </w:pPr>
        <w:r>
          <w:t>-</w:t>
        </w:r>
        <w:r>
          <w:fldChar w:fldCharType="begin"/>
        </w:r>
        <w:r>
          <w:instrText xml:space="preserve"> PAGE   \* MERGEFORMAT </w:instrText>
        </w:r>
        <w:r>
          <w:fldChar w:fldCharType="separate"/>
        </w:r>
        <w:r w:rsidR="006817EF">
          <w:rPr>
            <w:noProof/>
          </w:rPr>
          <w:t>2</w:t>
        </w:r>
        <w:r>
          <w:rPr>
            <w:noProof/>
          </w:rPr>
          <w:fldChar w:fldCharType="end"/>
        </w:r>
        <w:r>
          <w:t>-</w:t>
        </w:r>
      </w:p>
    </w:sdtContent>
  </w:sdt>
  <w:p w:rsidR="00284B4B" w:rsidRDefault="00284B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D3781E24"/>
    <w:lvl w:ilvl="0">
      <w:start w:val="1"/>
      <w:numFmt w:val="decimal"/>
      <w:pStyle w:val="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0A7027B5"/>
    <w:multiLevelType w:val="hybridMultilevel"/>
    <w:tmpl w:val="8B165804"/>
    <w:lvl w:ilvl="0" w:tplc="64B4CB36">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0A896328"/>
    <w:multiLevelType w:val="hybridMultilevel"/>
    <w:tmpl w:val="3F10A1E4"/>
    <w:lvl w:ilvl="0" w:tplc="5C2A1FB2">
      <w:start w:val="1"/>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E68B7"/>
    <w:multiLevelType w:val="multilevel"/>
    <w:tmpl w:val="CA5A7AB2"/>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24284230"/>
    <w:multiLevelType w:val="multilevel"/>
    <w:tmpl w:val="05445AD2"/>
    <w:lvl w:ilvl="0">
      <w:start w:val="1"/>
      <w:numFmt w:val="decimal"/>
      <w:pStyle w:val="Bob1"/>
      <w:lvlText w:val="%1."/>
      <w:lvlJc w:val="left"/>
      <w:pPr>
        <w:tabs>
          <w:tab w:val="num" w:pos="720"/>
        </w:tabs>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5" w15:restartNumberingAfterBreak="0">
    <w:nsid w:val="3C8F09DA"/>
    <w:multiLevelType w:val="hybridMultilevel"/>
    <w:tmpl w:val="6122C276"/>
    <w:lvl w:ilvl="0" w:tplc="01988E0A">
      <w:start w:val="1"/>
      <w:numFmt w:val="lowerLetter"/>
      <w:lvlText w:val="%1."/>
      <w:lvlJc w:val="left"/>
      <w:pPr>
        <w:tabs>
          <w:tab w:val="num" w:pos="432"/>
        </w:tabs>
        <w:ind w:left="432" w:hanging="432"/>
      </w:pPr>
      <w:rPr>
        <w:rFonts w:hint="eastAsia"/>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0E54811"/>
    <w:multiLevelType w:val="hybridMultilevel"/>
    <w:tmpl w:val="D89EAB42"/>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7" w15:restartNumberingAfterBreak="0">
    <w:nsid w:val="4893618F"/>
    <w:multiLevelType w:val="hybridMultilevel"/>
    <w:tmpl w:val="B2A01EEC"/>
    <w:lvl w:ilvl="0" w:tplc="F426FBCC">
      <w:start w:val="1"/>
      <w:numFmt w:val="decimal"/>
      <w:lvlText w:val="%1."/>
      <w:lvlJc w:val="left"/>
      <w:pPr>
        <w:ind w:left="360" w:hanging="360"/>
      </w:pPr>
      <w:rPr>
        <w:rFonts w:hint="default"/>
        <w:b w:val="0"/>
        <w:i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270BD5"/>
    <w:multiLevelType w:val="hybridMultilevel"/>
    <w:tmpl w:val="30081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D9760A"/>
    <w:multiLevelType w:val="hybridMultilevel"/>
    <w:tmpl w:val="EFECEC4A"/>
    <w:lvl w:ilvl="0" w:tplc="420E9D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7B0D05"/>
    <w:multiLevelType w:val="hybridMultilevel"/>
    <w:tmpl w:val="E446F882"/>
    <w:lvl w:ilvl="0" w:tplc="19227B04">
      <w:start w:val="1"/>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522A80"/>
    <w:multiLevelType w:val="hybridMultilevel"/>
    <w:tmpl w:val="21900A2E"/>
    <w:lvl w:ilvl="0" w:tplc="76422864">
      <w:start w:val="1"/>
      <w:numFmt w:val="decimal"/>
      <w:pStyle w:val="Final"/>
      <w:lvlText w:val="%1."/>
      <w:lvlJc w:val="left"/>
      <w:pPr>
        <w:tabs>
          <w:tab w:val="num" w:pos="360"/>
        </w:tabs>
        <w:ind w:left="0" w:firstLine="0"/>
      </w:pPr>
      <w:rPr>
        <w:rFonts w:hint="eastAsia"/>
        <w:sz w:val="28"/>
        <w:szCs w:val="28"/>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F962167"/>
    <w:multiLevelType w:val="hybridMultilevel"/>
    <w:tmpl w:val="7518759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8F4A41"/>
    <w:multiLevelType w:val="hybridMultilevel"/>
    <w:tmpl w:val="A502C292"/>
    <w:lvl w:ilvl="0" w:tplc="DBF27284">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0"/>
  </w:num>
  <w:num w:numId="8">
    <w:abstractNumId w:val="4"/>
  </w:num>
  <w:num w:numId="9">
    <w:abstractNumId w:val="4"/>
  </w:num>
  <w:num w:numId="10">
    <w:abstractNumId w:val="4"/>
  </w:num>
  <w:num w:numId="11">
    <w:abstractNumId w:val="4"/>
  </w:num>
  <w:num w:numId="12">
    <w:abstractNumId w:val="4"/>
  </w:num>
  <w:num w:numId="13">
    <w:abstractNumId w:val="9"/>
  </w:num>
  <w:num w:numId="14">
    <w:abstractNumId w:val="1"/>
  </w:num>
  <w:num w:numId="15">
    <w:abstractNumId w:val="5"/>
  </w:num>
  <w:num w:numId="16">
    <w:abstractNumId w:val="11"/>
  </w:num>
  <w:num w:numId="17">
    <w:abstractNumId w:val="3"/>
  </w:num>
  <w:num w:numId="18">
    <w:abstractNumId w:val="7"/>
  </w:num>
  <w:num w:numId="19">
    <w:abstractNumId w:val="10"/>
  </w:num>
  <w:num w:numId="20">
    <w:abstractNumId w:val="2"/>
  </w:num>
  <w:num w:numId="21">
    <w:abstractNumId w:val="12"/>
  </w:num>
  <w:num w:numId="22">
    <w:abstractNumId w:val="13"/>
  </w:num>
  <w:num w:numId="23">
    <w:abstractNumId w:val="6"/>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29C"/>
    <w:rsid w:val="00000540"/>
    <w:rsid w:val="00000908"/>
    <w:rsid w:val="00000BC5"/>
    <w:rsid w:val="00000C06"/>
    <w:rsid w:val="00000E7F"/>
    <w:rsid w:val="000014EF"/>
    <w:rsid w:val="000019B8"/>
    <w:rsid w:val="00001ACD"/>
    <w:rsid w:val="000026B0"/>
    <w:rsid w:val="000026D4"/>
    <w:rsid w:val="00002CA3"/>
    <w:rsid w:val="00002D7A"/>
    <w:rsid w:val="00002DD5"/>
    <w:rsid w:val="00003090"/>
    <w:rsid w:val="0000309F"/>
    <w:rsid w:val="000034B8"/>
    <w:rsid w:val="000035F1"/>
    <w:rsid w:val="0000387A"/>
    <w:rsid w:val="000039FC"/>
    <w:rsid w:val="00003B0E"/>
    <w:rsid w:val="0000413E"/>
    <w:rsid w:val="000041E9"/>
    <w:rsid w:val="0000426E"/>
    <w:rsid w:val="000047B3"/>
    <w:rsid w:val="00004C10"/>
    <w:rsid w:val="00004D77"/>
    <w:rsid w:val="00005013"/>
    <w:rsid w:val="00005056"/>
    <w:rsid w:val="0000557A"/>
    <w:rsid w:val="00005A2C"/>
    <w:rsid w:val="00005AC5"/>
    <w:rsid w:val="00005B9E"/>
    <w:rsid w:val="00005CEE"/>
    <w:rsid w:val="00005D39"/>
    <w:rsid w:val="000067E7"/>
    <w:rsid w:val="00006995"/>
    <w:rsid w:val="00007081"/>
    <w:rsid w:val="000073F3"/>
    <w:rsid w:val="00007450"/>
    <w:rsid w:val="000075CF"/>
    <w:rsid w:val="0000789C"/>
    <w:rsid w:val="00007BB5"/>
    <w:rsid w:val="00007BCE"/>
    <w:rsid w:val="00007EE6"/>
    <w:rsid w:val="00007FFB"/>
    <w:rsid w:val="000100B6"/>
    <w:rsid w:val="000100C3"/>
    <w:rsid w:val="00010195"/>
    <w:rsid w:val="000101F8"/>
    <w:rsid w:val="000103CE"/>
    <w:rsid w:val="000103FE"/>
    <w:rsid w:val="00010492"/>
    <w:rsid w:val="000105F0"/>
    <w:rsid w:val="000107B0"/>
    <w:rsid w:val="00010BE9"/>
    <w:rsid w:val="000111E9"/>
    <w:rsid w:val="00011251"/>
    <w:rsid w:val="00011708"/>
    <w:rsid w:val="00011935"/>
    <w:rsid w:val="00011F8C"/>
    <w:rsid w:val="000123A7"/>
    <w:rsid w:val="00012448"/>
    <w:rsid w:val="0001271E"/>
    <w:rsid w:val="00012B45"/>
    <w:rsid w:val="00012B5E"/>
    <w:rsid w:val="00013096"/>
    <w:rsid w:val="00013233"/>
    <w:rsid w:val="000132E8"/>
    <w:rsid w:val="0001389A"/>
    <w:rsid w:val="00013A1D"/>
    <w:rsid w:val="00013AFF"/>
    <w:rsid w:val="00013E64"/>
    <w:rsid w:val="00014096"/>
    <w:rsid w:val="00014228"/>
    <w:rsid w:val="0001445D"/>
    <w:rsid w:val="000144E2"/>
    <w:rsid w:val="000146D7"/>
    <w:rsid w:val="000149E3"/>
    <w:rsid w:val="00014A40"/>
    <w:rsid w:val="00014C56"/>
    <w:rsid w:val="00014D31"/>
    <w:rsid w:val="00014DA9"/>
    <w:rsid w:val="00014F7A"/>
    <w:rsid w:val="00014FA4"/>
    <w:rsid w:val="00014FCF"/>
    <w:rsid w:val="00015214"/>
    <w:rsid w:val="0001576B"/>
    <w:rsid w:val="00015948"/>
    <w:rsid w:val="00015E13"/>
    <w:rsid w:val="0001651D"/>
    <w:rsid w:val="000167A3"/>
    <w:rsid w:val="00016FC9"/>
    <w:rsid w:val="00017873"/>
    <w:rsid w:val="00017B8E"/>
    <w:rsid w:val="00017BC8"/>
    <w:rsid w:val="00017BF2"/>
    <w:rsid w:val="00017C68"/>
    <w:rsid w:val="00017D3C"/>
    <w:rsid w:val="00017F1D"/>
    <w:rsid w:val="000200F6"/>
    <w:rsid w:val="0002022E"/>
    <w:rsid w:val="000202A3"/>
    <w:rsid w:val="000202A6"/>
    <w:rsid w:val="000202C0"/>
    <w:rsid w:val="000202D5"/>
    <w:rsid w:val="000207F7"/>
    <w:rsid w:val="00020A42"/>
    <w:rsid w:val="00021BB5"/>
    <w:rsid w:val="00021BE7"/>
    <w:rsid w:val="000220F1"/>
    <w:rsid w:val="000221EC"/>
    <w:rsid w:val="000223A8"/>
    <w:rsid w:val="000225B9"/>
    <w:rsid w:val="00022974"/>
    <w:rsid w:val="00022EED"/>
    <w:rsid w:val="00023A51"/>
    <w:rsid w:val="000242BF"/>
    <w:rsid w:val="0002450F"/>
    <w:rsid w:val="00024518"/>
    <w:rsid w:val="00024795"/>
    <w:rsid w:val="000247B3"/>
    <w:rsid w:val="000248E8"/>
    <w:rsid w:val="0002498C"/>
    <w:rsid w:val="00024A76"/>
    <w:rsid w:val="00024C71"/>
    <w:rsid w:val="00024E28"/>
    <w:rsid w:val="000252E3"/>
    <w:rsid w:val="00025351"/>
    <w:rsid w:val="000253ED"/>
    <w:rsid w:val="0002584D"/>
    <w:rsid w:val="0002596B"/>
    <w:rsid w:val="00026185"/>
    <w:rsid w:val="000261E0"/>
    <w:rsid w:val="00026274"/>
    <w:rsid w:val="000264C7"/>
    <w:rsid w:val="00026846"/>
    <w:rsid w:val="00026C35"/>
    <w:rsid w:val="000274B4"/>
    <w:rsid w:val="000277B6"/>
    <w:rsid w:val="00027A5E"/>
    <w:rsid w:val="00027E6D"/>
    <w:rsid w:val="00027E7A"/>
    <w:rsid w:val="00030194"/>
    <w:rsid w:val="00030D0B"/>
    <w:rsid w:val="00030DD9"/>
    <w:rsid w:val="00030E71"/>
    <w:rsid w:val="0003127E"/>
    <w:rsid w:val="00031462"/>
    <w:rsid w:val="00031699"/>
    <w:rsid w:val="000316D7"/>
    <w:rsid w:val="000317E1"/>
    <w:rsid w:val="0003182E"/>
    <w:rsid w:val="00032011"/>
    <w:rsid w:val="0003219C"/>
    <w:rsid w:val="000321A4"/>
    <w:rsid w:val="0003228F"/>
    <w:rsid w:val="000323E8"/>
    <w:rsid w:val="00032551"/>
    <w:rsid w:val="00032F36"/>
    <w:rsid w:val="00033171"/>
    <w:rsid w:val="0003327F"/>
    <w:rsid w:val="0003366A"/>
    <w:rsid w:val="00033906"/>
    <w:rsid w:val="0003393C"/>
    <w:rsid w:val="00033F08"/>
    <w:rsid w:val="0003479C"/>
    <w:rsid w:val="000348C3"/>
    <w:rsid w:val="00034A7E"/>
    <w:rsid w:val="00034D46"/>
    <w:rsid w:val="00034E6B"/>
    <w:rsid w:val="00035424"/>
    <w:rsid w:val="00035DE8"/>
    <w:rsid w:val="00035E47"/>
    <w:rsid w:val="00035FC4"/>
    <w:rsid w:val="0003617C"/>
    <w:rsid w:val="000368E3"/>
    <w:rsid w:val="00036948"/>
    <w:rsid w:val="00036A40"/>
    <w:rsid w:val="00036A66"/>
    <w:rsid w:val="00036D14"/>
    <w:rsid w:val="00037E86"/>
    <w:rsid w:val="00037E9B"/>
    <w:rsid w:val="0004034D"/>
    <w:rsid w:val="000403C7"/>
    <w:rsid w:val="0004050B"/>
    <w:rsid w:val="0004068A"/>
    <w:rsid w:val="00040BBD"/>
    <w:rsid w:val="000410D4"/>
    <w:rsid w:val="00041307"/>
    <w:rsid w:val="00041371"/>
    <w:rsid w:val="0004141A"/>
    <w:rsid w:val="00041486"/>
    <w:rsid w:val="0004194C"/>
    <w:rsid w:val="00041969"/>
    <w:rsid w:val="00041A7B"/>
    <w:rsid w:val="00041BB3"/>
    <w:rsid w:val="00041D15"/>
    <w:rsid w:val="00041E2B"/>
    <w:rsid w:val="00041E6B"/>
    <w:rsid w:val="00041F65"/>
    <w:rsid w:val="00042129"/>
    <w:rsid w:val="00042203"/>
    <w:rsid w:val="000428C0"/>
    <w:rsid w:val="00042E77"/>
    <w:rsid w:val="00042EA3"/>
    <w:rsid w:val="00042F54"/>
    <w:rsid w:val="00042FE5"/>
    <w:rsid w:val="0004315C"/>
    <w:rsid w:val="00043321"/>
    <w:rsid w:val="00043AD5"/>
    <w:rsid w:val="00043E31"/>
    <w:rsid w:val="0004454D"/>
    <w:rsid w:val="00044BB0"/>
    <w:rsid w:val="00044E20"/>
    <w:rsid w:val="000450C9"/>
    <w:rsid w:val="000452A0"/>
    <w:rsid w:val="00045478"/>
    <w:rsid w:val="000454F8"/>
    <w:rsid w:val="000455A0"/>
    <w:rsid w:val="00045733"/>
    <w:rsid w:val="000457A9"/>
    <w:rsid w:val="00045936"/>
    <w:rsid w:val="00045A2A"/>
    <w:rsid w:val="00045B4D"/>
    <w:rsid w:val="00045C85"/>
    <w:rsid w:val="00045D0A"/>
    <w:rsid w:val="0004602A"/>
    <w:rsid w:val="00046406"/>
    <w:rsid w:val="00046E6F"/>
    <w:rsid w:val="0004717E"/>
    <w:rsid w:val="000471D9"/>
    <w:rsid w:val="00047216"/>
    <w:rsid w:val="000473AD"/>
    <w:rsid w:val="000475A7"/>
    <w:rsid w:val="000476CE"/>
    <w:rsid w:val="00047897"/>
    <w:rsid w:val="00047990"/>
    <w:rsid w:val="00050556"/>
    <w:rsid w:val="00050AF0"/>
    <w:rsid w:val="00050BDF"/>
    <w:rsid w:val="00050C0D"/>
    <w:rsid w:val="00050D1E"/>
    <w:rsid w:val="00050EC8"/>
    <w:rsid w:val="0005112C"/>
    <w:rsid w:val="000514FE"/>
    <w:rsid w:val="00051B50"/>
    <w:rsid w:val="00051C7F"/>
    <w:rsid w:val="00051D0E"/>
    <w:rsid w:val="00051D7A"/>
    <w:rsid w:val="00052254"/>
    <w:rsid w:val="00052460"/>
    <w:rsid w:val="0005246E"/>
    <w:rsid w:val="000524E6"/>
    <w:rsid w:val="00052927"/>
    <w:rsid w:val="00052AE0"/>
    <w:rsid w:val="000533C0"/>
    <w:rsid w:val="00053419"/>
    <w:rsid w:val="000534D9"/>
    <w:rsid w:val="0005372C"/>
    <w:rsid w:val="00053B98"/>
    <w:rsid w:val="00053CC1"/>
    <w:rsid w:val="0005406A"/>
    <w:rsid w:val="00054235"/>
    <w:rsid w:val="00054714"/>
    <w:rsid w:val="000548D1"/>
    <w:rsid w:val="00054A39"/>
    <w:rsid w:val="00054A8E"/>
    <w:rsid w:val="00054BFB"/>
    <w:rsid w:val="0005534A"/>
    <w:rsid w:val="00055429"/>
    <w:rsid w:val="00055814"/>
    <w:rsid w:val="00055936"/>
    <w:rsid w:val="00055A03"/>
    <w:rsid w:val="00055B8C"/>
    <w:rsid w:val="00055C82"/>
    <w:rsid w:val="00055DE8"/>
    <w:rsid w:val="00055E0E"/>
    <w:rsid w:val="00055EF0"/>
    <w:rsid w:val="00055EF1"/>
    <w:rsid w:val="00055FF5"/>
    <w:rsid w:val="000560AA"/>
    <w:rsid w:val="00056329"/>
    <w:rsid w:val="00056BE6"/>
    <w:rsid w:val="000572FF"/>
    <w:rsid w:val="00057375"/>
    <w:rsid w:val="00057653"/>
    <w:rsid w:val="000576E7"/>
    <w:rsid w:val="00057918"/>
    <w:rsid w:val="00057E64"/>
    <w:rsid w:val="00057F9C"/>
    <w:rsid w:val="0006013D"/>
    <w:rsid w:val="0006051A"/>
    <w:rsid w:val="000606AB"/>
    <w:rsid w:val="0006081D"/>
    <w:rsid w:val="000608A3"/>
    <w:rsid w:val="00060903"/>
    <w:rsid w:val="00060B0F"/>
    <w:rsid w:val="00060CDB"/>
    <w:rsid w:val="00060D01"/>
    <w:rsid w:val="0006120A"/>
    <w:rsid w:val="00061227"/>
    <w:rsid w:val="000614CE"/>
    <w:rsid w:val="000615E3"/>
    <w:rsid w:val="000617B9"/>
    <w:rsid w:val="00061987"/>
    <w:rsid w:val="00061F11"/>
    <w:rsid w:val="00061FB2"/>
    <w:rsid w:val="00062347"/>
    <w:rsid w:val="000624E4"/>
    <w:rsid w:val="0006251F"/>
    <w:rsid w:val="0006299D"/>
    <w:rsid w:val="00062A28"/>
    <w:rsid w:val="00062BBE"/>
    <w:rsid w:val="00062C3D"/>
    <w:rsid w:val="00063971"/>
    <w:rsid w:val="00063CD6"/>
    <w:rsid w:val="00063D91"/>
    <w:rsid w:val="0006417B"/>
    <w:rsid w:val="000645EA"/>
    <w:rsid w:val="0006476B"/>
    <w:rsid w:val="00064905"/>
    <w:rsid w:val="00064DFE"/>
    <w:rsid w:val="00064F16"/>
    <w:rsid w:val="00065522"/>
    <w:rsid w:val="00065BC7"/>
    <w:rsid w:val="00065F19"/>
    <w:rsid w:val="00066110"/>
    <w:rsid w:val="000666C9"/>
    <w:rsid w:val="00066727"/>
    <w:rsid w:val="00066795"/>
    <w:rsid w:val="00066A48"/>
    <w:rsid w:val="00066C76"/>
    <w:rsid w:val="0006705A"/>
    <w:rsid w:val="000671E4"/>
    <w:rsid w:val="0006746F"/>
    <w:rsid w:val="00067CB0"/>
    <w:rsid w:val="00067E69"/>
    <w:rsid w:val="000701F2"/>
    <w:rsid w:val="00070422"/>
    <w:rsid w:val="000707F0"/>
    <w:rsid w:val="00070927"/>
    <w:rsid w:val="00070E19"/>
    <w:rsid w:val="00071164"/>
    <w:rsid w:val="000713CD"/>
    <w:rsid w:val="0007149B"/>
    <w:rsid w:val="00071961"/>
    <w:rsid w:val="00071968"/>
    <w:rsid w:val="00071D74"/>
    <w:rsid w:val="00071F2A"/>
    <w:rsid w:val="000721F7"/>
    <w:rsid w:val="00072292"/>
    <w:rsid w:val="00072455"/>
    <w:rsid w:val="0007256D"/>
    <w:rsid w:val="00072A4B"/>
    <w:rsid w:val="00073015"/>
    <w:rsid w:val="0007331C"/>
    <w:rsid w:val="00073497"/>
    <w:rsid w:val="00073744"/>
    <w:rsid w:val="00073860"/>
    <w:rsid w:val="000738B0"/>
    <w:rsid w:val="00073A12"/>
    <w:rsid w:val="00073E79"/>
    <w:rsid w:val="00073EEB"/>
    <w:rsid w:val="00074521"/>
    <w:rsid w:val="000745B6"/>
    <w:rsid w:val="0007473F"/>
    <w:rsid w:val="00074B1E"/>
    <w:rsid w:val="00074D43"/>
    <w:rsid w:val="00074F65"/>
    <w:rsid w:val="0007519B"/>
    <w:rsid w:val="000754F2"/>
    <w:rsid w:val="0007587A"/>
    <w:rsid w:val="00076056"/>
    <w:rsid w:val="00076060"/>
    <w:rsid w:val="0007613A"/>
    <w:rsid w:val="0007623B"/>
    <w:rsid w:val="000764FF"/>
    <w:rsid w:val="000767FC"/>
    <w:rsid w:val="000769BB"/>
    <w:rsid w:val="00076A6A"/>
    <w:rsid w:val="00076B05"/>
    <w:rsid w:val="00076CBD"/>
    <w:rsid w:val="00076E3A"/>
    <w:rsid w:val="00076F27"/>
    <w:rsid w:val="000772EC"/>
    <w:rsid w:val="000772FF"/>
    <w:rsid w:val="000773A5"/>
    <w:rsid w:val="000773F6"/>
    <w:rsid w:val="00077406"/>
    <w:rsid w:val="000775BA"/>
    <w:rsid w:val="00077D83"/>
    <w:rsid w:val="00077F7F"/>
    <w:rsid w:val="00077FA3"/>
    <w:rsid w:val="0008009B"/>
    <w:rsid w:val="00080223"/>
    <w:rsid w:val="0008089E"/>
    <w:rsid w:val="00080A30"/>
    <w:rsid w:val="00080A7A"/>
    <w:rsid w:val="00080BD0"/>
    <w:rsid w:val="00081265"/>
    <w:rsid w:val="0008177C"/>
    <w:rsid w:val="00081ABD"/>
    <w:rsid w:val="00081D86"/>
    <w:rsid w:val="0008207A"/>
    <w:rsid w:val="00082201"/>
    <w:rsid w:val="0008236E"/>
    <w:rsid w:val="0008257B"/>
    <w:rsid w:val="000825DA"/>
    <w:rsid w:val="00082D25"/>
    <w:rsid w:val="00082D2F"/>
    <w:rsid w:val="00082F7E"/>
    <w:rsid w:val="00082FE2"/>
    <w:rsid w:val="00083105"/>
    <w:rsid w:val="00083583"/>
    <w:rsid w:val="00083A17"/>
    <w:rsid w:val="00083ABF"/>
    <w:rsid w:val="00083D15"/>
    <w:rsid w:val="000842E5"/>
    <w:rsid w:val="000843F1"/>
    <w:rsid w:val="00084464"/>
    <w:rsid w:val="0008474A"/>
    <w:rsid w:val="0008478A"/>
    <w:rsid w:val="00084A53"/>
    <w:rsid w:val="00084AC6"/>
    <w:rsid w:val="00084B55"/>
    <w:rsid w:val="00084DF2"/>
    <w:rsid w:val="00084E4E"/>
    <w:rsid w:val="00084EA2"/>
    <w:rsid w:val="00084FFE"/>
    <w:rsid w:val="00085858"/>
    <w:rsid w:val="00085942"/>
    <w:rsid w:val="00085A23"/>
    <w:rsid w:val="00085ABD"/>
    <w:rsid w:val="00086014"/>
    <w:rsid w:val="00086464"/>
    <w:rsid w:val="000864CC"/>
    <w:rsid w:val="000868C6"/>
    <w:rsid w:val="000868CD"/>
    <w:rsid w:val="00086A49"/>
    <w:rsid w:val="00086CB7"/>
    <w:rsid w:val="00086E46"/>
    <w:rsid w:val="00087220"/>
    <w:rsid w:val="000875E8"/>
    <w:rsid w:val="000876E4"/>
    <w:rsid w:val="00087D94"/>
    <w:rsid w:val="00087E50"/>
    <w:rsid w:val="0009024C"/>
    <w:rsid w:val="000906A3"/>
    <w:rsid w:val="000907F6"/>
    <w:rsid w:val="00090824"/>
    <w:rsid w:val="00090A61"/>
    <w:rsid w:val="00090C76"/>
    <w:rsid w:val="00090E76"/>
    <w:rsid w:val="0009113F"/>
    <w:rsid w:val="000911E9"/>
    <w:rsid w:val="0009124C"/>
    <w:rsid w:val="0009146A"/>
    <w:rsid w:val="00091517"/>
    <w:rsid w:val="00091CCA"/>
    <w:rsid w:val="00091F62"/>
    <w:rsid w:val="00091FFE"/>
    <w:rsid w:val="0009207C"/>
    <w:rsid w:val="000924ED"/>
    <w:rsid w:val="000927E8"/>
    <w:rsid w:val="00092906"/>
    <w:rsid w:val="000929BE"/>
    <w:rsid w:val="00092A7D"/>
    <w:rsid w:val="00092C6B"/>
    <w:rsid w:val="00092DCC"/>
    <w:rsid w:val="00092DFA"/>
    <w:rsid w:val="00093C47"/>
    <w:rsid w:val="00093DA6"/>
    <w:rsid w:val="00093DCB"/>
    <w:rsid w:val="00093F98"/>
    <w:rsid w:val="00094072"/>
    <w:rsid w:val="000949DD"/>
    <w:rsid w:val="00094A07"/>
    <w:rsid w:val="000956E8"/>
    <w:rsid w:val="00095B3D"/>
    <w:rsid w:val="00095C46"/>
    <w:rsid w:val="00095C99"/>
    <w:rsid w:val="00095CE5"/>
    <w:rsid w:val="000962D0"/>
    <w:rsid w:val="00096C58"/>
    <w:rsid w:val="00096C5A"/>
    <w:rsid w:val="000972D1"/>
    <w:rsid w:val="000977C3"/>
    <w:rsid w:val="000977E0"/>
    <w:rsid w:val="000A020F"/>
    <w:rsid w:val="000A022F"/>
    <w:rsid w:val="000A0A46"/>
    <w:rsid w:val="000A0B80"/>
    <w:rsid w:val="000A0FDB"/>
    <w:rsid w:val="000A16FB"/>
    <w:rsid w:val="000A17A2"/>
    <w:rsid w:val="000A1A23"/>
    <w:rsid w:val="000A1A6D"/>
    <w:rsid w:val="000A1C29"/>
    <w:rsid w:val="000A1FA8"/>
    <w:rsid w:val="000A20AF"/>
    <w:rsid w:val="000A2AC9"/>
    <w:rsid w:val="000A2B5A"/>
    <w:rsid w:val="000A323A"/>
    <w:rsid w:val="000A330C"/>
    <w:rsid w:val="000A3549"/>
    <w:rsid w:val="000A368C"/>
    <w:rsid w:val="000A3C29"/>
    <w:rsid w:val="000A4054"/>
    <w:rsid w:val="000A42C2"/>
    <w:rsid w:val="000A49F0"/>
    <w:rsid w:val="000A4B6D"/>
    <w:rsid w:val="000A4BA4"/>
    <w:rsid w:val="000A4F1C"/>
    <w:rsid w:val="000A52DA"/>
    <w:rsid w:val="000A557A"/>
    <w:rsid w:val="000A5707"/>
    <w:rsid w:val="000A577B"/>
    <w:rsid w:val="000A5A4C"/>
    <w:rsid w:val="000A6349"/>
    <w:rsid w:val="000A644C"/>
    <w:rsid w:val="000A6500"/>
    <w:rsid w:val="000A678E"/>
    <w:rsid w:val="000A6B59"/>
    <w:rsid w:val="000A6B81"/>
    <w:rsid w:val="000A6ED7"/>
    <w:rsid w:val="000A6EEE"/>
    <w:rsid w:val="000A6FED"/>
    <w:rsid w:val="000A75F7"/>
    <w:rsid w:val="000B02E6"/>
    <w:rsid w:val="000B02F3"/>
    <w:rsid w:val="000B06B3"/>
    <w:rsid w:val="000B0820"/>
    <w:rsid w:val="000B0879"/>
    <w:rsid w:val="000B0AB8"/>
    <w:rsid w:val="000B0C76"/>
    <w:rsid w:val="000B0C90"/>
    <w:rsid w:val="000B0DC8"/>
    <w:rsid w:val="000B0DF7"/>
    <w:rsid w:val="000B0F76"/>
    <w:rsid w:val="000B11A2"/>
    <w:rsid w:val="000B1C46"/>
    <w:rsid w:val="000B1DFD"/>
    <w:rsid w:val="000B1EC0"/>
    <w:rsid w:val="000B234C"/>
    <w:rsid w:val="000B2365"/>
    <w:rsid w:val="000B2722"/>
    <w:rsid w:val="000B295D"/>
    <w:rsid w:val="000B2972"/>
    <w:rsid w:val="000B2AAA"/>
    <w:rsid w:val="000B2B73"/>
    <w:rsid w:val="000B2D15"/>
    <w:rsid w:val="000B2E12"/>
    <w:rsid w:val="000B3157"/>
    <w:rsid w:val="000B324C"/>
    <w:rsid w:val="000B39BB"/>
    <w:rsid w:val="000B3A2D"/>
    <w:rsid w:val="000B3C20"/>
    <w:rsid w:val="000B3EE4"/>
    <w:rsid w:val="000B4220"/>
    <w:rsid w:val="000B42B6"/>
    <w:rsid w:val="000B44BD"/>
    <w:rsid w:val="000B4B66"/>
    <w:rsid w:val="000B5165"/>
    <w:rsid w:val="000B52F6"/>
    <w:rsid w:val="000B5340"/>
    <w:rsid w:val="000B5444"/>
    <w:rsid w:val="000B54BD"/>
    <w:rsid w:val="000B58F3"/>
    <w:rsid w:val="000B6273"/>
    <w:rsid w:val="000B6A91"/>
    <w:rsid w:val="000B6B56"/>
    <w:rsid w:val="000B6E14"/>
    <w:rsid w:val="000B7069"/>
    <w:rsid w:val="000B7083"/>
    <w:rsid w:val="000B70F7"/>
    <w:rsid w:val="000B72FB"/>
    <w:rsid w:val="000B73A5"/>
    <w:rsid w:val="000B7513"/>
    <w:rsid w:val="000B7C84"/>
    <w:rsid w:val="000B7F01"/>
    <w:rsid w:val="000C0253"/>
    <w:rsid w:val="000C0391"/>
    <w:rsid w:val="000C05BA"/>
    <w:rsid w:val="000C07C8"/>
    <w:rsid w:val="000C097A"/>
    <w:rsid w:val="000C0BD6"/>
    <w:rsid w:val="000C0BF1"/>
    <w:rsid w:val="000C0C66"/>
    <w:rsid w:val="000C0C76"/>
    <w:rsid w:val="000C0F48"/>
    <w:rsid w:val="000C11E5"/>
    <w:rsid w:val="000C1308"/>
    <w:rsid w:val="000C15F5"/>
    <w:rsid w:val="000C17DB"/>
    <w:rsid w:val="000C183D"/>
    <w:rsid w:val="000C19D3"/>
    <w:rsid w:val="000C1A38"/>
    <w:rsid w:val="000C1AB3"/>
    <w:rsid w:val="000C2132"/>
    <w:rsid w:val="000C215F"/>
    <w:rsid w:val="000C21D9"/>
    <w:rsid w:val="000C24ED"/>
    <w:rsid w:val="000C27F3"/>
    <w:rsid w:val="000C2916"/>
    <w:rsid w:val="000C29CE"/>
    <w:rsid w:val="000C2CCF"/>
    <w:rsid w:val="000C30C7"/>
    <w:rsid w:val="000C32B3"/>
    <w:rsid w:val="000C33EE"/>
    <w:rsid w:val="000C3580"/>
    <w:rsid w:val="000C3641"/>
    <w:rsid w:val="000C3891"/>
    <w:rsid w:val="000C3A97"/>
    <w:rsid w:val="000C3BCB"/>
    <w:rsid w:val="000C3E30"/>
    <w:rsid w:val="000C3F6E"/>
    <w:rsid w:val="000C434E"/>
    <w:rsid w:val="000C4568"/>
    <w:rsid w:val="000C47D6"/>
    <w:rsid w:val="000C4BAE"/>
    <w:rsid w:val="000C516E"/>
    <w:rsid w:val="000C53FD"/>
    <w:rsid w:val="000C5496"/>
    <w:rsid w:val="000C556C"/>
    <w:rsid w:val="000C5870"/>
    <w:rsid w:val="000C5960"/>
    <w:rsid w:val="000C5AF6"/>
    <w:rsid w:val="000C5DED"/>
    <w:rsid w:val="000C5E61"/>
    <w:rsid w:val="000C5F89"/>
    <w:rsid w:val="000C6409"/>
    <w:rsid w:val="000C65CF"/>
    <w:rsid w:val="000C6A37"/>
    <w:rsid w:val="000C6A4F"/>
    <w:rsid w:val="000C6E1D"/>
    <w:rsid w:val="000C6ED8"/>
    <w:rsid w:val="000C79BF"/>
    <w:rsid w:val="000C7A7F"/>
    <w:rsid w:val="000C7D1E"/>
    <w:rsid w:val="000C7EF2"/>
    <w:rsid w:val="000D0578"/>
    <w:rsid w:val="000D0641"/>
    <w:rsid w:val="000D0674"/>
    <w:rsid w:val="000D0B33"/>
    <w:rsid w:val="000D0F7E"/>
    <w:rsid w:val="000D10CF"/>
    <w:rsid w:val="000D10EE"/>
    <w:rsid w:val="000D127D"/>
    <w:rsid w:val="000D15A0"/>
    <w:rsid w:val="000D173B"/>
    <w:rsid w:val="000D1872"/>
    <w:rsid w:val="000D190E"/>
    <w:rsid w:val="000D1B3C"/>
    <w:rsid w:val="000D1FAC"/>
    <w:rsid w:val="000D23C9"/>
    <w:rsid w:val="000D24BB"/>
    <w:rsid w:val="000D259B"/>
    <w:rsid w:val="000D2B18"/>
    <w:rsid w:val="000D2C45"/>
    <w:rsid w:val="000D2E22"/>
    <w:rsid w:val="000D2F36"/>
    <w:rsid w:val="000D331C"/>
    <w:rsid w:val="000D373F"/>
    <w:rsid w:val="000D3818"/>
    <w:rsid w:val="000D391E"/>
    <w:rsid w:val="000D397D"/>
    <w:rsid w:val="000D3D44"/>
    <w:rsid w:val="000D40AD"/>
    <w:rsid w:val="000D4169"/>
    <w:rsid w:val="000D45AE"/>
    <w:rsid w:val="000D4825"/>
    <w:rsid w:val="000D4917"/>
    <w:rsid w:val="000D4924"/>
    <w:rsid w:val="000D4A48"/>
    <w:rsid w:val="000D4B6E"/>
    <w:rsid w:val="000D4B70"/>
    <w:rsid w:val="000D4BC6"/>
    <w:rsid w:val="000D4C53"/>
    <w:rsid w:val="000D4F38"/>
    <w:rsid w:val="000D501A"/>
    <w:rsid w:val="000D58BE"/>
    <w:rsid w:val="000D5A79"/>
    <w:rsid w:val="000D5C08"/>
    <w:rsid w:val="000D5D36"/>
    <w:rsid w:val="000D5EDE"/>
    <w:rsid w:val="000D62FC"/>
    <w:rsid w:val="000D6481"/>
    <w:rsid w:val="000D653A"/>
    <w:rsid w:val="000D664D"/>
    <w:rsid w:val="000D6804"/>
    <w:rsid w:val="000D6946"/>
    <w:rsid w:val="000D696C"/>
    <w:rsid w:val="000D69A6"/>
    <w:rsid w:val="000D6D43"/>
    <w:rsid w:val="000D6D75"/>
    <w:rsid w:val="000D6EE6"/>
    <w:rsid w:val="000D6EEB"/>
    <w:rsid w:val="000D756C"/>
    <w:rsid w:val="000D7992"/>
    <w:rsid w:val="000D7B46"/>
    <w:rsid w:val="000D7E2A"/>
    <w:rsid w:val="000D7FDA"/>
    <w:rsid w:val="000E04A1"/>
    <w:rsid w:val="000E073F"/>
    <w:rsid w:val="000E0963"/>
    <w:rsid w:val="000E09C7"/>
    <w:rsid w:val="000E0A0D"/>
    <w:rsid w:val="000E0AAC"/>
    <w:rsid w:val="000E0CE5"/>
    <w:rsid w:val="000E0DE9"/>
    <w:rsid w:val="000E1090"/>
    <w:rsid w:val="000E110C"/>
    <w:rsid w:val="000E1228"/>
    <w:rsid w:val="000E13EA"/>
    <w:rsid w:val="000E185E"/>
    <w:rsid w:val="000E18EF"/>
    <w:rsid w:val="000E1C45"/>
    <w:rsid w:val="000E1D81"/>
    <w:rsid w:val="000E1DAD"/>
    <w:rsid w:val="000E1E64"/>
    <w:rsid w:val="000E1F7E"/>
    <w:rsid w:val="000E204E"/>
    <w:rsid w:val="000E2130"/>
    <w:rsid w:val="000E24AD"/>
    <w:rsid w:val="000E24CF"/>
    <w:rsid w:val="000E2661"/>
    <w:rsid w:val="000E2703"/>
    <w:rsid w:val="000E2933"/>
    <w:rsid w:val="000E29AD"/>
    <w:rsid w:val="000E344B"/>
    <w:rsid w:val="000E3F0D"/>
    <w:rsid w:val="000E44FE"/>
    <w:rsid w:val="000E463A"/>
    <w:rsid w:val="000E477E"/>
    <w:rsid w:val="000E4828"/>
    <w:rsid w:val="000E4A89"/>
    <w:rsid w:val="000E4C60"/>
    <w:rsid w:val="000E4FA2"/>
    <w:rsid w:val="000E526A"/>
    <w:rsid w:val="000E577D"/>
    <w:rsid w:val="000E602C"/>
    <w:rsid w:val="000E60B2"/>
    <w:rsid w:val="000E6358"/>
    <w:rsid w:val="000E684B"/>
    <w:rsid w:val="000E6BC1"/>
    <w:rsid w:val="000E6C4F"/>
    <w:rsid w:val="000E7048"/>
    <w:rsid w:val="000E71E6"/>
    <w:rsid w:val="000E73E4"/>
    <w:rsid w:val="000E745A"/>
    <w:rsid w:val="000E7E69"/>
    <w:rsid w:val="000F052F"/>
    <w:rsid w:val="000F06D7"/>
    <w:rsid w:val="000F0B8E"/>
    <w:rsid w:val="000F0DEC"/>
    <w:rsid w:val="000F1426"/>
    <w:rsid w:val="000F1D97"/>
    <w:rsid w:val="000F1EFD"/>
    <w:rsid w:val="000F1F89"/>
    <w:rsid w:val="000F22C4"/>
    <w:rsid w:val="000F2564"/>
    <w:rsid w:val="000F2608"/>
    <w:rsid w:val="000F2890"/>
    <w:rsid w:val="000F2D36"/>
    <w:rsid w:val="000F2EAE"/>
    <w:rsid w:val="000F308C"/>
    <w:rsid w:val="000F3496"/>
    <w:rsid w:val="000F37F9"/>
    <w:rsid w:val="000F38D6"/>
    <w:rsid w:val="000F3E40"/>
    <w:rsid w:val="000F4012"/>
    <w:rsid w:val="000F403A"/>
    <w:rsid w:val="000F4102"/>
    <w:rsid w:val="000F4719"/>
    <w:rsid w:val="000F4802"/>
    <w:rsid w:val="000F492F"/>
    <w:rsid w:val="000F4B08"/>
    <w:rsid w:val="000F50E1"/>
    <w:rsid w:val="000F551E"/>
    <w:rsid w:val="000F57DF"/>
    <w:rsid w:val="000F59B2"/>
    <w:rsid w:val="000F5AA4"/>
    <w:rsid w:val="000F60F4"/>
    <w:rsid w:val="000F6195"/>
    <w:rsid w:val="000F6309"/>
    <w:rsid w:val="000F637C"/>
    <w:rsid w:val="000F64E7"/>
    <w:rsid w:val="000F64F0"/>
    <w:rsid w:val="000F6799"/>
    <w:rsid w:val="000F69AC"/>
    <w:rsid w:val="000F69D9"/>
    <w:rsid w:val="000F6B23"/>
    <w:rsid w:val="000F77F4"/>
    <w:rsid w:val="000F78D8"/>
    <w:rsid w:val="000F791C"/>
    <w:rsid w:val="000F7B25"/>
    <w:rsid w:val="000F7CF4"/>
    <w:rsid w:val="00100662"/>
    <w:rsid w:val="001007B7"/>
    <w:rsid w:val="00100A6E"/>
    <w:rsid w:val="00100AD0"/>
    <w:rsid w:val="00101977"/>
    <w:rsid w:val="00101992"/>
    <w:rsid w:val="00101D7C"/>
    <w:rsid w:val="0010232E"/>
    <w:rsid w:val="001024A9"/>
    <w:rsid w:val="00102562"/>
    <w:rsid w:val="0010261D"/>
    <w:rsid w:val="0010272B"/>
    <w:rsid w:val="001027D3"/>
    <w:rsid w:val="0010296C"/>
    <w:rsid w:val="00102B15"/>
    <w:rsid w:val="00102B1F"/>
    <w:rsid w:val="00102B45"/>
    <w:rsid w:val="00102C9B"/>
    <w:rsid w:val="00102FF8"/>
    <w:rsid w:val="001032EF"/>
    <w:rsid w:val="0010345D"/>
    <w:rsid w:val="001037DE"/>
    <w:rsid w:val="001037E0"/>
    <w:rsid w:val="00103C29"/>
    <w:rsid w:val="00103F85"/>
    <w:rsid w:val="00104077"/>
    <w:rsid w:val="0010410B"/>
    <w:rsid w:val="00104158"/>
    <w:rsid w:val="0010441F"/>
    <w:rsid w:val="001047C3"/>
    <w:rsid w:val="001048B4"/>
    <w:rsid w:val="001048D1"/>
    <w:rsid w:val="00104B55"/>
    <w:rsid w:val="00104C8E"/>
    <w:rsid w:val="00105179"/>
    <w:rsid w:val="00105204"/>
    <w:rsid w:val="001052E3"/>
    <w:rsid w:val="001054BC"/>
    <w:rsid w:val="0010550C"/>
    <w:rsid w:val="00105C1F"/>
    <w:rsid w:val="00106058"/>
    <w:rsid w:val="001060B7"/>
    <w:rsid w:val="00106326"/>
    <w:rsid w:val="00106659"/>
    <w:rsid w:val="001068AA"/>
    <w:rsid w:val="0010696E"/>
    <w:rsid w:val="001069EB"/>
    <w:rsid w:val="00106FA4"/>
    <w:rsid w:val="00107611"/>
    <w:rsid w:val="0010771F"/>
    <w:rsid w:val="00107887"/>
    <w:rsid w:val="00107998"/>
    <w:rsid w:val="00107A03"/>
    <w:rsid w:val="00107AAF"/>
    <w:rsid w:val="00107BE6"/>
    <w:rsid w:val="00107D33"/>
    <w:rsid w:val="00107E07"/>
    <w:rsid w:val="00107E73"/>
    <w:rsid w:val="00110202"/>
    <w:rsid w:val="00110381"/>
    <w:rsid w:val="0011056A"/>
    <w:rsid w:val="00110963"/>
    <w:rsid w:val="00110969"/>
    <w:rsid w:val="00110BCE"/>
    <w:rsid w:val="00110CA2"/>
    <w:rsid w:val="00110DCD"/>
    <w:rsid w:val="00110E94"/>
    <w:rsid w:val="001113EB"/>
    <w:rsid w:val="001115EA"/>
    <w:rsid w:val="001116BD"/>
    <w:rsid w:val="001117AA"/>
    <w:rsid w:val="00111CCE"/>
    <w:rsid w:val="00112020"/>
    <w:rsid w:val="00112BBA"/>
    <w:rsid w:val="00112CEA"/>
    <w:rsid w:val="00112E3D"/>
    <w:rsid w:val="00112EFF"/>
    <w:rsid w:val="001133F2"/>
    <w:rsid w:val="00113402"/>
    <w:rsid w:val="001134EB"/>
    <w:rsid w:val="00113A6A"/>
    <w:rsid w:val="00113ACD"/>
    <w:rsid w:val="00113D0E"/>
    <w:rsid w:val="00113F72"/>
    <w:rsid w:val="00113F88"/>
    <w:rsid w:val="0011411B"/>
    <w:rsid w:val="00114128"/>
    <w:rsid w:val="00114169"/>
    <w:rsid w:val="00114249"/>
    <w:rsid w:val="001142F1"/>
    <w:rsid w:val="001145E9"/>
    <w:rsid w:val="00114CDA"/>
    <w:rsid w:val="00114ECE"/>
    <w:rsid w:val="00114F8E"/>
    <w:rsid w:val="001152B9"/>
    <w:rsid w:val="00115378"/>
    <w:rsid w:val="0011556F"/>
    <w:rsid w:val="001156DA"/>
    <w:rsid w:val="00115754"/>
    <w:rsid w:val="0011582C"/>
    <w:rsid w:val="00115A26"/>
    <w:rsid w:val="00115C05"/>
    <w:rsid w:val="00115E14"/>
    <w:rsid w:val="00116249"/>
    <w:rsid w:val="0011637E"/>
    <w:rsid w:val="001164DF"/>
    <w:rsid w:val="001168F6"/>
    <w:rsid w:val="00116F6F"/>
    <w:rsid w:val="00116FB7"/>
    <w:rsid w:val="00116FE8"/>
    <w:rsid w:val="00117101"/>
    <w:rsid w:val="001171B2"/>
    <w:rsid w:val="0011789F"/>
    <w:rsid w:val="00117AFA"/>
    <w:rsid w:val="001200D1"/>
    <w:rsid w:val="001200F4"/>
    <w:rsid w:val="00120121"/>
    <w:rsid w:val="00120D9D"/>
    <w:rsid w:val="00121021"/>
    <w:rsid w:val="001210AF"/>
    <w:rsid w:val="001212D6"/>
    <w:rsid w:val="001213FA"/>
    <w:rsid w:val="001214A1"/>
    <w:rsid w:val="001216A4"/>
    <w:rsid w:val="001217EE"/>
    <w:rsid w:val="00121929"/>
    <w:rsid w:val="00121A67"/>
    <w:rsid w:val="00121E96"/>
    <w:rsid w:val="00121EFA"/>
    <w:rsid w:val="0012246C"/>
    <w:rsid w:val="00122A86"/>
    <w:rsid w:val="00122BBA"/>
    <w:rsid w:val="00122D4B"/>
    <w:rsid w:val="00122DD7"/>
    <w:rsid w:val="00122E99"/>
    <w:rsid w:val="0012315B"/>
    <w:rsid w:val="001231A9"/>
    <w:rsid w:val="001231F5"/>
    <w:rsid w:val="00123311"/>
    <w:rsid w:val="00123645"/>
    <w:rsid w:val="001236D5"/>
    <w:rsid w:val="00123761"/>
    <w:rsid w:val="00123A44"/>
    <w:rsid w:val="00124090"/>
    <w:rsid w:val="00124554"/>
    <w:rsid w:val="0012472F"/>
    <w:rsid w:val="00124899"/>
    <w:rsid w:val="001248C3"/>
    <w:rsid w:val="00124AA5"/>
    <w:rsid w:val="00124D0A"/>
    <w:rsid w:val="00124D82"/>
    <w:rsid w:val="00124E8C"/>
    <w:rsid w:val="00124FAC"/>
    <w:rsid w:val="00125001"/>
    <w:rsid w:val="001252E2"/>
    <w:rsid w:val="001256EC"/>
    <w:rsid w:val="001257AC"/>
    <w:rsid w:val="0012598C"/>
    <w:rsid w:val="00125F77"/>
    <w:rsid w:val="00126823"/>
    <w:rsid w:val="00126BFF"/>
    <w:rsid w:val="00127232"/>
    <w:rsid w:val="0012748D"/>
    <w:rsid w:val="00127DB5"/>
    <w:rsid w:val="00130656"/>
    <w:rsid w:val="001308EC"/>
    <w:rsid w:val="0013097A"/>
    <w:rsid w:val="00130AAC"/>
    <w:rsid w:val="00130C52"/>
    <w:rsid w:val="00130DAB"/>
    <w:rsid w:val="001311C4"/>
    <w:rsid w:val="0013134A"/>
    <w:rsid w:val="00131AE9"/>
    <w:rsid w:val="00131B9E"/>
    <w:rsid w:val="00132386"/>
    <w:rsid w:val="00132975"/>
    <w:rsid w:val="00132AF4"/>
    <w:rsid w:val="0013300C"/>
    <w:rsid w:val="00133075"/>
    <w:rsid w:val="0013321A"/>
    <w:rsid w:val="00133295"/>
    <w:rsid w:val="00133320"/>
    <w:rsid w:val="00133651"/>
    <w:rsid w:val="00133A26"/>
    <w:rsid w:val="00133FA2"/>
    <w:rsid w:val="0013418E"/>
    <w:rsid w:val="00134385"/>
    <w:rsid w:val="00134DDB"/>
    <w:rsid w:val="00134E47"/>
    <w:rsid w:val="001352B1"/>
    <w:rsid w:val="00135344"/>
    <w:rsid w:val="0013540D"/>
    <w:rsid w:val="001356A5"/>
    <w:rsid w:val="001356F2"/>
    <w:rsid w:val="00135ED2"/>
    <w:rsid w:val="00135FDC"/>
    <w:rsid w:val="00136004"/>
    <w:rsid w:val="001361A0"/>
    <w:rsid w:val="001361E6"/>
    <w:rsid w:val="001364B0"/>
    <w:rsid w:val="00136584"/>
    <w:rsid w:val="0013684A"/>
    <w:rsid w:val="00136C72"/>
    <w:rsid w:val="001370A0"/>
    <w:rsid w:val="001371A1"/>
    <w:rsid w:val="0013753B"/>
    <w:rsid w:val="00137D84"/>
    <w:rsid w:val="0014010D"/>
    <w:rsid w:val="0014036D"/>
    <w:rsid w:val="0014038F"/>
    <w:rsid w:val="001407BD"/>
    <w:rsid w:val="00140B8B"/>
    <w:rsid w:val="00140C57"/>
    <w:rsid w:val="00140D82"/>
    <w:rsid w:val="00140DFE"/>
    <w:rsid w:val="001411D0"/>
    <w:rsid w:val="0014155F"/>
    <w:rsid w:val="00141BF7"/>
    <w:rsid w:val="00141E59"/>
    <w:rsid w:val="001420E7"/>
    <w:rsid w:val="001421D8"/>
    <w:rsid w:val="001421EE"/>
    <w:rsid w:val="001427F1"/>
    <w:rsid w:val="00142805"/>
    <w:rsid w:val="001428C6"/>
    <w:rsid w:val="00142A5B"/>
    <w:rsid w:val="00142B6E"/>
    <w:rsid w:val="00142C87"/>
    <w:rsid w:val="00143072"/>
    <w:rsid w:val="0014347C"/>
    <w:rsid w:val="001434C3"/>
    <w:rsid w:val="001434F1"/>
    <w:rsid w:val="001438E4"/>
    <w:rsid w:val="00143A88"/>
    <w:rsid w:val="00143BC7"/>
    <w:rsid w:val="00143C68"/>
    <w:rsid w:val="00143E48"/>
    <w:rsid w:val="00143F72"/>
    <w:rsid w:val="001446C9"/>
    <w:rsid w:val="001446FE"/>
    <w:rsid w:val="001449B2"/>
    <w:rsid w:val="00144B7D"/>
    <w:rsid w:val="00144D8C"/>
    <w:rsid w:val="00145273"/>
    <w:rsid w:val="0014535D"/>
    <w:rsid w:val="001454C5"/>
    <w:rsid w:val="00145568"/>
    <w:rsid w:val="001455CA"/>
    <w:rsid w:val="001456B2"/>
    <w:rsid w:val="0014579A"/>
    <w:rsid w:val="00145972"/>
    <w:rsid w:val="001461F0"/>
    <w:rsid w:val="00146670"/>
    <w:rsid w:val="0014694B"/>
    <w:rsid w:val="00146A68"/>
    <w:rsid w:val="00146A77"/>
    <w:rsid w:val="00146B2C"/>
    <w:rsid w:val="00147001"/>
    <w:rsid w:val="0014726F"/>
    <w:rsid w:val="0014741F"/>
    <w:rsid w:val="001502DA"/>
    <w:rsid w:val="0015077E"/>
    <w:rsid w:val="00150A50"/>
    <w:rsid w:val="00150D81"/>
    <w:rsid w:val="001511C9"/>
    <w:rsid w:val="001515E4"/>
    <w:rsid w:val="0015164F"/>
    <w:rsid w:val="0015168D"/>
    <w:rsid w:val="00151C1F"/>
    <w:rsid w:val="00151C92"/>
    <w:rsid w:val="0015219F"/>
    <w:rsid w:val="0015221E"/>
    <w:rsid w:val="001522E6"/>
    <w:rsid w:val="001523F2"/>
    <w:rsid w:val="00152433"/>
    <w:rsid w:val="00152509"/>
    <w:rsid w:val="0015256E"/>
    <w:rsid w:val="001525A2"/>
    <w:rsid w:val="00152836"/>
    <w:rsid w:val="00152886"/>
    <w:rsid w:val="00152896"/>
    <w:rsid w:val="00152BE8"/>
    <w:rsid w:val="00152E11"/>
    <w:rsid w:val="00152F2E"/>
    <w:rsid w:val="001534A7"/>
    <w:rsid w:val="00153793"/>
    <w:rsid w:val="001537CE"/>
    <w:rsid w:val="0015390E"/>
    <w:rsid w:val="00153A1A"/>
    <w:rsid w:val="00153B77"/>
    <w:rsid w:val="00153D73"/>
    <w:rsid w:val="00153E94"/>
    <w:rsid w:val="00154300"/>
    <w:rsid w:val="00154355"/>
    <w:rsid w:val="001548BA"/>
    <w:rsid w:val="00154A60"/>
    <w:rsid w:val="00154BC5"/>
    <w:rsid w:val="00154D88"/>
    <w:rsid w:val="00154EBA"/>
    <w:rsid w:val="00154F90"/>
    <w:rsid w:val="00155C1E"/>
    <w:rsid w:val="00155C63"/>
    <w:rsid w:val="00155D3A"/>
    <w:rsid w:val="00155E30"/>
    <w:rsid w:val="00155EA1"/>
    <w:rsid w:val="00155EFA"/>
    <w:rsid w:val="00156622"/>
    <w:rsid w:val="0015676F"/>
    <w:rsid w:val="00156B4A"/>
    <w:rsid w:val="00156DA6"/>
    <w:rsid w:val="00156EA6"/>
    <w:rsid w:val="00157254"/>
    <w:rsid w:val="00157620"/>
    <w:rsid w:val="001576E1"/>
    <w:rsid w:val="00157787"/>
    <w:rsid w:val="00157A81"/>
    <w:rsid w:val="001600E6"/>
    <w:rsid w:val="00160182"/>
    <w:rsid w:val="0016083F"/>
    <w:rsid w:val="00160985"/>
    <w:rsid w:val="00160A6D"/>
    <w:rsid w:val="00160B19"/>
    <w:rsid w:val="00161111"/>
    <w:rsid w:val="00161653"/>
    <w:rsid w:val="00161663"/>
    <w:rsid w:val="001618E6"/>
    <w:rsid w:val="00161961"/>
    <w:rsid w:val="00161BD7"/>
    <w:rsid w:val="00161CCB"/>
    <w:rsid w:val="00161CF8"/>
    <w:rsid w:val="001623E4"/>
    <w:rsid w:val="001627EB"/>
    <w:rsid w:val="001629FE"/>
    <w:rsid w:val="001630D0"/>
    <w:rsid w:val="001634E6"/>
    <w:rsid w:val="00163595"/>
    <w:rsid w:val="001638C8"/>
    <w:rsid w:val="001638CB"/>
    <w:rsid w:val="00163A5C"/>
    <w:rsid w:val="00163AA9"/>
    <w:rsid w:val="00163B35"/>
    <w:rsid w:val="00163D6F"/>
    <w:rsid w:val="00163F76"/>
    <w:rsid w:val="001641CD"/>
    <w:rsid w:val="001641F7"/>
    <w:rsid w:val="00164479"/>
    <w:rsid w:val="00164632"/>
    <w:rsid w:val="00164737"/>
    <w:rsid w:val="0016482F"/>
    <w:rsid w:val="0016488A"/>
    <w:rsid w:val="00164E33"/>
    <w:rsid w:val="001651A4"/>
    <w:rsid w:val="001653D6"/>
    <w:rsid w:val="00165442"/>
    <w:rsid w:val="0016544B"/>
    <w:rsid w:val="00165607"/>
    <w:rsid w:val="00165824"/>
    <w:rsid w:val="0016598F"/>
    <w:rsid w:val="00165AAA"/>
    <w:rsid w:val="00165CEB"/>
    <w:rsid w:val="00166216"/>
    <w:rsid w:val="0016626E"/>
    <w:rsid w:val="0016640E"/>
    <w:rsid w:val="001665C0"/>
    <w:rsid w:val="00166688"/>
    <w:rsid w:val="00166852"/>
    <w:rsid w:val="00166AE0"/>
    <w:rsid w:val="00167286"/>
    <w:rsid w:val="001677A5"/>
    <w:rsid w:val="00167B83"/>
    <w:rsid w:val="00167C5F"/>
    <w:rsid w:val="00167CD6"/>
    <w:rsid w:val="00170C88"/>
    <w:rsid w:val="00170CBB"/>
    <w:rsid w:val="00170FE5"/>
    <w:rsid w:val="0017110B"/>
    <w:rsid w:val="001715B8"/>
    <w:rsid w:val="0017166F"/>
    <w:rsid w:val="0017179F"/>
    <w:rsid w:val="00171D05"/>
    <w:rsid w:val="00172128"/>
    <w:rsid w:val="00172400"/>
    <w:rsid w:val="001724BB"/>
    <w:rsid w:val="001728AA"/>
    <w:rsid w:val="00172908"/>
    <w:rsid w:val="00172B01"/>
    <w:rsid w:val="001731B1"/>
    <w:rsid w:val="001733B3"/>
    <w:rsid w:val="001735F9"/>
    <w:rsid w:val="00173645"/>
    <w:rsid w:val="0017387B"/>
    <w:rsid w:val="00173A58"/>
    <w:rsid w:val="00173AF8"/>
    <w:rsid w:val="00174860"/>
    <w:rsid w:val="00174B7D"/>
    <w:rsid w:val="00174DF3"/>
    <w:rsid w:val="00175698"/>
    <w:rsid w:val="001758A3"/>
    <w:rsid w:val="0017594D"/>
    <w:rsid w:val="00175AE5"/>
    <w:rsid w:val="00175BAF"/>
    <w:rsid w:val="00175E0C"/>
    <w:rsid w:val="001760DA"/>
    <w:rsid w:val="0017628D"/>
    <w:rsid w:val="001763C2"/>
    <w:rsid w:val="00176987"/>
    <w:rsid w:val="00176B85"/>
    <w:rsid w:val="00176EF5"/>
    <w:rsid w:val="00176F33"/>
    <w:rsid w:val="0017730B"/>
    <w:rsid w:val="00177635"/>
    <w:rsid w:val="001777E7"/>
    <w:rsid w:val="0017791B"/>
    <w:rsid w:val="00177ACB"/>
    <w:rsid w:val="00177B93"/>
    <w:rsid w:val="00180250"/>
    <w:rsid w:val="001803F9"/>
    <w:rsid w:val="0018090B"/>
    <w:rsid w:val="00180F61"/>
    <w:rsid w:val="001811B8"/>
    <w:rsid w:val="0018122A"/>
    <w:rsid w:val="001812C2"/>
    <w:rsid w:val="001818C8"/>
    <w:rsid w:val="00181A44"/>
    <w:rsid w:val="00181B77"/>
    <w:rsid w:val="00181CAE"/>
    <w:rsid w:val="00181CD3"/>
    <w:rsid w:val="00181FE9"/>
    <w:rsid w:val="00182083"/>
    <w:rsid w:val="0018210E"/>
    <w:rsid w:val="0018212C"/>
    <w:rsid w:val="0018217D"/>
    <w:rsid w:val="001823EF"/>
    <w:rsid w:val="0018248F"/>
    <w:rsid w:val="00182493"/>
    <w:rsid w:val="00182590"/>
    <w:rsid w:val="001825FF"/>
    <w:rsid w:val="00182830"/>
    <w:rsid w:val="001828AF"/>
    <w:rsid w:val="001828C2"/>
    <w:rsid w:val="00182988"/>
    <w:rsid w:val="001829F8"/>
    <w:rsid w:val="00182ADA"/>
    <w:rsid w:val="00182AF0"/>
    <w:rsid w:val="0018315C"/>
    <w:rsid w:val="0018337C"/>
    <w:rsid w:val="001835D8"/>
    <w:rsid w:val="0018368F"/>
    <w:rsid w:val="0018377B"/>
    <w:rsid w:val="0018406B"/>
    <w:rsid w:val="00184286"/>
    <w:rsid w:val="0018467E"/>
    <w:rsid w:val="001846A8"/>
    <w:rsid w:val="00184CED"/>
    <w:rsid w:val="00184DD7"/>
    <w:rsid w:val="00184FA9"/>
    <w:rsid w:val="001857A6"/>
    <w:rsid w:val="00185A1D"/>
    <w:rsid w:val="00185C64"/>
    <w:rsid w:val="00185D09"/>
    <w:rsid w:val="00185E3E"/>
    <w:rsid w:val="00185EAC"/>
    <w:rsid w:val="00186707"/>
    <w:rsid w:val="00186758"/>
    <w:rsid w:val="00186804"/>
    <w:rsid w:val="001868FA"/>
    <w:rsid w:val="001869D4"/>
    <w:rsid w:val="001869F0"/>
    <w:rsid w:val="00186A56"/>
    <w:rsid w:val="00186B1C"/>
    <w:rsid w:val="00186E6A"/>
    <w:rsid w:val="00186FA3"/>
    <w:rsid w:val="00187021"/>
    <w:rsid w:val="00187255"/>
    <w:rsid w:val="0018729D"/>
    <w:rsid w:val="00187503"/>
    <w:rsid w:val="001878B6"/>
    <w:rsid w:val="001900C5"/>
    <w:rsid w:val="001903EC"/>
    <w:rsid w:val="00190412"/>
    <w:rsid w:val="00190422"/>
    <w:rsid w:val="00190743"/>
    <w:rsid w:val="001907B9"/>
    <w:rsid w:val="00190FDE"/>
    <w:rsid w:val="00191475"/>
    <w:rsid w:val="001916A0"/>
    <w:rsid w:val="001917D1"/>
    <w:rsid w:val="00191931"/>
    <w:rsid w:val="00191BDF"/>
    <w:rsid w:val="00191F5A"/>
    <w:rsid w:val="00192246"/>
    <w:rsid w:val="0019224B"/>
    <w:rsid w:val="0019224F"/>
    <w:rsid w:val="001924AC"/>
    <w:rsid w:val="00192AD2"/>
    <w:rsid w:val="00192B42"/>
    <w:rsid w:val="00192B8E"/>
    <w:rsid w:val="00192C2B"/>
    <w:rsid w:val="00192DAB"/>
    <w:rsid w:val="00192EF8"/>
    <w:rsid w:val="0019388B"/>
    <w:rsid w:val="00193B0D"/>
    <w:rsid w:val="00193C20"/>
    <w:rsid w:val="00193D16"/>
    <w:rsid w:val="00193D8A"/>
    <w:rsid w:val="00193DDB"/>
    <w:rsid w:val="0019461A"/>
    <w:rsid w:val="00194778"/>
    <w:rsid w:val="001947C2"/>
    <w:rsid w:val="001947D0"/>
    <w:rsid w:val="0019480B"/>
    <w:rsid w:val="00194AE8"/>
    <w:rsid w:val="00194D0A"/>
    <w:rsid w:val="0019521D"/>
    <w:rsid w:val="001954F0"/>
    <w:rsid w:val="0019560B"/>
    <w:rsid w:val="00195666"/>
    <w:rsid w:val="00195718"/>
    <w:rsid w:val="00195989"/>
    <w:rsid w:val="00195DE9"/>
    <w:rsid w:val="00195E57"/>
    <w:rsid w:val="00195F6F"/>
    <w:rsid w:val="0019604C"/>
    <w:rsid w:val="001960F6"/>
    <w:rsid w:val="001961FB"/>
    <w:rsid w:val="001963F0"/>
    <w:rsid w:val="00196497"/>
    <w:rsid w:val="00196631"/>
    <w:rsid w:val="00196635"/>
    <w:rsid w:val="001968ED"/>
    <w:rsid w:val="00196DB5"/>
    <w:rsid w:val="001971F8"/>
    <w:rsid w:val="0019759F"/>
    <w:rsid w:val="00197679"/>
    <w:rsid w:val="00197804"/>
    <w:rsid w:val="00197985"/>
    <w:rsid w:val="00197C7C"/>
    <w:rsid w:val="00197CAD"/>
    <w:rsid w:val="00197DEE"/>
    <w:rsid w:val="001A001D"/>
    <w:rsid w:val="001A057F"/>
    <w:rsid w:val="001A08F3"/>
    <w:rsid w:val="001A0A4F"/>
    <w:rsid w:val="001A0AC3"/>
    <w:rsid w:val="001A0C4C"/>
    <w:rsid w:val="001A10FC"/>
    <w:rsid w:val="001A1376"/>
    <w:rsid w:val="001A13C0"/>
    <w:rsid w:val="001A2055"/>
    <w:rsid w:val="001A222A"/>
    <w:rsid w:val="001A2741"/>
    <w:rsid w:val="001A2838"/>
    <w:rsid w:val="001A29E7"/>
    <w:rsid w:val="001A2A30"/>
    <w:rsid w:val="001A2E92"/>
    <w:rsid w:val="001A2ED4"/>
    <w:rsid w:val="001A2F8F"/>
    <w:rsid w:val="001A3200"/>
    <w:rsid w:val="001A395C"/>
    <w:rsid w:val="001A3BB2"/>
    <w:rsid w:val="001A3BC7"/>
    <w:rsid w:val="001A41F3"/>
    <w:rsid w:val="001A4861"/>
    <w:rsid w:val="001A4B61"/>
    <w:rsid w:val="001A4ECB"/>
    <w:rsid w:val="001A4F12"/>
    <w:rsid w:val="001A5077"/>
    <w:rsid w:val="001A542F"/>
    <w:rsid w:val="001A5448"/>
    <w:rsid w:val="001A5467"/>
    <w:rsid w:val="001A572B"/>
    <w:rsid w:val="001A5767"/>
    <w:rsid w:val="001A5792"/>
    <w:rsid w:val="001A58CB"/>
    <w:rsid w:val="001A5EB8"/>
    <w:rsid w:val="001A5FF8"/>
    <w:rsid w:val="001A6175"/>
    <w:rsid w:val="001A6512"/>
    <w:rsid w:val="001A690C"/>
    <w:rsid w:val="001A6982"/>
    <w:rsid w:val="001A6AF1"/>
    <w:rsid w:val="001A6E6B"/>
    <w:rsid w:val="001A6FD3"/>
    <w:rsid w:val="001A73AE"/>
    <w:rsid w:val="001A76F6"/>
    <w:rsid w:val="001A79DC"/>
    <w:rsid w:val="001A7AEF"/>
    <w:rsid w:val="001A7FED"/>
    <w:rsid w:val="001B01A2"/>
    <w:rsid w:val="001B029E"/>
    <w:rsid w:val="001B03AF"/>
    <w:rsid w:val="001B0425"/>
    <w:rsid w:val="001B0965"/>
    <w:rsid w:val="001B0ACF"/>
    <w:rsid w:val="001B0CD7"/>
    <w:rsid w:val="001B0D19"/>
    <w:rsid w:val="001B0DC9"/>
    <w:rsid w:val="001B10C2"/>
    <w:rsid w:val="001B2133"/>
    <w:rsid w:val="001B22B5"/>
    <w:rsid w:val="001B24DF"/>
    <w:rsid w:val="001B25EE"/>
    <w:rsid w:val="001B264C"/>
    <w:rsid w:val="001B26C0"/>
    <w:rsid w:val="001B2752"/>
    <w:rsid w:val="001B279E"/>
    <w:rsid w:val="001B27CA"/>
    <w:rsid w:val="001B2857"/>
    <w:rsid w:val="001B2891"/>
    <w:rsid w:val="001B2A32"/>
    <w:rsid w:val="001B2CC1"/>
    <w:rsid w:val="001B2D29"/>
    <w:rsid w:val="001B2EFA"/>
    <w:rsid w:val="001B2FBB"/>
    <w:rsid w:val="001B313F"/>
    <w:rsid w:val="001B327D"/>
    <w:rsid w:val="001B3430"/>
    <w:rsid w:val="001B3700"/>
    <w:rsid w:val="001B3A3F"/>
    <w:rsid w:val="001B3AC4"/>
    <w:rsid w:val="001B4040"/>
    <w:rsid w:val="001B434D"/>
    <w:rsid w:val="001B4386"/>
    <w:rsid w:val="001B44FD"/>
    <w:rsid w:val="001B474B"/>
    <w:rsid w:val="001B4A23"/>
    <w:rsid w:val="001B4B0B"/>
    <w:rsid w:val="001B4D91"/>
    <w:rsid w:val="001B4FD0"/>
    <w:rsid w:val="001B53D7"/>
    <w:rsid w:val="001B5506"/>
    <w:rsid w:val="001B5726"/>
    <w:rsid w:val="001B57AC"/>
    <w:rsid w:val="001B5905"/>
    <w:rsid w:val="001B688C"/>
    <w:rsid w:val="001B697E"/>
    <w:rsid w:val="001B6BD8"/>
    <w:rsid w:val="001B6CC8"/>
    <w:rsid w:val="001B6D69"/>
    <w:rsid w:val="001B6FE8"/>
    <w:rsid w:val="001B7357"/>
    <w:rsid w:val="001B7359"/>
    <w:rsid w:val="001B7446"/>
    <w:rsid w:val="001B777E"/>
    <w:rsid w:val="001B783D"/>
    <w:rsid w:val="001B7B3D"/>
    <w:rsid w:val="001B7C8C"/>
    <w:rsid w:val="001C0166"/>
    <w:rsid w:val="001C0530"/>
    <w:rsid w:val="001C0F6E"/>
    <w:rsid w:val="001C0FB7"/>
    <w:rsid w:val="001C1060"/>
    <w:rsid w:val="001C14C4"/>
    <w:rsid w:val="001C168B"/>
    <w:rsid w:val="001C1AC7"/>
    <w:rsid w:val="001C1C32"/>
    <w:rsid w:val="001C1CC0"/>
    <w:rsid w:val="001C20B5"/>
    <w:rsid w:val="001C21CE"/>
    <w:rsid w:val="001C2677"/>
    <w:rsid w:val="001C2737"/>
    <w:rsid w:val="001C2741"/>
    <w:rsid w:val="001C2794"/>
    <w:rsid w:val="001C2AE7"/>
    <w:rsid w:val="001C3786"/>
    <w:rsid w:val="001C3879"/>
    <w:rsid w:val="001C3E70"/>
    <w:rsid w:val="001C4008"/>
    <w:rsid w:val="001C432D"/>
    <w:rsid w:val="001C47E3"/>
    <w:rsid w:val="001C4AF6"/>
    <w:rsid w:val="001C4DE4"/>
    <w:rsid w:val="001C4E48"/>
    <w:rsid w:val="001C51C2"/>
    <w:rsid w:val="001C56F8"/>
    <w:rsid w:val="001C578E"/>
    <w:rsid w:val="001C58E4"/>
    <w:rsid w:val="001C5C17"/>
    <w:rsid w:val="001C5C92"/>
    <w:rsid w:val="001C5CB9"/>
    <w:rsid w:val="001C5CF2"/>
    <w:rsid w:val="001C5D5F"/>
    <w:rsid w:val="001C5D84"/>
    <w:rsid w:val="001C5DA9"/>
    <w:rsid w:val="001C6106"/>
    <w:rsid w:val="001C653F"/>
    <w:rsid w:val="001C67C3"/>
    <w:rsid w:val="001C6880"/>
    <w:rsid w:val="001C699D"/>
    <w:rsid w:val="001C70A6"/>
    <w:rsid w:val="001C77CC"/>
    <w:rsid w:val="001C7A39"/>
    <w:rsid w:val="001C7A4B"/>
    <w:rsid w:val="001C7ABF"/>
    <w:rsid w:val="001C7C66"/>
    <w:rsid w:val="001C7D8A"/>
    <w:rsid w:val="001D005C"/>
    <w:rsid w:val="001D04AA"/>
    <w:rsid w:val="001D05AD"/>
    <w:rsid w:val="001D08A3"/>
    <w:rsid w:val="001D0B24"/>
    <w:rsid w:val="001D0E40"/>
    <w:rsid w:val="001D0F10"/>
    <w:rsid w:val="001D1114"/>
    <w:rsid w:val="001D14F1"/>
    <w:rsid w:val="001D1D08"/>
    <w:rsid w:val="001D215D"/>
    <w:rsid w:val="001D289B"/>
    <w:rsid w:val="001D2970"/>
    <w:rsid w:val="001D29C1"/>
    <w:rsid w:val="001D2A92"/>
    <w:rsid w:val="001D2B6F"/>
    <w:rsid w:val="001D2F4E"/>
    <w:rsid w:val="001D2F6F"/>
    <w:rsid w:val="001D3173"/>
    <w:rsid w:val="001D3219"/>
    <w:rsid w:val="001D3883"/>
    <w:rsid w:val="001D3A1C"/>
    <w:rsid w:val="001D3B20"/>
    <w:rsid w:val="001D3F1D"/>
    <w:rsid w:val="001D3F70"/>
    <w:rsid w:val="001D434B"/>
    <w:rsid w:val="001D4465"/>
    <w:rsid w:val="001D447E"/>
    <w:rsid w:val="001D4607"/>
    <w:rsid w:val="001D491E"/>
    <w:rsid w:val="001D4DAC"/>
    <w:rsid w:val="001D4E86"/>
    <w:rsid w:val="001D505D"/>
    <w:rsid w:val="001D544E"/>
    <w:rsid w:val="001D59DE"/>
    <w:rsid w:val="001D5FFA"/>
    <w:rsid w:val="001D606A"/>
    <w:rsid w:val="001D6251"/>
    <w:rsid w:val="001D63CE"/>
    <w:rsid w:val="001D68FD"/>
    <w:rsid w:val="001D6D99"/>
    <w:rsid w:val="001D6EEA"/>
    <w:rsid w:val="001D6F03"/>
    <w:rsid w:val="001D7022"/>
    <w:rsid w:val="001D71B9"/>
    <w:rsid w:val="001D7255"/>
    <w:rsid w:val="001D7277"/>
    <w:rsid w:val="001D735C"/>
    <w:rsid w:val="001D75D0"/>
    <w:rsid w:val="001D7AA9"/>
    <w:rsid w:val="001D7D33"/>
    <w:rsid w:val="001D7D74"/>
    <w:rsid w:val="001E00B1"/>
    <w:rsid w:val="001E0155"/>
    <w:rsid w:val="001E034B"/>
    <w:rsid w:val="001E05C5"/>
    <w:rsid w:val="001E088A"/>
    <w:rsid w:val="001E089B"/>
    <w:rsid w:val="001E08CE"/>
    <w:rsid w:val="001E093B"/>
    <w:rsid w:val="001E097F"/>
    <w:rsid w:val="001E0B24"/>
    <w:rsid w:val="001E0C46"/>
    <w:rsid w:val="001E12B4"/>
    <w:rsid w:val="001E13BA"/>
    <w:rsid w:val="001E1570"/>
    <w:rsid w:val="001E161C"/>
    <w:rsid w:val="001E1682"/>
    <w:rsid w:val="001E16EB"/>
    <w:rsid w:val="001E17E4"/>
    <w:rsid w:val="001E1A23"/>
    <w:rsid w:val="001E1CF0"/>
    <w:rsid w:val="001E1D34"/>
    <w:rsid w:val="001E1DF3"/>
    <w:rsid w:val="001E2068"/>
    <w:rsid w:val="001E211B"/>
    <w:rsid w:val="001E2164"/>
    <w:rsid w:val="001E22AD"/>
    <w:rsid w:val="001E268B"/>
    <w:rsid w:val="001E2891"/>
    <w:rsid w:val="001E28B9"/>
    <w:rsid w:val="001E29C5"/>
    <w:rsid w:val="001E2BBD"/>
    <w:rsid w:val="001E2F89"/>
    <w:rsid w:val="001E368E"/>
    <w:rsid w:val="001E3AB6"/>
    <w:rsid w:val="001E3C92"/>
    <w:rsid w:val="001E3CBF"/>
    <w:rsid w:val="001E3DCE"/>
    <w:rsid w:val="001E3FA9"/>
    <w:rsid w:val="001E4460"/>
    <w:rsid w:val="001E47C6"/>
    <w:rsid w:val="001E49DD"/>
    <w:rsid w:val="001E4B79"/>
    <w:rsid w:val="001E4D65"/>
    <w:rsid w:val="001E4DE5"/>
    <w:rsid w:val="001E4E8F"/>
    <w:rsid w:val="001E4E9F"/>
    <w:rsid w:val="001E4FBC"/>
    <w:rsid w:val="001E51CA"/>
    <w:rsid w:val="001E55F4"/>
    <w:rsid w:val="001E573E"/>
    <w:rsid w:val="001E5778"/>
    <w:rsid w:val="001E582C"/>
    <w:rsid w:val="001E5A3A"/>
    <w:rsid w:val="001E62CD"/>
    <w:rsid w:val="001E63EF"/>
    <w:rsid w:val="001E6543"/>
    <w:rsid w:val="001E6850"/>
    <w:rsid w:val="001E68EC"/>
    <w:rsid w:val="001E6BE3"/>
    <w:rsid w:val="001E6F04"/>
    <w:rsid w:val="001E6F33"/>
    <w:rsid w:val="001E7118"/>
    <w:rsid w:val="001E773C"/>
    <w:rsid w:val="001E78FE"/>
    <w:rsid w:val="001E7A64"/>
    <w:rsid w:val="001E7D26"/>
    <w:rsid w:val="001F0252"/>
    <w:rsid w:val="001F05CF"/>
    <w:rsid w:val="001F0998"/>
    <w:rsid w:val="001F0ABA"/>
    <w:rsid w:val="001F0DA7"/>
    <w:rsid w:val="001F0EB7"/>
    <w:rsid w:val="001F0ED3"/>
    <w:rsid w:val="001F1098"/>
    <w:rsid w:val="001F141E"/>
    <w:rsid w:val="001F16E1"/>
    <w:rsid w:val="001F185A"/>
    <w:rsid w:val="001F1C81"/>
    <w:rsid w:val="001F1CE1"/>
    <w:rsid w:val="001F1EAD"/>
    <w:rsid w:val="001F1F2F"/>
    <w:rsid w:val="001F23FC"/>
    <w:rsid w:val="001F2974"/>
    <w:rsid w:val="001F2A58"/>
    <w:rsid w:val="001F2AE7"/>
    <w:rsid w:val="001F2C7D"/>
    <w:rsid w:val="001F2C93"/>
    <w:rsid w:val="001F2DC3"/>
    <w:rsid w:val="001F3089"/>
    <w:rsid w:val="001F3219"/>
    <w:rsid w:val="001F33F5"/>
    <w:rsid w:val="001F35B0"/>
    <w:rsid w:val="001F3A0E"/>
    <w:rsid w:val="001F3A67"/>
    <w:rsid w:val="001F3D2B"/>
    <w:rsid w:val="001F3FC1"/>
    <w:rsid w:val="001F41AF"/>
    <w:rsid w:val="001F4730"/>
    <w:rsid w:val="001F477F"/>
    <w:rsid w:val="001F4ACB"/>
    <w:rsid w:val="001F4B36"/>
    <w:rsid w:val="001F4B90"/>
    <w:rsid w:val="001F4EB1"/>
    <w:rsid w:val="001F4FE0"/>
    <w:rsid w:val="001F50CC"/>
    <w:rsid w:val="001F5136"/>
    <w:rsid w:val="001F53F3"/>
    <w:rsid w:val="001F5473"/>
    <w:rsid w:val="001F5572"/>
    <w:rsid w:val="001F5749"/>
    <w:rsid w:val="001F58DA"/>
    <w:rsid w:val="001F5ABF"/>
    <w:rsid w:val="001F5C25"/>
    <w:rsid w:val="001F5EB4"/>
    <w:rsid w:val="001F5FBE"/>
    <w:rsid w:val="001F5FF1"/>
    <w:rsid w:val="001F606C"/>
    <w:rsid w:val="001F626D"/>
    <w:rsid w:val="001F647E"/>
    <w:rsid w:val="001F650A"/>
    <w:rsid w:val="001F65D5"/>
    <w:rsid w:val="001F6756"/>
    <w:rsid w:val="001F6ABE"/>
    <w:rsid w:val="001F7141"/>
    <w:rsid w:val="001F7353"/>
    <w:rsid w:val="001F753D"/>
    <w:rsid w:val="001F7962"/>
    <w:rsid w:val="001F7AF7"/>
    <w:rsid w:val="001F7BAB"/>
    <w:rsid w:val="002000B5"/>
    <w:rsid w:val="00200141"/>
    <w:rsid w:val="00200160"/>
    <w:rsid w:val="00200199"/>
    <w:rsid w:val="002003DD"/>
    <w:rsid w:val="00200402"/>
    <w:rsid w:val="00200960"/>
    <w:rsid w:val="00200EDE"/>
    <w:rsid w:val="00201360"/>
    <w:rsid w:val="00201367"/>
    <w:rsid w:val="00201431"/>
    <w:rsid w:val="002015DB"/>
    <w:rsid w:val="00201FAB"/>
    <w:rsid w:val="00201FDC"/>
    <w:rsid w:val="00202192"/>
    <w:rsid w:val="0020223E"/>
    <w:rsid w:val="002022F4"/>
    <w:rsid w:val="002023D2"/>
    <w:rsid w:val="0020272F"/>
    <w:rsid w:val="002027DE"/>
    <w:rsid w:val="0020284B"/>
    <w:rsid w:val="00202964"/>
    <w:rsid w:val="00202AA8"/>
    <w:rsid w:val="00202C33"/>
    <w:rsid w:val="00202DE5"/>
    <w:rsid w:val="00203BA3"/>
    <w:rsid w:val="002040B0"/>
    <w:rsid w:val="00204320"/>
    <w:rsid w:val="00204BB6"/>
    <w:rsid w:val="00204F10"/>
    <w:rsid w:val="0020520B"/>
    <w:rsid w:val="00205A1B"/>
    <w:rsid w:val="00205B3D"/>
    <w:rsid w:val="00205B40"/>
    <w:rsid w:val="00205C1D"/>
    <w:rsid w:val="0020625F"/>
    <w:rsid w:val="002066F3"/>
    <w:rsid w:val="00206818"/>
    <w:rsid w:val="0020682C"/>
    <w:rsid w:val="0020685C"/>
    <w:rsid w:val="00206A5F"/>
    <w:rsid w:val="00206AFC"/>
    <w:rsid w:val="00206E28"/>
    <w:rsid w:val="00206F6E"/>
    <w:rsid w:val="00207323"/>
    <w:rsid w:val="0020739D"/>
    <w:rsid w:val="0020789A"/>
    <w:rsid w:val="00207D54"/>
    <w:rsid w:val="00207D56"/>
    <w:rsid w:val="00207F73"/>
    <w:rsid w:val="00207F95"/>
    <w:rsid w:val="00210213"/>
    <w:rsid w:val="002103A4"/>
    <w:rsid w:val="00210516"/>
    <w:rsid w:val="002105FE"/>
    <w:rsid w:val="002106A6"/>
    <w:rsid w:val="00210918"/>
    <w:rsid w:val="00210FDE"/>
    <w:rsid w:val="00211441"/>
    <w:rsid w:val="002116CC"/>
    <w:rsid w:val="00211B5B"/>
    <w:rsid w:val="00211CB7"/>
    <w:rsid w:val="00211F3B"/>
    <w:rsid w:val="00211F65"/>
    <w:rsid w:val="0021201D"/>
    <w:rsid w:val="00212431"/>
    <w:rsid w:val="002124A4"/>
    <w:rsid w:val="0021267A"/>
    <w:rsid w:val="002129A5"/>
    <w:rsid w:val="00212C48"/>
    <w:rsid w:val="00212FCC"/>
    <w:rsid w:val="00213042"/>
    <w:rsid w:val="00213078"/>
    <w:rsid w:val="002131D5"/>
    <w:rsid w:val="0021339E"/>
    <w:rsid w:val="00213400"/>
    <w:rsid w:val="002134CF"/>
    <w:rsid w:val="00213952"/>
    <w:rsid w:val="00213A1F"/>
    <w:rsid w:val="00213B19"/>
    <w:rsid w:val="00213CC9"/>
    <w:rsid w:val="0021405F"/>
    <w:rsid w:val="002140E0"/>
    <w:rsid w:val="00214685"/>
    <w:rsid w:val="002147FE"/>
    <w:rsid w:val="00214C12"/>
    <w:rsid w:val="0021515A"/>
    <w:rsid w:val="002154C6"/>
    <w:rsid w:val="00215763"/>
    <w:rsid w:val="002157CA"/>
    <w:rsid w:val="00215B04"/>
    <w:rsid w:val="00215B3C"/>
    <w:rsid w:val="00215D71"/>
    <w:rsid w:val="00216447"/>
    <w:rsid w:val="0021652B"/>
    <w:rsid w:val="00216629"/>
    <w:rsid w:val="0021671D"/>
    <w:rsid w:val="002167E0"/>
    <w:rsid w:val="00216E44"/>
    <w:rsid w:val="002174C2"/>
    <w:rsid w:val="00217704"/>
    <w:rsid w:val="002178BE"/>
    <w:rsid w:val="0021791E"/>
    <w:rsid w:val="00217954"/>
    <w:rsid w:val="00217A39"/>
    <w:rsid w:val="00217A51"/>
    <w:rsid w:val="00217AA9"/>
    <w:rsid w:val="00217C50"/>
    <w:rsid w:val="00217EB7"/>
    <w:rsid w:val="002201F7"/>
    <w:rsid w:val="00220603"/>
    <w:rsid w:val="00220D0E"/>
    <w:rsid w:val="00220F48"/>
    <w:rsid w:val="002210EF"/>
    <w:rsid w:val="002210F1"/>
    <w:rsid w:val="002215A3"/>
    <w:rsid w:val="002216BE"/>
    <w:rsid w:val="002216D4"/>
    <w:rsid w:val="00221AA6"/>
    <w:rsid w:val="00221AD8"/>
    <w:rsid w:val="00221E5D"/>
    <w:rsid w:val="00221F20"/>
    <w:rsid w:val="002222DB"/>
    <w:rsid w:val="00222548"/>
    <w:rsid w:val="00222614"/>
    <w:rsid w:val="0022266C"/>
    <w:rsid w:val="002227CC"/>
    <w:rsid w:val="002227FA"/>
    <w:rsid w:val="00223019"/>
    <w:rsid w:val="0022312D"/>
    <w:rsid w:val="00223458"/>
    <w:rsid w:val="00223C76"/>
    <w:rsid w:val="00224103"/>
    <w:rsid w:val="00224252"/>
    <w:rsid w:val="002244CD"/>
    <w:rsid w:val="0022495A"/>
    <w:rsid w:val="00224AEF"/>
    <w:rsid w:val="00224E89"/>
    <w:rsid w:val="00224F2D"/>
    <w:rsid w:val="0022510E"/>
    <w:rsid w:val="002251A0"/>
    <w:rsid w:val="0022577F"/>
    <w:rsid w:val="00225DF4"/>
    <w:rsid w:val="00225FCB"/>
    <w:rsid w:val="002260AD"/>
    <w:rsid w:val="00226284"/>
    <w:rsid w:val="002262C5"/>
    <w:rsid w:val="00226318"/>
    <w:rsid w:val="00226373"/>
    <w:rsid w:val="00226672"/>
    <w:rsid w:val="00226731"/>
    <w:rsid w:val="002269A8"/>
    <w:rsid w:val="00226B1E"/>
    <w:rsid w:val="00226CA4"/>
    <w:rsid w:val="00226E82"/>
    <w:rsid w:val="00226EA3"/>
    <w:rsid w:val="00226F4F"/>
    <w:rsid w:val="00226FD9"/>
    <w:rsid w:val="0022719E"/>
    <w:rsid w:val="0022732E"/>
    <w:rsid w:val="00227893"/>
    <w:rsid w:val="0022797D"/>
    <w:rsid w:val="00227AAF"/>
    <w:rsid w:val="00227B5C"/>
    <w:rsid w:val="00227BAF"/>
    <w:rsid w:val="00227BC9"/>
    <w:rsid w:val="00227C9A"/>
    <w:rsid w:val="00227EB3"/>
    <w:rsid w:val="0023016E"/>
    <w:rsid w:val="002302FF"/>
    <w:rsid w:val="0023066A"/>
    <w:rsid w:val="00230974"/>
    <w:rsid w:val="00230A73"/>
    <w:rsid w:val="00230D21"/>
    <w:rsid w:val="00230DF8"/>
    <w:rsid w:val="00231606"/>
    <w:rsid w:val="002316D5"/>
    <w:rsid w:val="002316DE"/>
    <w:rsid w:val="002320F9"/>
    <w:rsid w:val="002321C9"/>
    <w:rsid w:val="002324A4"/>
    <w:rsid w:val="002324C2"/>
    <w:rsid w:val="0023274B"/>
    <w:rsid w:val="0023279E"/>
    <w:rsid w:val="00232A8E"/>
    <w:rsid w:val="00232AD3"/>
    <w:rsid w:val="00232B53"/>
    <w:rsid w:val="002333BA"/>
    <w:rsid w:val="002337CB"/>
    <w:rsid w:val="0023385F"/>
    <w:rsid w:val="00233A0A"/>
    <w:rsid w:val="00233EBB"/>
    <w:rsid w:val="00234717"/>
    <w:rsid w:val="00234841"/>
    <w:rsid w:val="0023536B"/>
    <w:rsid w:val="00235640"/>
    <w:rsid w:val="00235DCE"/>
    <w:rsid w:val="00235DCF"/>
    <w:rsid w:val="00235F3A"/>
    <w:rsid w:val="002364E1"/>
    <w:rsid w:val="00236807"/>
    <w:rsid w:val="00236816"/>
    <w:rsid w:val="00236A68"/>
    <w:rsid w:val="00236BB4"/>
    <w:rsid w:val="00236FD6"/>
    <w:rsid w:val="00237116"/>
    <w:rsid w:val="0023727D"/>
    <w:rsid w:val="002373B0"/>
    <w:rsid w:val="002375BA"/>
    <w:rsid w:val="00237AD8"/>
    <w:rsid w:val="00237B05"/>
    <w:rsid w:val="00237C25"/>
    <w:rsid w:val="00240040"/>
    <w:rsid w:val="002403DA"/>
    <w:rsid w:val="002404A5"/>
    <w:rsid w:val="0024069F"/>
    <w:rsid w:val="0024096E"/>
    <w:rsid w:val="00240DD6"/>
    <w:rsid w:val="002410C7"/>
    <w:rsid w:val="00241190"/>
    <w:rsid w:val="00241239"/>
    <w:rsid w:val="00241346"/>
    <w:rsid w:val="00241691"/>
    <w:rsid w:val="00241850"/>
    <w:rsid w:val="00241B70"/>
    <w:rsid w:val="00241F68"/>
    <w:rsid w:val="0024265C"/>
    <w:rsid w:val="0024288A"/>
    <w:rsid w:val="0024289B"/>
    <w:rsid w:val="0024292D"/>
    <w:rsid w:val="00242EC9"/>
    <w:rsid w:val="00242F66"/>
    <w:rsid w:val="00243010"/>
    <w:rsid w:val="00243035"/>
    <w:rsid w:val="0024318E"/>
    <w:rsid w:val="002432A6"/>
    <w:rsid w:val="002438A8"/>
    <w:rsid w:val="002438C1"/>
    <w:rsid w:val="00243E9C"/>
    <w:rsid w:val="00243EAE"/>
    <w:rsid w:val="00243F53"/>
    <w:rsid w:val="00243FF7"/>
    <w:rsid w:val="00244043"/>
    <w:rsid w:val="00244149"/>
    <w:rsid w:val="002442D1"/>
    <w:rsid w:val="0024465E"/>
    <w:rsid w:val="00244BBF"/>
    <w:rsid w:val="00244BF4"/>
    <w:rsid w:val="00244D3C"/>
    <w:rsid w:val="00244D4B"/>
    <w:rsid w:val="0024510E"/>
    <w:rsid w:val="00245355"/>
    <w:rsid w:val="002454E1"/>
    <w:rsid w:val="002459A9"/>
    <w:rsid w:val="00245BF8"/>
    <w:rsid w:val="00245E24"/>
    <w:rsid w:val="002464E6"/>
    <w:rsid w:val="00246665"/>
    <w:rsid w:val="0024672B"/>
    <w:rsid w:val="00246BC8"/>
    <w:rsid w:val="00246BDA"/>
    <w:rsid w:val="00246C71"/>
    <w:rsid w:val="00247482"/>
    <w:rsid w:val="002476EC"/>
    <w:rsid w:val="002477F8"/>
    <w:rsid w:val="002479A9"/>
    <w:rsid w:val="00247A62"/>
    <w:rsid w:val="00247D09"/>
    <w:rsid w:val="00247F17"/>
    <w:rsid w:val="00247F2A"/>
    <w:rsid w:val="00250C15"/>
    <w:rsid w:val="00250D54"/>
    <w:rsid w:val="00251178"/>
    <w:rsid w:val="0025160C"/>
    <w:rsid w:val="0025190D"/>
    <w:rsid w:val="00251F3E"/>
    <w:rsid w:val="0025209B"/>
    <w:rsid w:val="00252340"/>
    <w:rsid w:val="002526F2"/>
    <w:rsid w:val="0025272C"/>
    <w:rsid w:val="00252CCE"/>
    <w:rsid w:val="00252D30"/>
    <w:rsid w:val="00252FE9"/>
    <w:rsid w:val="00253023"/>
    <w:rsid w:val="0025323D"/>
    <w:rsid w:val="00253380"/>
    <w:rsid w:val="00253725"/>
    <w:rsid w:val="0025376A"/>
    <w:rsid w:val="00253B61"/>
    <w:rsid w:val="00253EA5"/>
    <w:rsid w:val="00254566"/>
    <w:rsid w:val="00254868"/>
    <w:rsid w:val="0025488B"/>
    <w:rsid w:val="002549FD"/>
    <w:rsid w:val="00254B50"/>
    <w:rsid w:val="00254BBD"/>
    <w:rsid w:val="00254C4C"/>
    <w:rsid w:val="00254D4B"/>
    <w:rsid w:val="00254DEE"/>
    <w:rsid w:val="002551DA"/>
    <w:rsid w:val="002555FA"/>
    <w:rsid w:val="00255D67"/>
    <w:rsid w:val="00255F5D"/>
    <w:rsid w:val="00256124"/>
    <w:rsid w:val="002561C5"/>
    <w:rsid w:val="00256A84"/>
    <w:rsid w:val="00256CEE"/>
    <w:rsid w:val="00256E23"/>
    <w:rsid w:val="00256F40"/>
    <w:rsid w:val="00257410"/>
    <w:rsid w:val="00257454"/>
    <w:rsid w:val="002579AA"/>
    <w:rsid w:val="002579C3"/>
    <w:rsid w:val="00257BDE"/>
    <w:rsid w:val="00257EFD"/>
    <w:rsid w:val="002603F3"/>
    <w:rsid w:val="0026052A"/>
    <w:rsid w:val="002605B6"/>
    <w:rsid w:val="00260721"/>
    <w:rsid w:val="00260898"/>
    <w:rsid w:val="0026106C"/>
    <w:rsid w:val="002611B1"/>
    <w:rsid w:val="002612C2"/>
    <w:rsid w:val="00261440"/>
    <w:rsid w:val="002614C4"/>
    <w:rsid w:val="00261656"/>
    <w:rsid w:val="002618D5"/>
    <w:rsid w:val="00261B6C"/>
    <w:rsid w:val="00261EAA"/>
    <w:rsid w:val="002620EC"/>
    <w:rsid w:val="0026225D"/>
    <w:rsid w:val="0026232B"/>
    <w:rsid w:val="002626F7"/>
    <w:rsid w:val="00262FE3"/>
    <w:rsid w:val="00263027"/>
    <w:rsid w:val="002630EC"/>
    <w:rsid w:val="0026310E"/>
    <w:rsid w:val="0026334E"/>
    <w:rsid w:val="002633AD"/>
    <w:rsid w:val="002639B3"/>
    <w:rsid w:val="00263B0F"/>
    <w:rsid w:val="00263BF2"/>
    <w:rsid w:val="00263E07"/>
    <w:rsid w:val="00263EBF"/>
    <w:rsid w:val="00263F97"/>
    <w:rsid w:val="00264797"/>
    <w:rsid w:val="00264957"/>
    <w:rsid w:val="00264ED3"/>
    <w:rsid w:val="00264F00"/>
    <w:rsid w:val="00264F08"/>
    <w:rsid w:val="0026512C"/>
    <w:rsid w:val="00265182"/>
    <w:rsid w:val="002651D7"/>
    <w:rsid w:val="00265288"/>
    <w:rsid w:val="00265B73"/>
    <w:rsid w:val="00265D54"/>
    <w:rsid w:val="0026621F"/>
    <w:rsid w:val="002663BD"/>
    <w:rsid w:val="002663DB"/>
    <w:rsid w:val="00266549"/>
    <w:rsid w:val="002666B7"/>
    <w:rsid w:val="00266847"/>
    <w:rsid w:val="00266931"/>
    <w:rsid w:val="00266B2C"/>
    <w:rsid w:val="00266B32"/>
    <w:rsid w:val="00266E53"/>
    <w:rsid w:val="00266F8C"/>
    <w:rsid w:val="00267142"/>
    <w:rsid w:val="0026775B"/>
    <w:rsid w:val="00267B29"/>
    <w:rsid w:val="00267E21"/>
    <w:rsid w:val="00267F44"/>
    <w:rsid w:val="002700CD"/>
    <w:rsid w:val="00270208"/>
    <w:rsid w:val="002708BE"/>
    <w:rsid w:val="00270B85"/>
    <w:rsid w:val="00270DBA"/>
    <w:rsid w:val="00271210"/>
    <w:rsid w:val="00271720"/>
    <w:rsid w:val="002717BE"/>
    <w:rsid w:val="00271AA9"/>
    <w:rsid w:val="00271C54"/>
    <w:rsid w:val="00271E3F"/>
    <w:rsid w:val="0027232D"/>
    <w:rsid w:val="0027266F"/>
    <w:rsid w:val="00272760"/>
    <w:rsid w:val="0027299E"/>
    <w:rsid w:val="00272CF0"/>
    <w:rsid w:val="00272DE8"/>
    <w:rsid w:val="00272E8B"/>
    <w:rsid w:val="00273124"/>
    <w:rsid w:val="00273207"/>
    <w:rsid w:val="0027378D"/>
    <w:rsid w:val="00273949"/>
    <w:rsid w:val="00273BB2"/>
    <w:rsid w:val="00273CBC"/>
    <w:rsid w:val="002741F2"/>
    <w:rsid w:val="00274277"/>
    <w:rsid w:val="0027427E"/>
    <w:rsid w:val="00274754"/>
    <w:rsid w:val="0027490A"/>
    <w:rsid w:val="00274C8B"/>
    <w:rsid w:val="00274F5E"/>
    <w:rsid w:val="002752DD"/>
    <w:rsid w:val="0027537A"/>
    <w:rsid w:val="00275549"/>
    <w:rsid w:val="0027568B"/>
    <w:rsid w:val="00275746"/>
    <w:rsid w:val="00275890"/>
    <w:rsid w:val="00275BDE"/>
    <w:rsid w:val="00275D2D"/>
    <w:rsid w:val="00275D7A"/>
    <w:rsid w:val="00275F02"/>
    <w:rsid w:val="00276182"/>
    <w:rsid w:val="002761AF"/>
    <w:rsid w:val="00276240"/>
    <w:rsid w:val="00276291"/>
    <w:rsid w:val="00276307"/>
    <w:rsid w:val="002766D9"/>
    <w:rsid w:val="0027687A"/>
    <w:rsid w:val="0027760B"/>
    <w:rsid w:val="00277804"/>
    <w:rsid w:val="00277B3A"/>
    <w:rsid w:val="00277DE9"/>
    <w:rsid w:val="00280133"/>
    <w:rsid w:val="002801AF"/>
    <w:rsid w:val="00280924"/>
    <w:rsid w:val="00280B78"/>
    <w:rsid w:val="00280B91"/>
    <w:rsid w:val="00280F22"/>
    <w:rsid w:val="002810E4"/>
    <w:rsid w:val="002812CD"/>
    <w:rsid w:val="00281566"/>
    <w:rsid w:val="00281583"/>
    <w:rsid w:val="002818B0"/>
    <w:rsid w:val="00281924"/>
    <w:rsid w:val="00281ECB"/>
    <w:rsid w:val="00282137"/>
    <w:rsid w:val="00282168"/>
    <w:rsid w:val="002827CD"/>
    <w:rsid w:val="00282957"/>
    <w:rsid w:val="00282B13"/>
    <w:rsid w:val="00282CEA"/>
    <w:rsid w:val="00282D9E"/>
    <w:rsid w:val="0028379D"/>
    <w:rsid w:val="002839CB"/>
    <w:rsid w:val="00283DCE"/>
    <w:rsid w:val="002840CF"/>
    <w:rsid w:val="00284A33"/>
    <w:rsid w:val="00284B4B"/>
    <w:rsid w:val="00284C7C"/>
    <w:rsid w:val="00284C80"/>
    <w:rsid w:val="00284E68"/>
    <w:rsid w:val="0028509B"/>
    <w:rsid w:val="0028526A"/>
    <w:rsid w:val="00285407"/>
    <w:rsid w:val="002854EC"/>
    <w:rsid w:val="002856EB"/>
    <w:rsid w:val="00285715"/>
    <w:rsid w:val="00285DF3"/>
    <w:rsid w:val="00285FA1"/>
    <w:rsid w:val="00286253"/>
    <w:rsid w:val="00286649"/>
    <w:rsid w:val="00286681"/>
    <w:rsid w:val="0028674B"/>
    <w:rsid w:val="00286750"/>
    <w:rsid w:val="00286D7D"/>
    <w:rsid w:val="00286DBA"/>
    <w:rsid w:val="00287845"/>
    <w:rsid w:val="00287876"/>
    <w:rsid w:val="00287EDA"/>
    <w:rsid w:val="002907F0"/>
    <w:rsid w:val="00291005"/>
    <w:rsid w:val="002910D4"/>
    <w:rsid w:val="00291365"/>
    <w:rsid w:val="00291511"/>
    <w:rsid w:val="00291A03"/>
    <w:rsid w:val="00291C40"/>
    <w:rsid w:val="00291DA9"/>
    <w:rsid w:val="00291DDC"/>
    <w:rsid w:val="002920CB"/>
    <w:rsid w:val="0029218B"/>
    <w:rsid w:val="00292278"/>
    <w:rsid w:val="0029279E"/>
    <w:rsid w:val="00292D3B"/>
    <w:rsid w:val="00292D9E"/>
    <w:rsid w:val="00292E54"/>
    <w:rsid w:val="00292F1A"/>
    <w:rsid w:val="00293109"/>
    <w:rsid w:val="002932FA"/>
    <w:rsid w:val="00293333"/>
    <w:rsid w:val="002933DE"/>
    <w:rsid w:val="00293431"/>
    <w:rsid w:val="002936C7"/>
    <w:rsid w:val="00293904"/>
    <w:rsid w:val="002939CF"/>
    <w:rsid w:val="00294243"/>
    <w:rsid w:val="00294292"/>
    <w:rsid w:val="00294A64"/>
    <w:rsid w:val="00294F71"/>
    <w:rsid w:val="002951EC"/>
    <w:rsid w:val="00295312"/>
    <w:rsid w:val="002955DB"/>
    <w:rsid w:val="002956C0"/>
    <w:rsid w:val="00295981"/>
    <w:rsid w:val="00295BBF"/>
    <w:rsid w:val="00295F02"/>
    <w:rsid w:val="00295F46"/>
    <w:rsid w:val="0029628D"/>
    <w:rsid w:val="00296361"/>
    <w:rsid w:val="002966BB"/>
    <w:rsid w:val="002966DA"/>
    <w:rsid w:val="002967FF"/>
    <w:rsid w:val="00296BC0"/>
    <w:rsid w:val="00296F5B"/>
    <w:rsid w:val="00297117"/>
    <w:rsid w:val="00297388"/>
    <w:rsid w:val="00297507"/>
    <w:rsid w:val="00297666"/>
    <w:rsid w:val="00297773"/>
    <w:rsid w:val="0029779E"/>
    <w:rsid w:val="00297A0E"/>
    <w:rsid w:val="00297B88"/>
    <w:rsid w:val="00297D04"/>
    <w:rsid w:val="00297E05"/>
    <w:rsid w:val="002A0008"/>
    <w:rsid w:val="002A03C5"/>
    <w:rsid w:val="002A0522"/>
    <w:rsid w:val="002A0673"/>
    <w:rsid w:val="002A06ED"/>
    <w:rsid w:val="002A07DD"/>
    <w:rsid w:val="002A0E39"/>
    <w:rsid w:val="002A1001"/>
    <w:rsid w:val="002A1017"/>
    <w:rsid w:val="002A1374"/>
    <w:rsid w:val="002A19EF"/>
    <w:rsid w:val="002A1E1C"/>
    <w:rsid w:val="002A1FDA"/>
    <w:rsid w:val="002A21FA"/>
    <w:rsid w:val="002A223F"/>
    <w:rsid w:val="002A27D9"/>
    <w:rsid w:val="002A2935"/>
    <w:rsid w:val="002A2A01"/>
    <w:rsid w:val="002A2E2E"/>
    <w:rsid w:val="002A2F7A"/>
    <w:rsid w:val="002A32C0"/>
    <w:rsid w:val="002A3722"/>
    <w:rsid w:val="002A37B9"/>
    <w:rsid w:val="002A3809"/>
    <w:rsid w:val="002A3A10"/>
    <w:rsid w:val="002A3BDD"/>
    <w:rsid w:val="002A3EF4"/>
    <w:rsid w:val="002A3F5B"/>
    <w:rsid w:val="002A3FBF"/>
    <w:rsid w:val="002A3FD8"/>
    <w:rsid w:val="002A4013"/>
    <w:rsid w:val="002A4313"/>
    <w:rsid w:val="002A438D"/>
    <w:rsid w:val="002A43F0"/>
    <w:rsid w:val="002A483E"/>
    <w:rsid w:val="002A4D32"/>
    <w:rsid w:val="002A5254"/>
    <w:rsid w:val="002A5681"/>
    <w:rsid w:val="002A594E"/>
    <w:rsid w:val="002A5A1A"/>
    <w:rsid w:val="002A5FAC"/>
    <w:rsid w:val="002A601B"/>
    <w:rsid w:val="002A6076"/>
    <w:rsid w:val="002A63F0"/>
    <w:rsid w:val="002A6A95"/>
    <w:rsid w:val="002A6B7F"/>
    <w:rsid w:val="002A6DFB"/>
    <w:rsid w:val="002A6E74"/>
    <w:rsid w:val="002A7236"/>
    <w:rsid w:val="002A737C"/>
    <w:rsid w:val="002A7383"/>
    <w:rsid w:val="002A755E"/>
    <w:rsid w:val="002A75E1"/>
    <w:rsid w:val="002A795B"/>
    <w:rsid w:val="002A7CD4"/>
    <w:rsid w:val="002A7FEE"/>
    <w:rsid w:val="002B01BE"/>
    <w:rsid w:val="002B0414"/>
    <w:rsid w:val="002B0A01"/>
    <w:rsid w:val="002B0B1D"/>
    <w:rsid w:val="002B0D67"/>
    <w:rsid w:val="002B1054"/>
    <w:rsid w:val="002B11F5"/>
    <w:rsid w:val="002B12C6"/>
    <w:rsid w:val="002B1385"/>
    <w:rsid w:val="002B15D4"/>
    <w:rsid w:val="002B16F1"/>
    <w:rsid w:val="002B1877"/>
    <w:rsid w:val="002B1914"/>
    <w:rsid w:val="002B1955"/>
    <w:rsid w:val="002B1EDC"/>
    <w:rsid w:val="002B2122"/>
    <w:rsid w:val="002B21E9"/>
    <w:rsid w:val="002B2224"/>
    <w:rsid w:val="002B2334"/>
    <w:rsid w:val="002B26A8"/>
    <w:rsid w:val="002B279C"/>
    <w:rsid w:val="002B2E4F"/>
    <w:rsid w:val="002B2EB7"/>
    <w:rsid w:val="002B3236"/>
    <w:rsid w:val="002B3B16"/>
    <w:rsid w:val="002B3FCA"/>
    <w:rsid w:val="002B4102"/>
    <w:rsid w:val="002B4105"/>
    <w:rsid w:val="002B4454"/>
    <w:rsid w:val="002B46C1"/>
    <w:rsid w:val="002B522D"/>
    <w:rsid w:val="002B5326"/>
    <w:rsid w:val="002B5A15"/>
    <w:rsid w:val="002B5A52"/>
    <w:rsid w:val="002B5B06"/>
    <w:rsid w:val="002B5E49"/>
    <w:rsid w:val="002B5E4A"/>
    <w:rsid w:val="002B5EBF"/>
    <w:rsid w:val="002B5F51"/>
    <w:rsid w:val="002B62BE"/>
    <w:rsid w:val="002B64D7"/>
    <w:rsid w:val="002B66F6"/>
    <w:rsid w:val="002B6BEE"/>
    <w:rsid w:val="002B6DAC"/>
    <w:rsid w:val="002B7179"/>
    <w:rsid w:val="002B71D6"/>
    <w:rsid w:val="002B75E4"/>
    <w:rsid w:val="002B7C72"/>
    <w:rsid w:val="002B7DAE"/>
    <w:rsid w:val="002B7E31"/>
    <w:rsid w:val="002C000D"/>
    <w:rsid w:val="002C00BA"/>
    <w:rsid w:val="002C010D"/>
    <w:rsid w:val="002C011C"/>
    <w:rsid w:val="002C0168"/>
    <w:rsid w:val="002C08D1"/>
    <w:rsid w:val="002C0945"/>
    <w:rsid w:val="002C0B25"/>
    <w:rsid w:val="002C0B6B"/>
    <w:rsid w:val="002C0DF6"/>
    <w:rsid w:val="002C0E72"/>
    <w:rsid w:val="002C10F7"/>
    <w:rsid w:val="002C1137"/>
    <w:rsid w:val="002C14BC"/>
    <w:rsid w:val="002C16EF"/>
    <w:rsid w:val="002C1D11"/>
    <w:rsid w:val="002C2164"/>
    <w:rsid w:val="002C3330"/>
    <w:rsid w:val="002C3432"/>
    <w:rsid w:val="002C38F4"/>
    <w:rsid w:val="002C3C57"/>
    <w:rsid w:val="002C407E"/>
    <w:rsid w:val="002C42EF"/>
    <w:rsid w:val="002C4459"/>
    <w:rsid w:val="002C473B"/>
    <w:rsid w:val="002C4B24"/>
    <w:rsid w:val="002C4BE0"/>
    <w:rsid w:val="002C4E5D"/>
    <w:rsid w:val="002C5450"/>
    <w:rsid w:val="002C558A"/>
    <w:rsid w:val="002C5669"/>
    <w:rsid w:val="002C56C4"/>
    <w:rsid w:val="002C5959"/>
    <w:rsid w:val="002C59B6"/>
    <w:rsid w:val="002C59FB"/>
    <w:rsid w:val="002C5C00"/>
    <w:rsid w:val="002C5C30"/>
    <w:rsid w:val="002C5C3F"/>
    <w:rsid w:val="002C5F8E"/>
    <w:rsid w:val="002C6177"/>
    <w:rsid w:val="002C61ED"/>
    <w:rsid w:val="002C63B6"/>
    <w:rsid w:val="002C67E6"/>
    <w:rsid w:val="002C67E8"/>
    <w:rsid w:val="002C68D5"/>
    <w:rsid w:val="002C68E1"/>
    <w:rsid w:val="002C6A70"/>
    <w:rsid w:val="002C6E67"/>
    <w:rsid w:val="002C6FB9"/>
    <w:rsid w:val="002C7092"/>
    <w:rsid w:val="002C73D1"/>
    <w:rsid w:val="002C7637"/>
    <w:rsid w:val="002C7DB3"/>
    <w:rsid w:val="002C7DEC"/>
    <w:rsid w:val="002D0033"/>
    <w:rsid w:val="002D024F"/>
    <w:rsid w:val="002D064D"/>
    <w:rsid w:val="002D0765"/>
    <w:rsid w:val="002D086A"/>
    <w:rsid w:val="002D0960"/>
    <w:rsid w:val="002D0A33"/>
    <w:rsid w:val="002D0B3D"/>
    <w:rsid w:val="002D0B7D"/>
    <w:rsid w:val="002D0C12"/>
    <w:rsid w:val="002D0F3B"/>
    <w:rsid w:val="002D0FB1"/>
    <w:rsid w:val="002D0FDC"/>
    <w:rsid w:val="002D1231"/>
    <w:rsid w:val="002D1753"/>
    <w:rsid w:val="002D1827"/>
    <w:rsid w:val="002D1836"/>
    <w:rsid w:val="002D198D"/>
    <w:rsid w:val="002D1B88"/>
    <w:rsid w:val="002D1C6E"/>
    <w:rsid w:val="002D1D6C"/>
    <w:rsid w:val="002D207B"/>
    <w:rsid w:val="002D2545"/>
    <w:rsid w:val="002D254D"/>
    <w:rsid w:val="002D25EC"/>
    <w:rsid w:val="002D2608"/>
    <w:rsid w:val="002D271B"/>
    <w:rsid w:val="002D2735"/>
    <w:rsid w:val="002D2977"/>
    <w:rsid w:val="002D2D0E"/>
    <w:rsid w:val="002D2D19"/>
    <w:rsid w:val="002D2E59"/>
    <w:rsid w:val="002D2FDC"/>
    <w:rsid w:val="002D32B8"/>
    <w:rsid w:val="002D36B5"/>
    <w:rsid w:val="002D3B18"/>
    <w:rsid w:val="002D3C96"/>
    <w:rsid w:val="002D3D73"/>
    <w:rsid w:val="002D3E53"/>
    <w:rsid w:val="002D3F29"/>
    <w:rsid w:val="002D3FBF"/>
    <w:rsid w:val="002D3FFA"/>
    <w:rsid w:val="002D4115"/>
    <w:rsid w:val="002D48CA"/>
    <w:rsid w:val="002D4CA1"/>
    <w:rsid w:val="002D4F0C"/>
    <w:rsid w:val="002D5151"/>
    <w:rsid w:val="002D5164"/>
    <w:rsid w:val="002D53EA"/>
    <w:rsid w:val="002D5616"/>
    <w:rsid w:val="002D5688"/>
    <w:rsid w:val="002D5742"/>
    <w:rsid w:val="002D5D01"/>
    <w:rsid w:val="002D6492"/>
    <w:rsid w:val="002D66D0"/>
    <w:rsid w:val="002D670C"/>
    <w:rsid w:val="002D672D"/>
    <w:rsid w:val="002D677A"/>
    <w:rsid w:val="002D6A31"/>
    <w:rsid w:val="002D6CD0"/>
    <w:rsid w:val="002D6FB7"/>
    <w:rsid w:val="002D732E"/>
    <w:rsid w:val="002D75F6"/>
    <w:rsid w:val="002D76FA"/>
    <w:rsid w:val="002D7A87"/>
    <w:rsid w:val="002D7A91"/>
    <w:rsid w:val="002D7C20"/>
    <w:rsid w:val="002D7D89"/>
    <w:rsid w:val="002D7F89"/>
    <w:rsid w:val="002E00B0"/>
    <w:rsid w:val="002E0294"/>
    <w:rsid w:val="002E055B"/>
    <w:rsid w:val="002E0591"/>
    <w:rsid w:val="002E07C0"/>
    <w:rsid w:val="002E07FA"/>
    <w:rsid w:val="002E0AE7"/>
    <w:rsid w:val="002E0CB2"/>
    <w:rsid w:val="002E0EEA"/>
    <w:rsid w:val="002E0FD4"/>
    <w:rsid w:val="002E1031"/>
    <w:rsid w:val="002E1432"/>
    <w:rsid w:val="002E1511"/>
    <w:rsid w:val="002E1794"/>
    <w:rsid w:val="002E1857"/>
    <w:rsid w:val="002E19D7"/>
    <w:rsid w:val="002E19DF"/>
    <w:rsid w:val="002E2006"/>
    <w:rsid w:val="002E2766"/>
    <w:rsid w:val="002E276E"/>
    <w:rsid w:val="002E279B"/>
    <w:rsid w:val="002E2836"/>
    <w:rsid w:val="002E2997"/>
    <w:rsid w:val="002E2A79"/>
    <w:rsid w:val="002E3035"/>
    <w:rsid w:val="002E3036"/>
    <w:rsid w:val="002E3318"/>
    <w:rsid w:val="002E33F7"/>
    <w:rsid w:val="002E3528"/>
    <w:rsid w:val="002E3594"/>
    <w:rsid w:val="002E3759"/>
    <w:rsid w:val="002E378D"/>
    <w:rsid w:val="002E3A89"/>
    <w:rsid w:val="002E3D05"/>
    <w:rsid w:val="002E4777"/>
    <w:rsid w:val="002E4AA0"/>
    <w:rsid w:val="002E4F6B"/>
    <w:rsid w:val="002E5173"/>
    <w:rsid w:val="002E523E"/>
    <w:rsid w:val="002E54A3"/>
    <w:rsid w:val="002E55D4"/>
    <w:rsid w:val="002E55FF"/>
    <w:rsid w:val="002E5646"/>
    <w:rsid w:val="002E5661"/>
    <w:rsid w:val="002E5E75"/>
    <w:rsid w:val="002E5F1A"/>
    <w:rsid w:val="002E603A"/>
    <w:rsid w:val="002E60BB"/>
    <w:rsid w:val="002E611A"/>
    <w:rsid w:val="002E66F1"/>
    <w:rsid w:val="002E6C8D"/>
    <w:rsid w:val="002E6D06"/>
    <w:rsid w:val="002E74A7"/>
    <w:rsid w:val="002E78BB"/>
    <w:rsid w:val="002E79FE"/>
    <w:rsid w:val="002F029C"/>
    <w:rsid w:val="002F03F7"/>
    <w:rsid w:val="002F047B"/>
    <w:rsid w:val="002F0517"/>
    <w:rsid w:val="002F0738"/>
    <w:rsid w:val="002F074C"/>
    <w:rsid w:val="002F0837"/>
    <w:rsid w:val="002F08F6"/>
    <w:rsid w:val="002F0921"/>
    <w:rsid w:val="002F0EB0"/>
    <w:rsid w:val="002F0FBB"/>
    <w:rsid w:val="002F10A5"/>
    <w:rsid w:val="002F10D8"/>
    <w:rsid w:val="002F1266"/>
    <w:rsid w:val="002F17A2"/>
    <w:rsid w:val="002F1804"/>
    <w:rsid w:val="002F18A7"/>
    <w:rsid w:val="002F18C2"/>
    <w:rsid w:val="002F1B3B"/>
    <w:rsid w:val="002F1CA5"/>
    <w:rsid w:val="002F1F67"/>
    <w:rsid w:val="002F2105"/>
    <w:rsid w:val="002F21A4"/>
    <w:rsid w:val="002F27E7"/>
    <w:rsid w:val="002F2A12"/>
    <w:rsid w:val="002F2B51"/>
    <w:rsid w:val="002F35E6"/>
    <w:rsid w:val="002F377F"/>
    <w:rsid w:val="002F387F"/>
    <w:rsid w:val="002F3C4F"/>
    <w:rsid w:val="002F3E0B"/>
    <w:rsid w:val="002F42FF"/>
    <w:rsid w:val="002F4879"/>
    <w:rsid w:val="002F4BC3"/>
    <w:rsid w:val="002F4F22"/>
    <w:rsid w:val="002F50DD"/>
    <w:rsid w:val="002F51E7"/>
    <w:rsid w:val="002F528A"/>
    <w:rsid w:val="002F555C"/>
    <w:rsid w:val="002F59F8"/>
    <w:rsid w:val="002F5CF1"/>
    <w:rsid w:val="002F5CFD"/>
    <w:rsid w:val="002F5D79"/>
    <w:rsid w:val="002F5E61"/>
    <w:rsid w:val="002F60FB"/>
    <w:rsid w:val="002F61C1"/>
    <w:rsid w:val="002F6396"/>
    <w:rsid w:val="002F6AA9"/>
    <w:rsid w:val="002F6DF6"/>
    <w:rsid w:val="002F6F43"/>
    <w:rsid w:val="002F741A"/>
    <w:rsid w:val="002F76BE"/>
    <w:rsid w:val="002F785A"/>
    <w:rsid w:val="002F7CC9"/>
    <w:rsid w:val="002F7DC1"/>
    <w:rsid w:val="002F7E80"/>
    <w:rsid w:val="003000B1"/>
    <w:rsid w:val="00300122"/>
    <w:rsid w:val="00300194"/>
    <w:rsid w:val="003001D9"/>
    <w:rsid w:val="00300327"/>
    <w:rsid w:val="003003E6"/>
    <w:rsid w:val="00300A12"/>
    <w:rsid w:val="00300FAB"/>
    <w:rsid w:val="00301176"/>
    <w:rsid w:val="00301295"/>
    <w:rsid w:val="003015D0"/>
    <w:rsid w:val="003015FB"/>
    <w:rsid w:val="00301A03"/>
    <w:rsid w:val="00301B3D"/>
    <w:rsid w:val="00301B8C"/>
    <w:rsid w:val="00302427"/>
    <w:rsid w:val="00302446"/>
    <w:rsid w:val="003025F3"/>
    <w:rsid w:val="003028C0"/>
    <w:rsid w:val="0030299B"/>
    <w:rsid w:val="00302BDB"/>
    <w:rsid w:val="00302BEA"/>
    <w:rsid w:val="00302E37"/>
    <w:rsid w:val="0030322E"/>
    <w:rsid w:val="003040FB"/>
    <w:rsid w:val="003044CA"/>
    <w:rsid w:val="00304A39"/>
    <w:rsid w:val="0030504D"/>
    <w:rsid w:val="00305234"/>
    <w:rsid w:val="00305303"/>
    <w:rsid w:val="00305306"/>
    <w:rsid w:val="00305387"/>
    <w:rsid w:val="003055A8"/>
    <w:rsid w:val="003059BA"/>
    <w:rsid w:val="00305A37"/>
    <w:rsid w:val="00305B52"/>
    <w:rsid w:val="00305BB8"/>
    <w:rsid w:val="00305C74"/>
    <w:rsid w:val="00305CAD"/>
    <w:rsid w:val="00305D3D"/>
    <w:rsid w:val="00305FAB"/>
    <w:rsid w:val="00306219"/>
    <w:rsid w:val="0030631F"/>
    <w:rsid w:val="00306506"/>
    <w:rsid w:val="0030650C"/>
    <w:rsid w:val="0030654D"/>
    <w:rsid w:val="003069A6"/>
    <w:rsid w:val="003069CF"/>
    <w:rsid w:val="00306A0B"/>
    <w:rsid w:val="003072FF"/>
    <w:rsid w:val="0030743C"/>
    <w:rsid w:val="0030746B"/>
    <w:rsid w:val="00307527"/>
    <w:rsid w:val="00307EF0"/>
    <w:rsid w:val="003101B7"/>
    <w:rsid w:val="00310C75"/>
    <w:rsid w:val="0031174E"/>
    <w:rsid w:val="00311853"/>
    <w:rsid w:val="00311D72"/>
    <w:rsid w:val="00311DE2"/>
    <w:rsid w:val="0031203C"/>
    <w:rsid w:val="0031208D"/>
    <w:rsid w:val="003121B2"/>
    <w:rsid w:val="003124FF"/>
    <w:rsid w:val="00312516"/>
    <w:rsid w:val="00312928"/>
    <w:rsid w:val="00312B84"/>
    <w:rsid w:val="00312FBD"/>
    <w:rsid w:val="00313050"/>
    <w:rsid w:val="0031318E"/>
    <w:rsid w:val="003134A4"/>
    <w:rsid w:val="003135E9"/>
    <w:rsid w:val="003138E2"/>
    <w:rsid w:val="0031398E"/>
    <w:rsid w:val="00313E6A"/>
    <w:rsid w:val="0031426F"/>
    <w:rsid w:val="003143A0"/>
    <w:rsid w:val="0031441C"/>
    <w:rsid w:val="0031464E"/>
    <w:rsid w:val="00314AA6"/>
    <w:rsid w:val="00314CB2"/>
    <w:rsid w:val="00314D66"/>
    <w:rsid w:val="00315577"/>
    <w:rsid w:val="00315738"/>
    <w:rsid w:val="00315915"/>
    <w:rsid w:val="0031598C"/>
    <w:rsid w:val="00315B13"/>
    <w:rsid w:val="00315B3B"/>
    <w:rsid w:val="0031618D"/>
    <w:rsid w:val="0031621B"/>
    <w:rsid w:val="00316799"/>
    <w:rsid w:val="00316A8F"/>
    <w:rsid w:val="00316BE0"/>
    <w:rsid w:val="00316C0A"/>
    <w:rsid w:val="00316D85"/>
    <w:rsid w:val="003177C8"/>
    <w:rsid w:val="0031792C"/>
    <w:rsid w:val="00317B39"/>
    <w:rsid w:val="003200C3"/>
    <w:rsid w:val="00320574"/>
    <w:rsid w:val="003205E9"/>
    <w:rsid w:val="003209A5"/>
    <w:rsid w:val="003209F2"/>
    <w:rsid w:val="00320CD0"/>
    <w:rsid w:val="00320E77"/>
    <w:rsid w:val="00320F59"/>
    <w:rsid w:val="00320F5F"/>
    <w:rsid w:val="00321034"/>
    <w:rsid w:val="0032112C"/>
    <w:rsid w:val="00321B1B"/>
    <w:rsid w:val="00321BD3"/>
    <w:rsid w:val="003220EC"/>
    <w:rsid w:val="003221DC"/>
    <w:rsid w:val="003224D4"/>
    <w:rsid w:val="0032259D"/>
    <w:rsid w:val="00322C5B"/>
    <w:rsid w:val="00322C84"/>
    <w:rsid w:val="003230A4"/>
    <w:rsid w:val="003230FE"/>
    <w:rsid w:val="00323173"/>
    <w:rsid w:val="00323834"/>
    <w:rsid w:val="00323964"/>
    <w:rsid w:val="00323A29"/>
    <w:rsid w:val="00323BC6"/>
    <w:rsid w:val="00323D5D"/>
    <w:rsid w:val="00324021"/>
    <w:rsid w:val="00324646"/>
    <w:rsid w:val="00324857"/>
    <w:rsid w:val="00324A82"/>
    <w:rsid w:val="00324BFF"/>
    <w:rsid w:val="003252C8"/>
    <w:rsid w:val="00325513"/>
    <w:rsid w:val="00325787"/>
    <w:rsid w:val="0032579A"/>
    <w:rsid w:val="00325B06"/>
    <w:rsid w:val="00325BBD"/>
    <w:rsid w:val="00325E8B"/>
    <w:rsid w:val="00326111"/>
    <w:rsid w:val="0032619B"/>
    <w:rsid w:val="0032630F"/>
    <w:rsid w:val="00326552"/>
    <w:rsid w:val="0032657C"/>
    <w:rsid w:val="003267F6"/>
    <w:rsid w:val="00326BFF"/>
    <w:rsid w:val="00326ECB"/>
    <w:rsid w:val="00326EDA"/>
    <w:rsid w:val="003273A1"/>
    <w:rsid w:val="003274C5"/>
    <w:rsid w:val="003278B5"/>
    <w:rsid w:val="003279BA"/>
    <w:rsid w:val="00327C83"/>
    <w:rsid w:val="00327CF8"/>
    <w:rsid w:val="0033040D"/>
    <w:rsid w:val="00330CF5"/>
    <w:rsid w:val="00330DED"/>
    <w:rsid w:val="00330E57"/>
    <w:rsid w:val="00331062"/>
    <w:rsid w:val="003311E2"/>
    <w:rsid w:val="00331494"/>
    <w:rsid w:val="0033160E"/>
    <w:rsid w:val="0033169B"/>
    <w:rsid w:val="003317A1"/>
    <w:rsid w:val="0033188E"/>
    <w:rsid w:val="00331CAD"/>
    <w:rsid w:val="00332132"/>
    <w:rsid w:val="0033217A"/>
    <w:rsid w:val="00332436"/>
    <w:rsid w:val="0033260F"/>
    <w:rsid w:val="00332665"/>
    <w:rsid w:val="00332B23"/>
    <w:rsid w:val="00332B77"/>
    <w:rsid w:val="00332E45"/>
    <w:rsid w:val="00332FF6"/>
    <w:rsid w:val="003334B9"/>
    <w:rsid w:val="003334E6"/>
    <w:rsid w:val="00333917"/>
    <w:rsid w:val="00333D72"/>
    <w:rsid w:val="0033417A"/>
    <w:rsid w:val="0033463C"/>
    <w:rsid w:val="00334683"/>
    <w:rsid w:val="00334A50"/>
    <w:rsid w:val="00334C25"/>
    <w:rsid w:val="00334C35"/>
    <w:rsid w:val="0033517F"/>
    <w:rsid w:val="003357B8"/>
    <w:rsid w:val="0033589A"/>
    <w:rsid w:val="003359A1"/>
    <w:rsid w:val="003359D5"/>
    <w:rsid w:val="00335A5A"/>
    <w:rsid w:val="00335F6B"/>
    <w:rsid w:val="0033632C"/>
    <w:rsid w:val="00336403"/>
    <w:rsid w:val="00336619"/>
    <w:rsid w:val="003368F5"/>
    <w:rsid w:val="00336A3C"/>
    <w:rsid w:val="00336C7F"/>
    <w:rsid w:val="00336D02"/>
    <w:rsid w:val="00336DFE"/>
    <w:rsid w:val="003378EB"/>
    <w:rsid w:val="00337C07"/>
    <w:rsid w:val="00337CDF"/>
    <w:rsid w:val="00340265"/>
    <w:rsid w:val="00340583"/>
    <w:rsid w:val="00340747"/>
    <w:rsid w:val="00340A68"/>
    <w:rsid w:val="00340B4D"/>
    <w:rsid w:val="00340B79"/>
    <w:rsid w:val="00340C1F"/>
    <w:rsid w:val="0034146D"/>
    <w:rsid w:val="00341789"/>
    <w:rsid w:val="00341E26"/>
    <w:rsid w:val="00341F14"/>
    <w:rsid w:val="00342098"/>
    <w:rsid w:val="00342130"/>
    <w:rsid w:val="0034239B"/>
    <w:rsid w:val="003426A5"/>
    <w:rsid w:val="003426D9"/>
    <w:rsid w:val="00342B95"/>
    <w:rsid w:val="00342C75"/>
    <w:rsid w:val="003434BF"/>
    <w:rsid w:val="00343510"/>
    <w:rsid w:val="00343710"/>
    <w:rsid w:val="00343A4B"/>
    <w:rsid w:val="00343B1A"/>
    <w:rsid w:val="00343B91"/>
    <w:rsid w:val="00343D37"/>
    <w:rsid w:val="00343F83"/>
    <w:rsid w:val="00343FBB"/>
    <w:rsid w:val="00343FDF"/>
    <w:rsid w:val="003441D3"/>
    <w:rsid w:val="00344401"/>
    <w:rsid w:val="0034466D"/>
    <w:rsid w:val="0034494D"/>
    <w:rsid w:val="00344ADC"/>
    <w:rsid w:val="00344F2F"/>
    <w:rsid w:val="0034507F"/>
    <w:rsid w:val="00345118"/>
    <w:rsid w:val="00345674"/>
    <w:rsid w:val="00345939"/>
    <w:rsid w:val="00345965"/>
    <w:rsid w:val="00345BE0"/>
    <w:rsid w:val="00345C33"/>
    <w:rsid w:val="00346897"/>
    <w:rsid w:val="00346C89"/>
    <w:rsid w:val="00346DEE"/>
    <w:rsid w:val="00346DF1"/>
    <w:rsid w:val="00346F25"/>
    <w:rsid w:val="0034708F"/>
    <w:rsid w:val="003474A0"/>
    <w:rsid w:val="003476A3"/>
    <w:rsid w:val="003476C1"/>
    <w:rsid w:val="00347821"/>
    <w:rsid w:val="0034782A"/>
    <w:rsid w:val="003478AF"/>
    <w:rsid w:val="003479C8"/>
    <w:rsid w:val="00347D28"/>
    <w:rsid w:val="00347DBD"/>
    <w:rsid w:val="00347FE2"/>
    <w:rsid w:val="00350218"/>
    <w:rsid w:val="003504CC"/>
    <w:rsid w:val="00350557"/>
    <w:rsid w:val="00350749"/>
    <w:rsid w:val="0035088C"/>
    <w:rsid w:val="00350D80"/>
    <w:rsid w:val="00351153"/>
    <w:rsid w:val="00351325"/>
    <w:rsid w:val="003513D0"/>
    <w:rsid w:val="00351739"/>
    <w:rsid w:val="00351773"/>
    <w:rsid w:val="003517B0"/>
    <w:rsid w:val="00351A0C"/>
    <w:rsid w:val="00351E35"/>
    <w:rsid w:val="00351FC9"/>
    <w:rsid w:val="003521D8"/>
    <w:rsid w:val="003522D5"/>
    <w:rsid w:val="0035232D"/>
    <w:rsid w:val="0035272A"/>
    <w:rsid w:val="00352A09"/>
    <w:rsid w:val="00352A47"/>
    <w:rsid w:val="00352D3D"/>
    <w:rsid w:val="00352F2A"/>
    <w:rsid w:val="00353007"/>
    <w:rsid w:val="00353228"/>
    <w:rsid w:val="003533D1"/>
    <w:rsid w:val="0035371E"/>
    <w:rsid w:val="003538C2"/>
    <w:rsid w:val="003539CF"/>
    <w:rsid w:val="00353C18"/>
    <w:rsid w:val="00353C2C"/>
    <w:rsid w:val="00353F7D"/>
    <w:rsid w:val="003541F1"/>
    <w:rsid w:val="003547AF"/>
    <w:rsid w:val="00354A08"/>
    <w:rsid w:val="00354CEE"/>
    <w:rsid w:val="00354D05"/>
    <w:rsid w:val="00354D0A"/>
    <w:rsid w:val="00354E20"/>
    <w:rsid w:val="00354ECE"/>
    <w:rsid w:val="003550E1"/>
    <w:rsid w:val="00355372"/>
    <w:rsid w:val="0035537A"/>
    <w:rsid w:val="003554F6"/>
    <w:rsid w:val="00355521"/>
    <w:rsid w:val="0035572E"/>
    <w:rsid w:val="00355843"/>
    <w:rsid w:val="0035598D"/>
    <w:rsid w:val="00355E80"/>
    <w:rsid w:val="003561A7"/>
    <w:rsid w:val="0035634D"/>
    <w:rsid w:val="00356421"/>
    <w:rsid w:val="00356B3C"/>
    <w:rsid w:val="00356CBA"/>
    <w:rsid w:val="00356CFE"/>
    <w:rsid w:val="003574AC"/>
    <w:rsid w:val="0035755D"/>
    <w:rsid w:val="00357AA3"/>
    <w:rsid w:val="00357CB8"/>
    <w:rsid w:val="00357FCE"/>
    <w:rsid w:val="003601BE"/>
    <w:rsid w:val="003604B2"/>
    <w:rsid w:val="003612B0"/>
    <w:rsid w:val="00361315"/>
    <w:rsid w:val="00361457"/>
    <w:rsid w:val="003614AF"/>
    <w:rsid w:val="00361E68"/>
    <w:rsid w:val="00362107"/>
    <w:rsid w:val="00362898"/>
    <w:rsid w:val="003628DA"/>
    <w:rsid w:val="00362DA6"/>
    <w:rsid w:val="00362E89"/>
    <w:rsid w:val="00362ED5"/>
    <w:rsid w:val="00362FF5"/>
    <w:rsid w:val="00363A6A"/>
    <w:rsid w:val="00363B98"/>
    <w:rsid w:val="00363C55"/>
    <w:rsid w:val="0036401E"/>
    <w:rsid w:val="003644F2"/>
    <w:rsid w:val="003645E9"/>
    <w:rsid w:val="00364A28"/>
    <w:rsid w:val="00364A8A"/>
    <w:rsid w:val="00364B36"/>
    <w:rsid w:val="00364D8D"/>
    <w:rsid w:val="00364DB0"/>
    <w:rsid w:val="003653B5"/>
    <w:rsid w:val="00365503"/>
    <w:rsid w:val="00365870"/>
    <w:rsid w:val="00365A07"/>
    <w:rsid w:val="00365AD1"/>
    <w:rsid w:val="00365E39"/>
    <w:rsid w:val="0036648B"/>
    <w:rsid w:val="003669FB"/>
    <w:rsid w:val="00367241"/>
    <w:rsid w:val="00367AB6"/>
    <w:rsid w:val="003703C9"/>
    <w:rsid w:val="0037043E"/>
    <w:rsid w:val="0037061A"/>
    <w:rsid w:val="003706E4"/>
    <w:rsid w:val="00370D07"/>
    <w:rsid w:val="00370FD0"/>
    <w:rsid w:val="003711C1"/>
    <w:rsid w:val="00371E8C"/>
    <w:rsid w:val="00371F03"/>
    <w:rsid w:val="003720D0"/>
    <w:rsid w:val="00372309"/>
    <w:rsid w:val="00372571"/>
    <w:rsid w:val="00372652"/>
    <w:rsid w:val="0037278C"/>
    <w:rsid w:val="003728D8"/>
    <w:rsid w:val="00372A60"/>
    <w:rsid w:val="00372A84"/>
    <w:rsid w:val="00372C92"/>
    <w:rsid w:val="00372CE0"/>
    <w:rsid w:val="0037380D"/>
    <w:rsid w:val="00373AA6"/>
    <w:rsid w:val="00373B24"/>
    <w:rsid w:val="00373D9B"/>
    <w:rsid w:val="0037402D"/>
    <w:rsid w:val="0037416D"/>
    <w:rsid w:val="003741BE"/>
    <w:rsid w:val="00374360"/>
    <w:rsid w:val="003743C6"/>
    <w:rsid w:val="00374A15"/>
    <w:rsid w:val="00374A27"/>
    <w:rsid w:val="00374A5C"/>
    <w:rsid w:val="00375026"/>
    <w:rsid w:val="003756BD"/>
    <w:rsid w:val="003759D4"/>
    <w:rsid w:val="00375C42"/>
    <w:rsid w:val="00376B7F"/>
    <w:rsid w:val="00376C95"/>
    <w:rsid w:val="003770FE"/>
    <w:rsid w:val="0037716A"/>
    <w:rsid w:val="003775EF"/>
    <w:rsid w:val="00377623"/>
    <w:rsid w:val="0037783A"/>
    <w:rsid w:val="00377BFD"/>
    <w:rsid w:val="00377F22"/>
    <w:rsid w:val="0038018B"/>
    <w:rsid w:val="0038036D"/>
    <w:rsid w:val="00380432"/>
    <w:rsid w:val="00380B00"/>
    <w:rsid w:val="00380D43"/>
    <w:rsid w:val="00381166"/>
    <w:rsid w:val="0038117E"/>
    <w:rsid w:val="003811F1"/>
    <w:rsid w:val="003813C8"/>
    <w:rsid w:val="00381496"/>
    <w:rsid w:val="003815B4"/>
    <w:rsid w:val="003817CC"/>
    <w:rsid w:val="003819B1"/>
    <w:rsid w:val="00381F3B"/>
    <w:rsid w:val="0038201B"/>
    <w:rsid w:val="003820D1"/>
    <w:rsid w:val="003821F3"/>
    <w:rsid w:val="003822B5"/>
    <w:rsid w:val="003823DD"/>
    <w:rsid w:val="0038245D"/>
    <w:rsid w:val="003824F3"/>
    <w:rsid w:val="00382657"/>
    <w:rsid w:val="003826F0"/>
    <w:rsid w:val="00382B7B"/>
    <w:rsid w:val="00382CD4"/>
    <w:rsid w:val="00382F92"/>
    <w:rsid w:val="00383953"/>
    <w:rsid w:val="00383A78"/>
    <w:rsid w:val="00383A7E"/>
    <w:rsid w:val="00383F0D"/>
    <w:rsid w:val="00384022"/>
    <w:rsid w:val="00384197"/>
    <w:rsid w:val="003843CC"/>
    <w:rsid w:val="003845BD"/>
    <w:rsid w:val="003846E8"/>
    <w:rsid w:val="00384702"/>
    <w:rsid w:val="0038489F"/>
    <w:rsid w:val="00384D5A"/>
    <w:rsid w:val="00384E46"/>
    <w:rsid w:val="00384EC2"/>
    <w:rsid w:val="003852BE"/>
    <w:rsid w:val="003853E8"/>
    <w:rsid w:val="003855F0"/>
    <w:rsid w:val="00385950"/>
    <w:rsid w:val="00385CE6"/>
    <w:rsid w:val="00386324"/>
    <w:rsid w:val="003866C4"/>
    <w:rsid w:val="00386A89"/>
    <w:rsid w:val="00386EF7"/>
    <w:rsid w:val="00387231"/>
    <w:rsid w:val="00387271"/>
    <w:rsid w:val="0038729A"/>
    <w:rsid w:val="0038751D"/>
    <w:rsid w:val="003876D4"/>
    <w:rsid w:val="003904A1"/>
    <w:rsid w:val="003904D1"/>
    <w:rsid w:val="00390562"/>
    <w:rsid w:val="00390890"/>
    <w:rsid w:val="00391230"/>
    <w:rsid w:val="00391724"/>
    <w:rsid w:val="00391B4B"/>
    <w:rsid w:val="00391D35"/>
    <w:rsid w:val="00391E50"/>
    <w:rsid w:val="003922C1"/>
    <w:rsid w:val="00392687"/>
    <w:rsid w:val="003926B8"/>
    <w:rsid w:val="00392C67"/>
    <w:rsid w:val="00392DE4"/>
    <w:rsid w:val="003930ED"/>
    <w:rsid w:val="0039337A"/>
    <w:rsid w:val="00393428"/>
    <w:rsid w:val="00393478"/>
    <w:rsid w:val="00393529"/>
    <w:rsid w:val="003935BA"/>
    <w:rsid w:val="00393703"/>
    <w:rsid w:val="003938C1"/>
    <w:rsid w:val="00394D46"/>
    <w:rsid w:val="00394FE8"/>
    <w:rsid w:val="0039555F"/>
    <w:rsid w:val="0039587A"/>
    <w:rsid w:val="00395BE6"/>
    <w:rsid w:val="00395CE6"/>
    <w:rsid w:val="003960D5"/>
    <w:rsid w:val="0039617C"/>
    <w:rsid w:val="0039619D"/>
    <w:rsid w:val="003967C6"/>
    <w:rsid w:val="003969ED"/>
    <w:rsid w:val="00396DCF"/>
    <w:rsid w:val="00396EBA"/>
    <w:rsid w:val="003970FC"/>
    <w:rsid w:val="00397242"/>
    <w:rsid w:val="00397277"/>
    <w:rsid w:val="00397531"/>
    <w:rsid w:val="0039777B"/>
    <w:rsid w:val="00397A61"/>
    <w:rsid w:val="00397EC9"/>
    <w:rsid w:val="00397F79"/>
    <w:rsid w:val="003A005D"/>
    <w:rsid w:val="003A00D9"/>
    <w:rsid w:val="003A04E0"/>
    <w:rsid w:val="003A0916"/>
    <w:rsid w:val="003A0BC8"/>
    <w:rsid w:val="003A0F2D"/>
    <w:rsid w:val="003A173A"/>
    <w:rsid w:val="003A1EC7"/>
    <w:rsid w:val="003A1EF6"/>
    <w:rsid w:val="003A2694"/>
    <w:rsid w:val="003A308F"/>
    <w:rsid w:val="003A3430"/>
    <w:rsid w:val="003A40A7"/>
    <w:rsid w:val="003A41F1"/>
    <w:rsid w:val="003A4223"/>
    <w:rsid w:val="003A43F9"/>
    <w:rsid w:val="003A4577"/>
    <w:rsid w:val="003A4731"/>
    <w:rsid w:val="003A47E0"/>
    <w:rsid w:val="003A49D9"/>
    <w:rsid w:val="003A4F47"/>
    <w:rsid w:val="003A50C8"/>
    <w:rsid w:val="003A5111"/>
    <w:rsid w:val="003A52A8"/>
    <w:rsid w:val="003A55EA"/>
    <w:rsid w:val="003A56E1"/>
    <w:rsid w:val="003A5738"/>
    <w:rsid w:val="003A584D"/>
    <w:rsid w:val="003A5F28"/>
    <w:rsid w:val="003A603D"/>
    <w:rsid w:val="003A6531"/>
    <w:rsid w:val="003A65BA"/>
    <w:rsid w:val="003A69E6"/>
    <w:rsid w:val="003A69EC"/>
    <w:rsid w:val="003A6E24"/>
    <w:rsid w:val="003A6F97"/>
    <w:rsid w:val="003A7801"/>
    <w:rsid w:val="003A7B0C"/>
    <w:rsid w:val="003A7DB6"/>
    <w:rsid w:val="003B004D"/>
    <w:rsid w:val="003B026B"/>
    <w:rsid w:val="003B06F3"/>
    <w:rsid w:val="003B0CF7"/>
    <w:rsid w:val="003B0D3D"/>
    <w:rsid w:val="003B0E72"/>
    <w:rsid w:val="003B0EB6"/>
    <w:rsid w:val="003B126D"/>
    <w:rsid w:val="003B13D5"/>
    <w:rsid w:val="003B163E"/>
    <w:rsid w:val="003B1656"/>
    <w:rsid w:val="003B1713"/>
    <w:rsid w:val="003B179E"/>
    <w:rsid w:val="003B1BD3"/>
    <w:rsid w:val="003B1EE6"/>
    <w:rsid w:val="003B2496"/>
    <w:rsid w:val="003B2725"/>
    <w:rsid w:val="003B27AD"/>
    <w:rsid w:val="003B283E"/>
    <w:rsid w:val="003B297B"/>
    <w:rsid w:val="003B3029"/>
    <w:rsid w:val="003B34A1"/>
    <w:rsid w:val="003B3717"/>
    <w:rsid w:val="003B383F"/>
    <w:rsid w:val="003B391D"/>
    <w:rsid w:val="003B3976"/>
    <w:rsid w:val="003B3C89"/>
    <w:rsid w:val="003B3E29"/>
    <w:rsid w:val="003B4618"/>
    <w:rsid w:val="003B49D5"/>
    <w:rsid w:val="003B4CCD"/>
    <w:rsid w:val="003B52F2"/>
    <w:rsid w:val="003B543A"/>
    <w:rsid w:val="003B5BA1"/>
    <w:rsid w:val="003B5C72"/>
    <w:rsid w:val="003B5FD2"/>
    <w:rsid w:val="003B60B2"/>
    <w:rsid w:val="003B6261"/>
    <w:rsid w:val="003B68C2"/>
    <w:rsid w:val="003B696F"/>
    <w:rsid w:val="003B6C75"/>
    <w:rsid w:val="003B6E7C"/>
    <w:rsid w:val="003B6F70"/>
    <w:rsid w:val="003B6FE7"/>
    <w:rsid w:val="003B713D"/>
    <w:rsid w:val="003B7252"/>
    <w:rsid w:val="003B733B"/>
    <w:rsid w:val="003B75FA"/>
    <w:rsid w:val="003B7736"/>
    <w:rsid w:val="003B7A33"/>
    <w:rsid w:val="003C0557"/>
    <w:rsid w:val="003C05F3"/>
    <w:rsid w:val="003C082A"/>
    <w:rsid w:val="003C08C4"/>
    <w:rsid w:val="003C0CEA"/>
    <w:rsid w:val="003C0DA0"/>
    <w:rsid w:val="003C0DE0"/>
    <w:rsid w:val="003C0F14"/>
    <w:rsid w:val="003C1061"/>
    <w:rsid w:val="003C1107"/>
    <w:rsid w:val="003C1153"/>
    <w:rsid w:val="003C122E"/>
    <w:rsid w:val="003C1439"/>
    <w:rsid w:val="003C14B8"/>
    <w:rsid w:val="003C15A3"/>
    <w:rsid w:val="003C1609"/>
    <w:rsid w:val="003C176E"/>
    <w:rsid w:val="003C1AD8"/>
    <w:rsid w:val="003C1AFE"/>
    <w:rsid w:val="003C1C19"/>
    <w:rsid w:val="003C1D63"/>
    <w:rsid w:val="003C208D"/>
    <w:rsid w:val="003C2138"/>
    <w:rsid w:val="003C24F6"/>
    <w:rsid w:val="003C26F8"/>
    <w:rsid w:val="003C28C6"/>
    <w:rsid w:val="003C2D17"/>
    <w:rsid w:val="003C3036"/>
    <w:rsid w:val="003C3080"/>
    <w:rsid w:val="003C3685"/>
    <w:rsid w:val="003C3701"/>
    <w:rsid w:val="003C38AE"/>
    <w:rsid w:val="003C3BF8"/>
    <w:rsid w:val="003C3CE7"/>
    <w:rsid w:val="003C4835"/>
    <w:rsid w:val="003C49A7"/>
    <w:rsid w:val="003C4AAA"/>
    <w:rsid w:val="003C5045"/>
    <w:rsid w:val="003C5146"/>
    <w:rsid w:val="003C527C"/>
    <w:rsid w:val="003C55DF"/>
    <w:rsid w:val="003C5908"/>
    <w:rsid w:val="003C5B99"/>
    <w:rsid w:val="003C62E1"/>
    <w:rsid w:val="003C636F"/>
    <w:rsid w:val="003C63EF"/>
    <w:rsid w:val="003C63FD"/>
    <w:rsid w:val="003C6849"/>
    <w:rsid w:val="003C6A40"/>
    <w:rsid w:val="003C6AA1"/>
    <w:rsid w:val="003C7152"/>
    <w:rsid w:val="003C71C2"/>
    <w:rsid w:val="003C75C7"/>
    <w:rsid w:val="003C78B3"/>
    <w:rsid w:val="003C79AC"/>
    <w:rsid w:val="003C7A21"/>
    <w:rsid w:val="003C7A39"/>
    <w:rsid w:val="003C7B12"/>
    <w:rsid w:val="003D0207"/>
    <w:rsid w:val="003D023A"/>
    <w:rsid w:val="003D02D4"/>
    <w:rsid w:val="003D032B"/>
    <w:rsid w:val="003D0709"/>
    <w:rsid w:val="003D0F96"/>
    <w:rsid w:val="003D0FFC"/>
    <w:rsid w:val="003D112D"/>
    <w:rsid w:val="003D1330"/>
    <w:rsid w:val="003D149C"/>
    <w:rsid w:val="003D15AF"/>
    <w:rsid w:val="003D182B"/>
    <w:rsid w:val="003D1DD8"/>
    <w:rsid w:val="003D2938"/>
    <w:rsid w:val="003D2C47"/>
    <w:rsid w:val="003D2C67"/>
    <w:rsid w:val="003D3A8D"/>
    <w:rsid w:val="003D3CC1"/>
    <w:rsid w:val="003D3F0D"/>
    <w:rsid w:val="003D4058"/>
    <w:rsid w:val="003D40BB"/>
    <w:rsid w:val="003D43DB"/>
    <w:rsid w:val="003D4B4B"/>
    <w:rsid w:val="003D4DFE"/>
    <w:rsid w:val="003D5374"/>
    <w:rsid w:val="003D5935"/>
    <w:rsid w:val="003D5BC7"/>
    <w:rsid w:val="003D5C01"/>
    <w:rsid w:val="003D5E52"/>
    <w:rsid w:val="003D6116"/>
    <w:rsid w:val="003D64CB"/>
    <w:rsid w:val="003D64F1"/>
    <w:rsid w:val="003D77E2"/>
    <w:rsid w:val="003D7888"/>
    <w:rsid w:val="003D7DD4"/>
    <w:rsid w:val="003E02D4"/>
    <w:rsid w:val="003E05B8"/>
    <w:rsid w:val="003E07D7"/>
    <w:rsid w:val="003E0AF3"/>
    <w:rsid w:val="003E0B3A"/>
    <w:rsid w:val="003E1296"/>
    <w:rsid w:val="003E166B"/>
    <w:rsid w:val="003E16D8"/>
    <w:rsid w:val="003E25AF"/>
    <w:rsid w:val="003E2791"/>
    <w:rsid w:val="003E2919"/>
    <w:rsid w:val="003E2992"/>
    <w:rsid w:val="003E2A22"/>
    <w:rsid w:val="003E3027"/>
    <w:rsid w:val="003E3570"/>
    <w:rsid w:val="003E3621"/>
    <w:rsid w:val="003E37B0"/>
    <w:rsid w:val="003E386B"/>
    <w:rsid w:val="003E389F"/>
    <w:rsid w:val="003E38C5"/>
    <w:rsid w:val="003E3BED"/>
    <w:rsid w:val="003E3D2B"/>
    <w:rsid w:val="003E3D94"/>
    <w:rsid w:val="003E3F64"/>
    <w:rsid w:val="003E484C"/>
    <w:rsid w:val="003E4AE6"/>
    <w:rsid w:val="003E4D78"/>
    <w:rsid w:val="003E4E6A"/>
    <w:rsid w:val="003E56B0"/>
    <w:rsid w:val="003E56D7"/>
    <w:rsid w:val="003E58A5"/>
    <w:rsid w:val="003E5AE5"/>
    <w:rsid w:val="003E5C3A"/>
    <w:rsid w:val="003E603A"/>
    <w:rsid w:val="003E609B"/>
    <w:rsid w:val="003E61C4"/>
    <w:rsid w:val="003E645D"/>
    <w:rsid w:val="003E68DA"/>
    <w:rsid w:val="003E6B6E"/>
    <w:rsid w:val="003E6CA7"/>
    <w:rsid w:val="003E6DE2"/>
    <w:rsid w:val="003E6ED0"/>
    <w:rsid w:val="003E6EDD"/>
    <w:rsid w:val="003E7050"/>
    <w:rsid w:val="003E70F8"/>
    <w:rsid w:val="003E717E"/>
    <w:rsid w:val="003E7255"/>
    <w:rsid w:val="003E74D0"/>
    <w:rsid w:val="003E75E5"/>
    <w:rsid w:val="003E78CD"/>
    <w:rsid w:val="003E7A13"/>
    <w:rsid w:val="003E7B55"/>
    <w:rsid w:val="003E7BEC"/>
    <w:rsid w:val="003E7D50"/>
    <w:rsid w:val="003E7E09"/>
    <w:rsid w:val="003F0179"/>
    <w:rsid w:val="003F0401"/>
    <w:rsid w:val="003F0439"/>
    <w:rsid w:val="003F04B1"/>
    <w:rsid w:val="003F05F5"/>
    <w:rsid w:val="003F06F7"/>
    <w:rsid w:val="003F078C"/>
    <w:rsid w:val="003F0C03"/>
    <w:rsid w:val="003F0E6C"/>
    <w:rsid w:val="003F124C"/>
    <w:rsid w:val="003F183E"/>
    <w:rsid w:val="003F1DC8"/>
    <w:rsid w:val="003F2002"/>
    <w:rsid w:val="003F2274"/>
    <w:rsid w:val="003F24C5"/>
    <w:rsid w:val="003F25AF"/>
    <w:rsid w:val="003F2B59"/>
    <w:rsid w:val="003F2CA4"/>
    <w:rsid w:val="003F3557"/>
    <w:rsid w:val="003F3977"/>
    <w:rsid w:val="003F3990"/>
    <w:rsid w:val="003F3D77"/>
    <w:rsid w:val="003F3ECF"/>
    <w:rsid w:val="003F4414"/>
    <w:rsid w:val="003F4B81"/>
    <w:rsid w:val="003F5557"/>
    <w:rsid w:val="003F585C"/>
    <w:rsid w:val="003F5D8D"/>
    <w:rsid w:val="003F5E8C"/>
    <w:rsid w:val="003F632C"/>
    <w:rsid w:val="003F6513"/>
    <w:rsid w:val="003F65DC"/>
    <w:rsid w:val="003F6876"/>
    <w:rsid w:val="003F698C"/>
    <w:rsid w:val="003F6D11"/>
    <w:rsid w:val="003F6E78"/>
    <w:rsid w:val="003F7357"/>
    <w:rsid w:val="003F762C"/>
    <w:rsid w:val="003F7894"/>
    <w:rsid w:val="003F792F"/>
    <w:rsid w:val="003F7950"/>
    <w:rsid w:val="003F7BBD"/>
    <w:rsid w:val="003F7BD7"/>
    <w:rsid w:val="003F7C80"/>
    <w:rsid w:val="00400022"/>
    <w:rsid w:val="0040003F"/>
    <w:rsid w:val="004007BA"/>
    <w:rsid w:val="00400A15"/>
    <w:rsid w:val="00400B6C"/>
    <w:rsid w:val="00400CB0"/>
    <w:rsid w:val="00400F6E"/>
    <w:rsid w:val="004012F4"/>
    <w:rsid w:val="00401675"/>
    <w:rsid w:val="00401681"/>
    <w:rsid w:val="0040190B"/>
    <w:rsid w:val="00401D08"/>
    <w:rsid w:val="00401E85"/>
    <w:rsid w:val="0040226D"/>
    <w:rsid w:val="004022D8"/>
    <w:rsid w:val="00402360"/>
    <w:rsid w:val="004026AF"/>
    <w:rsid w:val="00402D49"/>
    <w:rsid w:val="00402DA9"/>
    <w:rsid w:val="00403216"/>
    <w:rsid w:val="004036BD"/>
    <w:rsid w:val="00403BB8"/>
    <w:rsid w:val="00403EAB"/>
    <w:rsid w:val="0040414F"/>
    <w:rsid w:val="00404224"/>
    <w:rsid w:val="00404693"/>
    <w:rsid w:val="00404CE0"/>
    <w:rsid w:val="00404E6B"/>
    <w:rsid w:val="004050A3"/>
    <w:rsid w:val="004058E4"/>
    <w:rsid w:val="004058F3"/>
    <w:rsid w:val="00405B17"/>
    <w:rsid w:val="00405BB6"/>
    <w:rsid w:val="00405EB5"/>
    <w:rsid w:val="00405FA1"/>
    <w:rsid w:val="00406095"/>
    <w:rsid w:val="004061AC"/>
    <w:rsid w:val="004062FF"/>
    <w:rsid w:val="004064A1"/>
    <w:rsid w:val="004065E1"/>
    <w:rsid w:val="00406A7A"/>
    <w:rsid w:val="004071D7"/>
    <w:rsid w:val="00407916"/>
    <w:rsid w:val="004105E6"/>
    <w:rsid w:val="00410677"/>
    <w:rsid w:val="0041075D"/>
    <w:rsid w:val="00410AC7"/>
    <w:rsid w:val="00410D94"/>
    <w:rsid w:val="00410ED7"/>
    <w:rsid w:val="004110C3"/>
    <w:rsid w:val="00411737"/>
    <w:rsid w:val="0041174E"/>
    <w:rsid w:val="00411875"/>
    <w:rsid w:val="00411C68"/>
    <w:rsid w:val="00411F6B"/>
    <w:rsid w:val="0041214E"/>
    <w:rsid w:val="00412281"/>
    <w:rsid w:val="00412762"/>
    <w:rsid w:val="004127D6"/>
    <w:rsid w:val="004129F4"/>
    <w:rsid w:val="00412CB8"/>
    <w:rsid w:val="00412E2D"/>
    <w:rsid w:val="0041323D"/>
    <w:rsid w:val="0041338E"/>
    <w:rsid w:val="00413552"/>
    <w:rsid w:val="004135B1"/>
    <w:rsid w:val="00413A2D"/>
    <w:rsid w:val="00413B28"/>
    <w:rsid w:val="00413E6B"/>
    <w:rsid w:val="00413EB5"/>
    <w:rsid w:val="0041420E"/>
    <w:rsid w:val="0041423F"/>
    <w:rsid w:val="00414D23"/>
    <w:rsid w:val="00414F87"/>
    <w:rsid w:val="004150E8"/>
    <w:rsid w:val="00415159"/>
    <w:rsid w:val="004151BB"/>
    <w:rsid w:val="00415484"/>
    <w:rsid w:val="004161ED"/>
    <w:rsid w:val="004164C0"/>
    <w:rsid w:val="00416AAF"/>
    <w:rsid w:val="00416AC1"/>
    <w:rsid w:val="00416D56"/>
    <w:rsid w:val="004172ED"/>
    <w:rsid w:val="00417475"/>
    <w:rsid w:val="00417567"/>
    <w:rsid w:val="00417A8C"/>
    <w:rsid w:val="00417B5E"/>
    <w:rsid w:val="00417CBE"/>
    <w:rsid w:val="00417D9C"/>
    <w:rsid w:val="00420C3C"/>
    <w:rsid w:val="00420D10"/>
    <w:rsid w:val="00420DB2"/>
    <w:rsid w:val="00420DF3"/>
    <w:rsid w:val="00421078"/>
    <w:rsid w:val="00421217"/>
    <w:rsid w:val="0042147D"/>
    <w:rsid w:val="004215C1"/>
    <w:rsid w:val="0042167E"/>
    <w:rsid w:val="00421920"/>
    <w:rsid w:val="00421A25"/>
    <w:rsid w:val="00421AA7"/>
    <w:rsid w:val="00421C3E"/>
    <w:rsid w:val="00421C6F"/>
    <w:rsid w:val="00421CD0"/>
    <w:rsid w:val="00421E24"/>
    <w:rsid w:val="00422671"/>
    <w:rsid w:val="004228C9"/>
    <w:rsid w:val="004228D2"/>
    <w:rsid w:val="0042291B"/>
    <w:rsid w:val="00422C32"/>
    <w:rsid w:val="00422E85"/>
    <w:rsid w:val="00422F6A"/>
    <w:rsid w:val="004232E0"/>
    <w:rsid w:val="004234DF"/>
    <w:rsid w:val="004237B5"/>
    <w:rsid w:val="00423B8B"/>
    <w:rsid w:val="00423DBC"/>
    <w:rsid w:val="00424361"/>
    <w:rsid w:val="00424408"/>
    <w:rsid w:val="00424474"/>
    <w:rsid w:val="00424B54"/>
    <w:rsid w:val="00424BD3"/>
    <w:rsid w:val="00424DC4"/>
    <w:rsid w:val="004250B1"/>
    <w:rsid w:val="00425345"/>
    <w:rsid w:val="00425562"/>
    <w:rsid w:val="00425765"/>
    <w:rsid w:val="004258E9"/>
    <w:rsid w:val="00425FB2"/>
    <w:rsid w:val="00426009"/>
    <w:rsid w:val="0042629E"/>
    <w:rsid w:val="00426441"/>
    <w:rsid w:val="00426489"/>
    <w:rsid w:val="00426D21"/>
    <w:rsid w:val="00426DA6"/>
    <w:rsid w:val="00426E17"/>
    <w:rsid w:val="0042719B"/>
    <w:rsid w:val="0042730B"/>
    <w:rsid w:val="0042753B"/>
    <w:rsid w:val="004276B3"/>
    <w:rsid w:val="00427715"/>
    <w:rsid w:val="00427862"/>
    <w:rsid w:val="00427A08"/>
    <w:rsid w:val="00427E53"/>
    <w:rsid w:val="00427EA3"/>
    <w:rsid w:val="00427F09"/>
    <w:rsid w:val="00427F38"/>
    <w:rsid w:val="00427F5A"/>
    <w:rsid w:val="004301BE"/>
    <w:rsid w:val="00430791"/>
    <w:rsid w:val="00430A93"/>
    <w:rsid w:val="00430D53"/>
    <w:rsid w:val="00430DC2"/>
    <w:rsid w:val="004310CE"/>
    <w:rsid w:val="0043197F"/>
    <w:rsid w:val="00431B24"/>
    <w:rsid w:val="00432290"/>
    <w:rsid w:val="00432469"/>
    <w:rsid w:val="00432704"/>
    <w:rsid w:val="00432762"/>
    <w:rsid w:val="0043278D"/>
    <w:rsid w:val="00432A5C"/>
    <w:rsid w:val="00432A9C"/>
    <w:rsid w:val="00432B40"/>
    <w:rsid w:val="00432C10"/>
    <w:rsid w:val="0043331A"/>
    <w:rsid w:val="00433540"/>
    <w:rsid w:val="0043406E"/>
    <w:rsid w:val="004343A9"/>
    <w:rsid w:val="00434577"/>
    <w:rsid w:val="00434861"/>
    <w:rsid w:val="0043495B"/>
    <w:rsid w:val="00434B84"/>
    <w:rsid w:val="00434D60"/>
    <w:rsid w:val="00434E1E"/>
    <w:rsid w:val="00434F40"/>
    <w:rsid w:val="00434F5F"/>
    <w:rsid w:val="00435287"/>
    <w:rsid w:val="00435336"/>
    <w:rsid w:val="0043534B"/>
    <w:rsid w:val="004353AD"/>
    <w:rsid w:val="00435450"/>
    <w:rsid w:val="00435973"/>
    <w:rsid w:val="00436137"/>
    <w:rsid w:val="0043625D"/>
    <w:rsid w:val="0043636E"/>
    <w:rsid w:val="0043664F"/>
    <w:rsid w:val="00436819"/>
    <w:rsid w:val="0043689C"/>
    <w:rsid w:val="00436C92"/>
    <w:rsid w:val="00436E13"/>
    <w:rsid w:val="00436E29"/>
    <w:rsid w:val="004370DF"/>
    <w:rsid w:val="00437458"/>
    <w:rsid w:val="00437963"/>
    <w:rsid w:val="00437965"/>
    <w:rsid w:val="00437A0D"/>
    <w:rsid w:val="00437A5B"/>
    <w:rsid w:val="00437BD0"/>
    <w:rsid w:val="00437CFA"/>
    <w:rsid w:val="00437D77"/>
    <w:rsid w:val="00437E10"/>
    <w:rsid w:val="00440313"/>
    <w:rsid w:val="004403EF"/>
    <w:rsid w:val="004407E9"/>
    <w:rsid w:val="004409DB"/>
    <w:rsid w:val="00440D19"/>
    <w:rsid w:val="00440F13"/>
    <w:rsid w:val="00441139"/>
    <w:rsid w:val="004411E6"/>
    <w:rsid w:val="004413F8"/>
    <w:rsid w:val="004423C8"/>
    <w:rsid w:val="00442593"/>
    <w:rsid w:val="004425EF"/>
    <w:rsid w:val="00442693"/>
    <w:rsid w:val="00442B41"/>
    <w:rsid w:val="00443151"/>
    <w:rsid w:val="004438A3"/>
    <w:rsid w:val="00443945"/>
    <w:rsid w:val="00443C21"/>
    <w:rsid w:val="00443E77"/>
    <w:rsid w:val="00444088"/>
    <w:rsid w:val="00444F0C"/>
    <w:rsid w:val="00445300"/>
    <w:rsid w:val="00445421"/>
    <w:rsid w:val="004454FA"/>
    <w:rsid w:val="00445683"/>
    <w:rsid w:val="004456A1"/>
    <w:rsid w:val="00445897"/>
    <w:rsid w:val="0044618F"/>
    <w:rsid w:val="0044655D"/>
    <w:rsid w:val="00446929"/>
    <w:rsid w:val="0044698D"/>
    <w:rsid w:val="004474C4"/>
    <w:rsid w:val="00447666"/>
    <w:rsid w:val="004476F1"/>
    <w:rsid w:val="00447E66"/>
    <w:rsid w:val="00450394"/>
    <w:rsid w:val="00450533"/>
    <w:rsid w:val="00450C0B"/>
    <w:rsid w:val="00450C2E"/>
    <w:rsid w:val="00450CB4"/>
    <w:rsid w:val="00450D6C"/>
    <w:rsid w:val="00450E32"/>
    <w:rsid w:val="00450ECC"/>
    <w:rsid w:val="0045134E"/>
    <w:rsid w:val="00451703"/>
    <w:rsid w:val="0045196E"/>
    <w:rsid w:val="00451BE0"/>
    <w:rsid w:val="00452102"/>
    <w:rsid w:val="004521C7"/>
    <w:rsid w:val="004522F0"/>
    <w:rsid w:val="004527A5"/>
    <w:rsid w:val="0045296B"/>
    <w:rsid w:val="00452A0B"/>
    <w:rsid w:val="00452C57"/>
    <w:rsid w:val="00452CA7"/>
    <w:rsid w:val="00452EE4"/>
    <w:rsid w:val="00453143"/>
    <w:rsid w:val="00453353"/>
    <w:rsid w:val="0045361F"/>
    <w:rsid w:val="004538D4"/>
    <w:rsid w:val="00453E1B"/>
    <w:rsid w:val="00453E56"/>
    <w:rsid w:val="004543DD"/>
    <w:rsid w:val="00454926"/>
    <w:rsid w:val="0045494D"/>
    <w:rsid w:val="00454BC1"/>
    <w:rsid w:val="00454F40"/>
    <w:rsid w:val="0045518F"/>
    <w:rsid w:val="0045531D"/>
    <w:rsid w:val="004555DC"/>
    <w:rsid w:val="004556A3"/>
    <w:rsid w:val="004558B2"/>
    <w:rsid w:val="00455A6D"/>
    <w:rsid w:val="00455C37"/>
    <w:rsid w:val="00455C6A"/>
    <w:rsid w:val="00456119"/>
    <w:rsid w:val="0045620A"/>
    <w:rsid w:val="004566BF"/>
    <w:rsid w:val="004566E6"/>
    <w:rsid w:val="004567BF"/>
    <w:rsid w:val="00456C36"/>
    <w:rsid w:val="00456CD2"/>
    <w:rsid w:val="00456EA6"/>
    <w:rsid w:val="004571AB"/>
    <w:rsid w:val="0045723F"/>
    <w:rsid w:val="0045731B"/>
    <w:rsid w:val="00457649"/>
    <w:rsid w:val="004576A8"/>
    <w:rsid w:val="004579A3"/>
    <w:rsid w:val="00457B1A"/>
    <w:rsid w:val="00457F4F"/>
    <w:rsid w:val="00460016"/>
    <w:rsid w:val="00460325"/>
    <w:rsid w:val="004604BE"/>
    <w:rsid w:val="00460554"/>
    <w:rsid w:val="00460560"/>
    <w:rsid w:val="004608D6"/>
    <w:rsid w:val="00460980"/>
    <w:rsid w:val="00460C6A"/>
    <w:rsid w:val="0046141A"/>
    <w:rsid w:val="0046173A"/>
    <w:rsid w:val="004619EF"/>
    <w:rsid w:val="00462093"/>
    <w:rsid w:val="0046215D"/>
    <w:rsid w:val="00462161"/>
    <w:rsid w:val="00462451"/>
    <w:rsid w:val="00462773"/>
    <w:rsid w:val="004627F2"/>
    <w:rsid w:val="004629B9"/>
    <w:rsid w:val="00462CD3"/>
    <w:rsid w:val="00462D3B"/>
    <w:rsid w:val="00462E4F"/>
    <w:rsid w:val="004632BA"/>
    <w:rsid w:val="0046349B"/>
    <w:rsid w:val="004636CC"/>
    <w:rsid w:val="0046391C"/>
    <w:rsid w:val="0046396D"/>
    <w:rsid w:val="004639C9"/>
    <w:rsid w:val="00463FCA"/>
    <w:rsid w:val="00464142"/>
    <w:rsid w:val="00464191"/>
    <w:rsid w:val="00464424"/>
    <w:rsid w:val="00464AB8"/>
    <w:rsid w:val="00464BCF"/>
    <w:rsid w:val="00465125"/>
    <w:rsid w:val="004651D4"/>
    <w:rsid w:val="00465394"/>
    <w:rsid w:val="00465A4D"/>
    <w:rsid w:val="00465AAB"/>
    <w:rsid w:val="00465BD0"/>
    <w:rsid w:val="00465DCA"/>
    <w:rsid w:val="0046611F"/>
    <w:rsid w:val="00466185"/>
    <w:rsid w:val="00466272"/>
    <w:rsid w:val="00466730"/>
    <w:rsid w:val="00466786"/>
    <w:rsid w:val="004671F2"/>
    <w:rsid w:val="00467292"/>
    <w:rsid w:val="00467305"/>
    <w:rsid w:val="0046740E"/>
    <w:rsid w:val="0046781C"/>
    <w:rsid w:val="00467F2C"/>
    <w:rsid w:val="00467F5C"/>
    <w:rsid w:val="00467FBD"/>
    <w:rsid w:val="0047029A"/>
    <w:rsid w:val="004704B5"/>
    <w:rsid w:val="0047071F"/>
    <w:rsid w:val="004708E3"/>
    <w:rsid w:val="00470AFB"/>
    <w:rsid w:val="00471291"/>
    <w:rsid w:val="004713CD"/>
    <w:rsid w:val="00471609"/>
    <w:rsid w:val="004718D9"/>
    <w:rsid w:val="00471C01"/>
    <w:rsid w:val="00471C8F"/>
    <w:rsid w:val="00471D39"/>
    <w:rsid w:val="0047204E"/>
    <w:rsid w:val="004721D1"/>
    <w:rsid w:val="004721D4"/>
    <w:rsid w:val="004725A2"/>
    <w:rsid w:val="00472777"/>
    <w:rsid w:val="004728EF"/>
    <w:rsid w:val="00472922"/>
    <w:rsid w:val="00472AC2"/>
    <w:rsid w:val="00472E49"/>
    <w:rsid w:val="004730EB"/>
    <w:rsid w:val="00473490"/>
    <w:rsid w:val="0047351C"/>
    <w:rsid w:val="0047359B"/>
    <w:rsid w:val="0047394D"/>
    <w:rsid w:val="00473B9E"/>
    <w:rsid w:val="00473C46"/>
    <w:rsid w:val="00473DB7"/>
    <w:rsid w:val="004743AB"/>
    <w:rsid w:val="004744A4"/>
    <w:rsid w:val="0047463F"/>
    <w:rsid w:val="00474EBC"/>
    <w:rsid w:val="00474F89"/>
    <w:rsid w:val="004754FC"/>
    <w:rsid w:val="00475B2D"/>
    <w:rsid w:val="00475E6D"/>
    <w:rsid w:val="00475EAF"/>
    <w:rsid w:val="00475F00"/>
    <w:rsid w:val="00475F0E"/>
    <w:rsid w:val="00475FF4"/>
    <w:rsid w:val="00476352"/>
    <w:rsid w:val="004767F3"/>
    <w:rsid w:val="004769C4"/>
    <w:rsid w:val="00476CD8"/>
    <w:rsid w:val="00476FDB"/>
    <w:rsid w:val="00476FE4"/>
    <w:rsid w:val="00477240"/>
    <w:rsid w:val="0047767B"/>
    <w:rsid w:val="0047772F"/>
    <w:rsid w:val="004777AB"/>
    <w:rsid w:val="00477C81"/>
    <w:rsid w:val="00477FAE"/>
    <w:rsid w:val="00480043"/>
    <w:rsid w:val="004800BA"/>
    <w:rsid w:val="004804D3"/>
    <w:rsid w:val="00480895"/>
    <w:rsid w:val="00480F71"/>
    <w:rsid w:val="004816F8"/>
    <w:rsid w:val="00481894"/>
    <w:rsid w:val="00481B3B"/>
    <w:rsid w:val="00481C75"/>
    <w:rsid w:val="00481CA5"/>
    <w:rsid w:val="00481F6E"/>
    <w:rsid w:val="00482ECE"/>
    <w:rsid w:val="00482F02"/>
    <w:rsid w:val="0048328A"/>
    <w:rsid w:val="00483342"/>
    <w:rsid w:val="004833D4"/>
    <w:rsid w:val="00483442"/>
    <w:rsid w:val="0048368E"/>
    <w:rsid w:val="00483858"/>
    <w:rsid w:val="004838CC"/>
    <w:rsid w:val="004838F4"/>
    <w:rsid w:val="00483B77"/>
    <w:rsid w:val="00483EC4"/>
    <w:rsid w:val="00483FE9"/>
    <w:rsid w:val="004840BF"/>
    <w:rsid w:val="004840E3"/>
    <w:rsid w:val="004841DC"/>
    <w:rsid w:val="004842A2"/>
    <w:rsid w:val="00484B3B"/>
    <w:rsid w:val="00484D90"/>
    <w:rsid w:val="004855B5"/>
    <w:rsid w:val="00485792"/>
    <w:rsid w:val="004857A9"/>
    <w:rsid w:val="00485C1E"/>
    <w:rsid w:val="00485CD7"/>
    <w:rsid w:val="00485D55"/>
    <w:rsid w:val="00485D9F"/>
    <w:rsid w:val="00485F81"/>
    <w:rsid w:val="004863BF"/>
    <w:rsid w:val="0048657F"/>
    <w:rsid w:val="00486637"/>
    <w:rsid w:val="004867D2"/>
    <w:rsid w:val="00486884"/>
    <w:rsid w:val="00486ADD"/>
    <w:rsid w:val="00486D18"/>
    <w:rsid w:val="00486D68"/>
    <w:rsid w:val="00486F64"/>
    <w:rsid w:val="00487045"/>
    <w:rsid w:val="00487658"/>
    <w:rsid w:val="004878D2"/>
    <w:rsid w:val="00487929"/>
    <w:rsid w:val="00487C9B"/>
    <w:rsid w:val="00490235"/>
    <w:rsid w:val="0049046D"/>
    <w:rsid w:val="00490699"/>
    <w:rsid w:val="004908D4"/>
    <w:rsid w:val="00490F13"/>
    <w:rsid w:val="004910FC"/>
    <w:rsid w:val="0049147C"/>
    <w:rsid w:val="0049150E"/>
    <w:rsid w:val="004915E7"/>
    <w:rsid w:val="004916EB"/>
    <w:rsid w:val="00491795"/>
    <w:rsid w:val="00491AFF"/>
    <w:rsid w:val="00491D3E"/>
    <w:rsid w:val="00491FDA"/>
    <w:rsid w:val="0049207E"/>
    <w:rsid w:val="004922E8"/>
    <w:rsid w:val="00492408"/>
    <w:rsid w:val="00492579"/>
    <w:rsid w:val="004926A5"/>
    <w:rsid w:val="00492751"/>
    <w:rsid w:val="0049287C"/>
    <w:rsid w:val="00492996"/>
    <w:rsid w:val="00492BA7"/>
    <w:rsid w:val="00492E1B"/>
    <w:rsid w:val="00492F5C"/>
    <w:rsid w:val="00492F77"/>
    <w:rsid w:val="00492FF5"/>
    <w:rsid w:val="00493046"/>
    <w:rsid w:val="00493662"/>
    <w:rsid w:val="004939A4"/>
    <w:rsid w:val="00493A9C"/>
    <w:rsid w:val="00493B5B"/>
    <w:rsid w:val="00493D3C"/>
    <w:rsid w:val="00494A30"/>
    <w:rsid w:val="00494CE3"/>
    <w:rsid w:val="00495071"/>
    <w:rsid w:val="004950D3"/>
    <w:rsid w:val="004954C8"/>
    <w:rsid w:val="0049554C"/>
    <w:rsid w:val="004955F8"/>
    <w:rsid w:val="00495922"/>
    <w:rsid w:val="00495971"/>
    <w:rsid w:val="00495A20"/>
    <w:rsid w:val="00495BA8"/>
    <w:rsid w:val="00495DD6"/>
    <w:rsid w:val="00495E84"/>
    <w:rsid w:val="00495FFA"/>
    <w:rsid w:val="004961AA"/>
    <w:rsid w:val="004962E2"/>
    <w:rsid w:val="00496679"/>
    <w:rsid w:val="00496B29"/>
    <w:rsid w:val="00496BAD"/>
    <w:rsid w:val="00496D4D"/>
    <w:rsid w:val="004974A8"/>
    <w:rsid w:val="004974D8"/>
    <w:rsid w:val="004977F4"/>
    <w:rsid w:val="00497AC6"/>
    <w:rsid w:val="00497C5D"/>
    <w:rsid w:val="00497FF4"/>
    <w:rsid w:val="004A00B4"/>
    <w:rsid w:val="004A0215"/>
    <w:rsid w:val="004A0241"/>
    <w:rsid w:val="004A04D2"/>
    <w:rsid w:val="004A0579"/>
    <w:rsid w:val="004A0892"/>
    <w:rsid w:val="004A09F7"/>
    <w:rsid w:val="004A0FB1"/>
    <w:rsid w:val="004A159A"/>
    <w:rsid w:val="004A15BE"/>
    <w:rsid w:val="004A1B5F"/>
    <w:rsid w:val="004A1EB0"/>
    <w:rsid w:val="004A23B4"/>
    <w:rsid w:val="004A309C"/>
    <w:rsid w:val="004A33AE"/>
    <w:rsid w:val="004A34D4"/>
    <w:rsid w:val="004A375E"/>
    <w:rsid w:val="004A37CE"/>
    <w:rsid w:val="004A3891"/>
    <w:rsid w:val="004A3929"/>
    <w:rsid w:val="004A3B2B"/>
    <w:rsid w:val="004A3C20"/>
    <w:rsid w:val="004A3CEF"/>
    <w:rsid w:val="004A40A8"/>
    <w:rsid w:val="004A4153"/>
    <w:rsid w:val="004A45A0"/>
    <w:rsid w:val="004A47C7"/>
    <w:rsid w:val="004A48B7"/>
    <w:rsid w:val="004A491D"/>
    <w:rsid w:val="004A49D6"/>
    <w:rsid w:val="004A4CA0"/>
    <w:rsid w:val="004A4CC5"/>
    <w:rsid w:val="004A4D5C"/>
    <w:rsid w:val="004A52D9"/>
    <w:rsid w:val="004A5536"/>
    <w:rsid w:val="004A5BF8"/>
    <w:rsid w:val="004A5CA4"/>
    <w:rsid w:val="004A5CCC"/>
    <w:rsid w:val="004A61AD"/>
    <w:rsid w:val="004A622F"/>
    <w:rsid w:val="004A654B"/>
    <w:rsid w:val="004A679A"/>
    <w:rsid w:val="004A67BF"/>
    <w:rsid w:val="004A6BC7"/>
    <w:rsid w:val="004A6D33"/>
    <w:rsid w:val="004A6D6C"/>
    <w:rsid w:val="004A6DD5"/>
    <w:rsid w:val="004A6F51"/>
    <w:rsid w:val="004A7589"/>
    <w:rsid w:val="004A7773"/>
    <w:rsid w:val="004A7A78"/>
    <w:rsid w:val="004A7C01"/>
    <w:rsid w:val="004A7EE8"/>
    <w:rsid w:val="004B00C6"/>
    <w:rsid w:val="004B0380"/>
    <w:rsid w:val="004B0577"/>
    <w:rsid w:val="004B0627"/>
    <w:rsid w:val="004B06BB"/>
    <w:rsid w:val="004B0879"/>
    <w:rsid w:val="004B08AB"/>
    <w:rsid w:val="004B0AA3"/>
    <w:rsid w:val="004B0B90"/>
    <w:rsid w:val="004B1209"/>
    <w:rsid w:val="004B141E"/>
    <w:rsid w:val="004B16C2"/>
    <w:rsid w:val="004B1767"/>
    <w:rsid w:val="004B1A34"/>
    <w:rsid w:val="004B1F93"/>
    <w:rsid w:val="004B231B"/>
    <w:rsid w:val="004B2BB7"/>
    <w:rsid w:val="004B3084"/>
    <w:rsid w:val="004B30A1"/>
    <w:rsid w:val="004B314F"/>
    <w:rsid w:val="004B3261"/>
    <w:rsid w:val="004B33B4"/>
    <w:rsid w:val="004B34A4"/>
    <w:rsid w:val="004B3542"/>
    <w:rsid w:val="004B35EF"/>
    <w:rsid w:val="004B3858"/>
    <w:rsid w:val="004B387F"/>
    <w:rsid w:val="004B3997"/>
    <w:rsid w:val="004B3BAC"/>
    <w:rsid w:val="004B41AE"/>
    <w:rsid w:val="004B41BA"/>
    <w:rsid w:val="004B42EF"/>
    <w:rsid w:val="004B4326"/>
    <w:rsid w:val="004B4795"/>
    <w:rsid w:val="004B48D7"/>
    <w:rsid w:val="004B49D6"/>
    <w:rsid w:val="004B4DFB"/>
    <w:rsid w:val="004B4EC5"/>
    <w:rsid w:val="004B5131"/>
    <w:rsid w:val="004B5136"/>
    <w:rsid w:val="004B51EA"/>
    <w:rsid w:val="004B5847"/>
    <w:rsid w:val="004B58CB"/>
    <w:rsid w:val="004B5A31"/>
    <w:rsid w:val="004B5B81"/>
    <w:rsid w:val="004B5BCD"/>
    <w:rsid w:val="004B5DD7"/>
    <w:rsid w:val="004B614D"/>
    <w:rsid w:val="004B63C9"/>
    <w:rsid w:val="004B64C2"/>
    <w:rsid w:val="004B65C6"/>
    <w:rsid w:val="004B67B9"/>
    <w:rsid w:val="004B6BA2"/>
    <w:rsid w:val="004B7179"/>
    <w:rsid w:val="004B7226"/>
    <w:rsid w:val="004B72D8"/>
    <w:rsid w:val="004B7530"/>
    <w:rsid w:val="004B7C74"/>
    <w:rsid w:val="004C0116"/>
    <w:rsid w:val="004C06A5"/>
    <w:rsid w:val="004C08E2"/>
    <w:rsid w:val="004C0909"/>
    <w:rsid w:val="004C0937"/>
    <w:rsid w:val="004C0C81"/>
    <w:rsid w:val="004C14E3"/>
    <w:rsid w:val="004C15C2"/>
    <w:rsid w:val="004C1931"/>
    <w:rsid w:val="004C1D01"/>
    <w:rsid w:val="004C1F58"/>
    <w:rsid w:val="004C1F91"/>
    <w:rsid w:val="004C2066"/>
    <w:rsid w:val="004C22B5"/>
    <w:rsid w:val="004C231E"/>
    <w:rsid w:val="004C24DD"/>
    <w:rsid w:val="004C26C2"/>
    <w:rsid w:val="004C2708"/>
    <w:rsid w:val="004C2DCC"/>
    <w:rsid w:val="004C2EEA"/>
    <w:rsid w:val="004C2FC4"/>
    <w:rsid w:val="004C3094"/>
    <w:rsid w:val="004C3164"/>
    <w:rsid w:val="004C35E0"/>
    <w:rsid w:val="004C3925"/>
    <w:rsid w:val="004C3AC0"/>
    <w:rsid w:val="004C3C6D"/>
    <w:rsid w:val="004C3D25"/>
    <w:rsid w:val="004C3E0B"/>
    <w:rsid w:val="004C40F3"/>
    <w:rsid w:val="004C447A"/>
    <w:rsid w:val="004C4B14"/>
    <w:rsid w:val="004C4BBE"/>
    <w:rsid w:val="004C4F85"/>
    <w:rsid w:val="004C5033"/>
    <w:rsid w:val="004C54A5"/>
    <w:rsid w:val="004C5557"/>
    <w:rsid w:val="004C57A3"/>
    <w:rsid w:val="004C634B"/>
    <w:rsid w:val="004C68B7"/>
    <w:rsid w:val="004C6C12"/>
    <w:rsid w:val="004C6C90"/>
    <w:rsid w:val="004C6CED"/>
    <w:rsid w:val="004C6E77"/>
    <w:rsid w:val="004C7043"/>
    <w:rsid w:val="004C71C2"/>
    <w:rsid w:val="004C71D5"/>
    <w:rsid w:val="004C7202"/>
    <w:rsid w:val="004C76F4"/>
    <w:rsid w:val="004C77F0"/>
    <w:rsid w:val="004C7BB5"/>
    <w:rsid w:val="004C7E99"/>
    <w:rsid w:val="004C7ECF"/>
    <w:rsid w:val="004D0065"/>
    <w:rsid w:val="004D012F"/>
    <w:rsid w:val="004D0204"/>
    <w:rsid w:val="004D04EB"/>
    <w:rsid w:val="004D069A"/>
    <w:rsid w:val="004D0BCE"/>
    <w:rsid w:val="004D10D3"/>
    <w:rsid w:val="004D16DD"/>
    <w:rsid w:val="004D1DA1"/>
    <w:rsid w:val="004D1E8A"/>
    <w:rsid w:val="004D1FF9"/>
    <w:rsid w:val="004D27A7"/>
    <w:rsid w:val="004D29CB"/>
    <w:rsid w:val="004D29FA"/>
    <w:rsid w:val="004D2CDD"/>
    <w:rsid w:val="004D3013"/>
    <w:rsid w:val="004D321F"/>
    <w:rsid w:val="004D3D07"/>
    <w:rsid w:val="004D3F20"/>
    <w:rsid w:val="004D4150"/>
    <w:rsid w:val="004D434D"/>
    <w:rsid w:val="004D4396"/>
    <w:rsid w:val="004D4564"/>
    <w:rsid w:val="004D46A4"/>
    <w:rsid w:val="004D4779"/>
    <w:rsid w:val="004D487A"/>
    <w:rsid w:val="004D4AD6"/>
    <w:rsid w:val="004D4E6E"/>
    <w:rsid w:val="004D4F57"/>
    <w:rsid w:val="004D5059"/>
    <w:rsid w:val="004D53D2"/>
    <w:rsid w:val="004D54C5"/>
    <w:rsid w:val="004D55BD"/>
    <w:rsid w:val="004D57BA"/>
    <w:rsid w:val="004D5839"/>
    <w:rsid w:val="004D5980"/>
    <w:rsid w:val="004D59CB"/>
    <w:rsid w:val="004D5AFA"/>
    <w:rsid w:val="004D5B86"/>
    <w:rsid w:val="004D6005"/>
    <w:rsid w:val="004D60D9"/>
    <w:rsid w:val="004D6264"/>
    <w:rsid w:val="004D6692"/>
    <w:rsid w:val="004D6777"/>
    <w:rsid w:val="004D6AC7"/>
    <w:rsid w:val="004D6C79"/>
    <w:rsid w:val="004D6F09"/>
    <w:rsid w:val="004D748F"/>
    <w:rsid w:val="004D758C"/>
    <w:rsid w:val="004D759A"/>
    <w:rsid w:val="004D7763"/>
    <w:rsid w:val="004D797C"/>
    <w:rsid w:val="004D7C95"/>
    <w:rsid w:val="004D7CFA"/>
    <w:rsid w:val="004D7D56"/>
    <w:rsid w:val="004E0108"/>
    <w:rsid w:val="004E02E7"/>
    <w:rsid w:val="004E03FD"/>
    <w:rsid w:val="004E0469"/>
    <w:rsid w:val="004E062E"/>
    <w:rsid w:val="004E0B32"/>
    <w:rsid w:val="004E15B6"/>
    <w:rsid w:val="004E1C88"/>
    <w:rsid w:val="004E1DBA"/>
    <w:rsid w:val="004E20AA"/>
    <w:rsid w:val="004E214E"/>
    <w:rsid w:val="004E233B"/>
    <w:rsid w:val="004E2477"/>
    <w:rsid w:val="004E2B57"/>
    <w:rsid w:val="004E2D64"/>
    <w:rsid w:val="004E2D6D"/>
    <w:rsid w:val="004E2F48"/>
    <w:rsid w:val="004E3379"/>
    <w:rsid w:val="004E345D"/>
    <w:rsid w:val="004E3C74"/>
    <w:rsid w:val="004E406D"/>
    <w:rsid w:val="004E424A"/>
    <w:rsid w:val="004E4689"/>
    <w:rsid w:val="004E4C35"/>
    <w:rsid w:val="004E4ECB"/>
    <w:rsid w:val="004E5276"/>
    <w:rsid w:val="004E5567"/>
    <w:rsid w:val="004E55E9"/>
    <w:rsid w:val="004E5731"/>
    <w:rsid w:val="004E5CA7"/>
    <w:rsid w:val="004E5E2A"/>
    <w:rsid w:val="004E5E40"/>
    <w:rsid w:val="004E61A4"/>
    <w:rsid w:val="004E62D7"/>
    <w:rsid w:val="004E6435"/>
    <w:rsid w:val="004E667B"/>
    <w:rsid w:val="004E6859"/>
    <w:rsid w:val="004E68D5"/>
    <w:rsid w:val="004E6DC2"/>
    <w:rsid w:val="004E737D"/>
    <w:rsid w:val="004E7A14"/>
    <w:rsid w:val="004E7ADE"/>
    <w:rsid w:val="004F0BF3"/>
    <w:rsid w:val="004F0C53"/>
    <w:rsid w:val="004F0CAA"/>
    <w:rsid w:val="004F0F41"/>
    <w:rsid w:val="004F0FD4"/>
    <w:rsid w:val="004F1232"/>
    <w:rsid w:val="004F1376"/>
    <w:rsid w:val="004F1404"/>
    <w:rsid w:val="004F1428"/>
    <w:rsid w:val="004F14E5"/>
    <w:rsid w:val="004F17F8"/>
    <w:rsid w:val="004F1AA7"/>
    <w:rsid w:val="004F1C31"/>
    <w:rsid w:val="004F2058"/>
    <w:rsid w:val="004F20EF"/>
    <w:rsid w:val="004F2146"/>
    <w:rsid w:val="004F2269"/>
    <w:rsid w:val="004F25E8"/>
    <w:rsid w:val="004F2884"/>
    <w:rsid w:val="004F2CD6"/>
    <w:rsid w:val="004F2F10"/>
    <w:rsid w:val="004F31C7"/>
    <w:rsid w:val="004F31EB"/>
    <w:rsid w:val="004F32A2"/>
    <w:rsid w:val="004F34E6"/>
    <w:rsid w:val="004F3587"/>
    <w:rsid w:val="004F35DE"/>
    <w:rsid w:val="004F39C4"/>
    <w:rsid w:val="004F3CB5"/>
    <w:rsid w:val="004F413B"/>
    <w:rsid w:val="004F4778"/>
    <w:rsid w:val="004F487A"/>
    <w:rsid w:val="004F4A41"/>
    <w:rsid w:val="004F4E11"/>
    <w:rsid w:val="004F4FA4"/>
    <w:rsid w:val="004F57BB"/>
    <w:rsid w:val="004F57D0"/>
    <w:rsid w:val="004F59BB"/>
    <w:rsid w:val="004F5E46"/>
    <w:rsid w:val="004F6053"/>
    <w:rsid w:val="004F6121"/>
    <w:rsid w:val="004F67BD"/>
    <w:rsid w:val="004F67F4"/>
    <w:rsid w:val="004F698C"/>
    <w:rsid w:val="004F6A19"/>
    <w:rsid w:val="004F6A63"/>
    <w:rsid w:val="004F6B9B"/>
    <w:rsid w:val="004F6DBA"/>
    <w:rsid w:val="004F6E05"/>
    <w:rsid w:val="004F6E20"/>
    <w:rsid w:val="004F75F3"/>
    <w:rsid w:val="004F7A10"/>
    <w:rsid w:val="004F7B3B"/>
    <w:rsid w:val="004F7C54"/>
    <w:rsid w:val="004F7FC6"/>
    <w:rsid w:val="005000D1"/>
    <w:rsid w:val="00500176"/>
    <w:rsid w:val="005001CD"/>
    <w:rsid w:val="00500289"/>
    <w:rsid w:val="00500290"/>
    <w:rsid w:val="0050034B"/>
    <w:rsid w:val="005003C2"/>
    <w:rsid w:val="005005C7"/>
    <w:rsid w:val="0050066E"/>
    <w:rsid w:val="0050077F"/>
    <w:rsid w:val="005007C4"/>
    <w:rsid w:val="005007F6"/>
    <w:rsid w:val="00500B4B"/>
    <w:rsid w:val="00500BAB"/>
    <w:rsid w:val="00500BB0"/>
    <w:rsid w:val="00500D91"/>
    <w:rsid w:val="00500DF7"/>
    <w:rsid w:val="00500E4F"/>
    <w:rsid w:val="00500F3C"/>
    <w:rsid w:val="00501247"/>
    <w:rsid w:val="00501278"/>
    <w:rsid w:val="005013F8"/>
    <w:rsid w:val="005015C5"/>
    <w:rsid w:val="0050163A"/>
    <w:rsid w:val="005016DE"/>
    <w:rsid w:val="00501734"/>
    <w:rsid w:val="005017B2"/>
    <w:rsid w:val="00501886"/>
    <w:rsid w:val="00501BDD"/>
    <w:rsid w:val="00501D09"/>
    <w:rsid w:val="00501FE1"/>
    <w:rsid w:val="0050231E"/>
    <w:rsid w:val="00502346"/>
    <w:rsid w:val="00502652"/>
    <w:rsid w:val="0050278D"/>
    <w:rsid w:val="00502CB2"/>
    <w:rsid w:val="00503389"/>
    <w:rsid w:val="00503610"/>
    <w:rsid w:val="00503BEA"/>
    <w:rsid w:val="00503C86"/>
    <w:rsid w:val="00504077"/>
    <w:rsid w:val="005040B2"/>
    <w:rsid w:val="00504253"/>
    <w:rsid w:val="0050429D"/>
    <w:rsid w:val="005044D9"/>
    <w:rsid w:val="0050459C"/>
    <w:rsid w:val="005046A6"/>
    <w:rsid w:val="00504F8C"/>
    <w:rsid w:val="0050523B"/>
    <w:rsid w:val="00505471"/>
    <w:rsid w:val="00505537"/>
    <w:rsid w:val="005058A9"/>
    <w:rsid w:val="00505950"/>
    <w:rsid w:val="00505AD4"/>
    <w:rsid w:val="00505C0D"/>
    <w:rsid w:val="00505E29"/>
    <w:rsid w:val="00505F2A"/>
    <w:rsid w:val="0050629C"/>
    <w:rsid w:val="00506624"/>
    <w:rsid w:val="00506863"/>
    <w:rsid w:val="00506A43"/>
    <w:rsid w:val="00506F9B"/>
    <w:rsid w:val="00507641"/>
    <w:rsid w:val="00507C1C"/>
    <w:rsid w:val="00507CC1"/>
    <w:rsid w:val="00507D61"/>
    <w:rsid w:val="005101A1"/>
    <w:rsid w:val="00510C08"/>
    <w:rsid w:val="005119C2"/>
    <w:rsid w:val="00511B70"/>
    <w:rsid w:val="00511BAD"/>
    <w:rsid w:val="00512020"/>
    <w:rsid w:val="005125BA"/>
    <w:rsid w:val="0051294B"/>
    <w:rsid w:val="00512A76"/>
    <w:rsid w:val="00512DC9"/>
    <w:rsid w:val="00512FAB"/>
    <w:rsid w:val="00513457"/>
    <w:rsid w:val="0051362C"/>
    <w:rsid w:val="00513806"/>
    <w:rsid w:val="00513B3C"/>
    <w:rsid w:val="00513DA6"/>
    <w:rsid w:val="00513DF1"/>
    <w:rsid w:val="005141DD"/>
    <w:rsid w:val="0051424C"/>
    <w:rsid w:val="0051443D"/>
    <w:rsid w:val="0051454B"/>
    <w:rsid w:val="005145AA"/>
    <w:rsid w:val="005149A9"/>
    <w:rsid w:val="00514C27"/>
    <w:rsid w:val="00514DB0"/>
    <w:rsid w:val="00514FCC"/>
    <w:rsid w:val="005150BC"/>
    <w:rsid w:val="005152B4"/>
    <w:rsid w:val="005156C2"/>
    <w:rsid w:val="005157E0"/>
    <w:rsid w:val="00515A2B"/>
    <w:rsid w:val="00516178"/>
    <w:rsid w:val="00516CC0"/>
    <w:rsid w:val="00516DD5"/>
    <w:rsid w:val="00516E03"/>
    <w:rsid w:val="00516E0E"/>
    <w:rsid w:val="00516E1D"/>
    <w:rsid w:val="00517284"/>
    <w:rsid w:val="005172A8"/>
    <w:rsid w:val="005175DC"/>
    <w:rsid w:val="00517605"/>
    <w:rsid w:val="00517ADD"/>
    <w:rsid w:val="00517CEE"/>
    <w:rsid w:val="0052011F"/>
    <w:rsid w:val="00520509"/>
    <w:rsid w:val="005205C4"/>
    <w:rsid w:val="00520682"/>
    <w:rsid w:val="00520F69"/>
    <w:rsid w:val="0052104D"/>
    <w:rsid w:val="00521304"/>
    <w:rsid w:val="0052134C"/>
    <w:rsid w:val="00521515"/>
    <w:rsid w:val="00521645"/>
    <w:rsid w:val="0052180E"/>
    <w:rsid w:val="00521921"/>
    <w:rsid w:val="00521D29"/>
    <w:rsid w:val="00521E80"/>
    <w:rsid w:val="00521EEF"/>
    <w:rsid w:val="00522072"/>
    <w:rsid w:val="0052235C"/>
    <w:rsid w:val="00522480"/>
    <w:rsid w:val="00522895"/>
    <w:rsid w:val="00522EA0"/>
    <w:rsid w:val="00523373"/>
    <w:rsid w:val="0052364C"/>
    <w:rsid w:val="00523748"/>
    <w:rsid w:val="00523821"/>
    <w:rsid w:val="0052409C"/>
    <w:rsid w:val="005241CF"/>
    <w:rsid w:val="00524330"/>
    <w:rsid w:val="0052452B"/>
    <w:rsid w:val="00524696"/>
    <w:rsid w:val="00524AC0"/>
    <w:rsid w:val="00524DE7"/>
    <w:rsid w:val="00524E4C"/>
    <w:rsid w:val="00524E4F"/>
    <w:rsid w:val="00524E8C"/>
    <w:rsid w:val="005250B6"/>
    <w:rsid w:val="00525114"/>
    <w:rsid w:val="0052511F"/>
    <w:rsid w:val="00525145"/>
    <w:rsid w:val="0052548F"/>
    <w:rsid w:val="00525700"/>
    <w:rsid w:val="00525A83"/>
    <w:rsid w:val="00525C4D"/>
    <w:rsid w:val="00525CEF"/>
    <w:rsid w:val="00525F7F"/>
    <w:rsid w:val="005260DE"/>
    <w:rsid w:val="005260FF"/>
    <w:rsid w:val="0052656A"/>
    <w:rsid w:val="00526808"/>
    <w:rsid w:val="00526B07"/>
    <w:rsid w:val="00526BE2"/>
    <w:rsid w:val="00526FE2"/>
    <w:rsid w:val="005271CC"/>
    <w:rsid w:val="00527237"/>
    <w:rsid w:val="005275B4"/>
    <w:rsid w:val="005275D8"/>
    <w:rsid w:val="00527805"/>
    <w:rsid w:val="00527903"/>
    <w:rsid w:val="00527B6F"/>
    <w:rsid w:val="00527EA7"/>
    <w:rsid w:val="00530051"/>
    <w:rsid w:val="005300AE"/>
    <w:rsid w:val="00530228"/>
    <w:rsid w:val="00530324"/>
    <w:rsid w:val="0053039B"/>
    <w:rsid w:val="0053058F"/>
    <w:rsid w:val="0053062D"/>
    <w:rsid w:val="005307A0"/>
    <w:rsid w:val="0053111D"/>
    <w:rsid w:val="0053165D"/>
    <w:rsid w:val="00531730"/>
    <w:rsid w:val="005318A9"/>
    <w:rsid w:val="00531A2F"/>
    <w:rsid w:val="00531ED4"/>
    <w:rsid w:val="00531F69"/>
    <w:rsid w:val="00531FC0"/>
    <w:rsid w:val="00532093"/>
    <w:rsid w:val="005322DF"/>
    <w:rsid w:val="005322E2"/>
    <w:rsid w:val="005322EE"/>
    <w:rsid w:val="00532BA6"/>
    <w:rsid w:val="00532BE1"/>
    <w:rsid w:val="00532EA6"/>
    <w:rsid w:val="00532EE4"/>
    <w:rsid w:val="00533353"/>
    <w:rsid w:val="005336B7"/>
    <w:rsid w:val="00533B6C"/>
    <w:rsid w:val="00533C8A"/>
    <w:rsid w:val="00534146"/>
    <w:rsid w:val="0053416B"/>
    <w:rsid w:val="00534899"/>
    <w:rsid w:val="0053497B"/>
    <w:rsid w:val="00534E82"/>
    <w:rsid w:val="00534FC8"/>
    <w:rsid w:val="0053502A"/>
    <w:rsid w:val="0053504F"/>
    <w:rsid w:val="00535244"/>
    <w:rsid w:val="005354C2"/>
    <w:rsid w:val="00535580"/>
    <w:rsid w:val="0053558F"/>
    <w:rsid w:val="005356BC"/>
    <w:rsid w:val="005356C3"/>
    <w:rsid w:val="00535718"/>
    <w:rsid w:val="0053573C"/>
    <w:rsid w:val="00535843"/>
    <w:rsid w:val="00535864"/>
    <w:rsid w:val="00535CF5"/>
    <w:rsid w:val="00535F58"/>
    <w:rsid w:val="005360EA"/>
    <w:rsid w:val="00536163"/>
    <w:rsid w:val="005363FF"/>
    <w:rsid w:val="0053651F"/>
    <w:rsid w:val="005365F0"/>
    <w:rsid w:val="00536843"/>
    <w:rsid w:val="00536960"/>
    <w:rsid w:val="00536D03"/>
    <w:rsid w:val="00536FDE"/>
    <w:rsid w:val="005376E1"/>
    <w:rsid w:val="0053795B"/>
    <w:rsid w:val="00537BA8"/>
    <w:rsid w:val="00537C97"/>
    <w:rsid w:val="00537DBD"/>
    <w:rsid w:val="00537DD3"/>
    <w:rsid w:val="00537F93"/>
    <w:rsid w:val="00537FDE"/>
    <w:rsid w:val="005402EB"/>
    <w:rsid w:val="00540BAB"/>
    <w:rsid w:val="00540CED"/>
    <w:rsid w:val="00540F0A"/>
    <w:rsid w:val="00540F8E"/>
    <w:rsid w:val="00541079"/>
    <w:rsid w:val="00541ED3"/>
    <w:rsid w:val="00541FB0"/>
    <w:rsid w:val="00542B33"/>
    <w:rsid w:val="00542EB9"/>
    <w:rsid w:val="00543020"/>
    <w:rsid w:val="005434E4"/>
    <w:rsid w:val="00543533"/>
    <w:rsid w:val="0054357B"/>
    <w:rsid w:val="00543FC6"/>
    <w:rsid w:val="00544020"/>
    <w:rsid w:val="00544721"/>
    <w:rsid w:val="0054474B"/>
    <w:rsid w:val="005449AA"/>
    <w:rsid w:val="00544A05"/>
    <w:rsid w:val="00544B4A"/>
    <w:rsid w:val="0054521C"/>
    <w:rsid w:val="0054528F"/>
    <w:rsid w:val="00545582"/>
    <w:rsid w:val="005455C2"/>
    <w:rsid w:val="005455E1"/>
    <w:rsid w:val="00545613"/>
    <w:rsid w:val="00545615"/>
    <w:rsid w:val="005456DF"/>
    <w:rsid w:val="005462D1"/>
    <w:rsid w:val="00546962"/>
    <w:rsid w:val="00547205"/>
    <w:rsid w:val="00547390"/>
    <w:rsid w:val="00547630"/>
    <w:rsid w:val="0054777A"/>
    <w:rsid w:val="00550458"/>
    <w:rsid w:val="005508AE"/>
    <w:rsid w:val="00550DF1"/>
    <w:rsid w:val="005511B8"/>
    <w:rsid w:val="005516CB"/>
    <w:rsid w:val="00551796"/>
    <w:rsid w:val="00551D75"/>
    <w:rsid w:val="0055243A"/>
    <w:rsid w:val="00552B51"/>
    <w:rsid w:val="00552C08"/>
    <w:rsid w:val="00552D89"/>
    <w:rsid w:val="00552DA1"/>
    <w:rsid w:val="00552E7A"/>
    <w:rsid w:val="00552F5D"/>
    <w:rsid w:val="00553079"/>
    <w:rsid w:val="00553201"/>
    <w:rsid w:val="005532F0"/>
    <w:rsid w:val="00553309"/>
    <w:rsid w:val="00553329"/>
    <w:rsid w:val="005537C8"/>
    <w:rsid w:val="00553AD5"/>
    <w:rsid w:val="00553BDC"/>
    <w:rsid w:val="0055481E"/>
    <w:rsid w:val="00554A78"/>
    <w:rsid w:val="00554E12"/>
    <w:rsid w:val="00554FD0"/>
    <w:rsid w:val="005556AA"/>
    <w:rsid w:val="00555A6D"/>
    <w:rsid w:val="00555BAC"/>
    <w:rsid w:val="00555D30"/>
    <w:rsid w:val="005562E3"/>
    <w:rsid w:val="005567A5"/>
    <w:rsid w:val="00556823"/>
    <w:rsid w:val="005568E7"/>
    <w:rsid w:val="00556B0E"/>
    <w:rsid w:val="00556B5D"/>
    <w:rsid w:val="00556BF2"/>
    <w:rsid w:val="0055715B"/>
    <w:rsid w:val="005572F8"/>
    <w:rsid w:val="005574EE"/>
    <w:rsid w:val="00557529"/>
    <w:rsid w:val="00557DFD"/>
    <w:rsid w:val="00560084"/>
    <w:rsid w:val="005600F0"/>
    <w:rsid w:val="00560487"/>
    <w:rsid w:val="005605BB"/>
    <w:rsid w:val="005607A5"/>
    <w:rsid w:val="00560915"/>
    <w:rsid w:val="005609EC"/>
    <w:rsid w:val="00560A6B"/>
    <w:rsid w:val="00560A6D"/>
    <w:rsid w:val="00560B10"/>
    <w:rsid w:val="00560EF7"/>
    <w:rsid w:val="005612DD"/>
    <w:rsid w:val="0056148B"/>
    <w:rsid w:val="005614DB"/>
    <w:rsid w:val="005614F3"/>
    <w:rsid w:val="00561584"/>
    <w:rsid w:val="005615A1"/>
    <w:rsid w:val="005615CA"/>
    <w:rsid w:val="00561AE2"/>
    <w:rsid w:val="00561DAB"/>
    <w:rsid w:val="0056207A"/>
    <w:rsid w:val="0056285D"/>
    <w:rsid w:val="00562909"/>
    <w:rsid w:val="00562B56"/>
    <w:rsid w:val="00562F3B"/>
    <w:rsid w:val="00563294"/>
    <w:rsid w:val="005633C9"/>
    <w:rsid w:val="005635B3"/>
    <w:rsid w:val="00563A7E"/>
    <w:rsid w:val="00563A92"/>
    <w:rsid w:val="00563E2F"/>
    <w:rsid w:val="00564129"/>
    <w:rsid w:val="00564343"/>
    <w:rsid w:val="005644CB"/>
    <w:rsid w:val="005648EE"/>
    <w:rsid w:val="00564B29"/>
    <w:rsid w:val="00564D3D"/>
    <w:rsid w:val="00564EEE"/>
    <w:rsid w:val="00565001"/>
    <w:rsid w:val="005650EA"/>
    <w:rsid w:val="005651B2"/>
    <w:rsid w:val="005654B2"/>
    <w:rsid w:val="0056557D"/>
    <w:rsid w:val="00565589"/>
    <w:rsid w:val="00565727"/>
    <w:rsid w:val="005657A7"/>
    <w:rsid w:val="00565A8C"/>
    <w:rsid w:val="00565D58"/>
    <w:rsid w:val="0056604B"/>
    <w:rsid w:val="00566618"/>
    <w:rsid w:val="00566A59"/>
    <w:rsid w:val="00566AB7"/>
    <w:rsid w:val="00566AEC"/>
    <w:rsid w:val="00566D3E"/>
    <w:rsid w:val="00566F4F"/>
    <w:rsid w:val="00566F7B"/>
    <w:rsid w:val="00567108"/>
    <w:rsid w:val="0056725D"/>
    <w:rsid w:val="00567665"/>
    <w:rsid w:val="00567713"/>
    <w:rsid w:val="00567853"/>
    <w:rsid w:val="005702C3"/>
    <w:rsid w:val="00570630"/>
    <w:rsid w:val="00570810"/>
    <w:rsid w:val="00570EB6"/>
    <w:rsid w:val="00570F6B"/>
    <w:rsid w:val="00570F9A"/>
    <w:rsid w:val="00571048"/>
    <w:rsid w:val="00571094"/>
    <w:rsid w:val="00571702"/>
    <w:rsid w:val="00571C67"/>
    <w:rsid w:val="00571E83"/>
    <w:rsid w:val="0057202D"/>
    <w:rsid w:val="00572FCA"/>
    <w:rsid w:val="00573328"/>
    <w:rsid w:val="0057351A"/>
    <w:rsid w:val="005738A6"/>
    <w:rsid w:val="00573969"/>
    <w:rsid w:val="005739BE"/>
    <w:rsid w:val="00573E9D"/>
    <w:rsid w:val="00573FB3"/>
    <w:rsid w:val="00574186"/>
    <w:rsid w:val="00574261"/>
    <w:rsid w:val="005742C8"/>
    <w:rsid w:val="00574B05"/>
    <w:rsid w:val="00574B7C"/>
    <w:rsid w:val="00574D71"/>
    <w:rsid w:val="0057517F"/>
    <w:rsid w:val="005756B3"/>
    <w:rsid w:val="00575820"/>
    <w:rsid w:val="00575859"/>
    <w:rsid w:val="00575FAC"/>
    <w:rsid w:val="00576383"/>
    <w:rsid w:val="00576386"/>
    <w:rsid w:val="005765C5"/>
    <w:rsid w:val="00576817"/>
    <w:rsid w:val="0057683A"/>
    <w:rsid w:val="00576876"/>
    <w:rsid w:val="00576B0F"/>
    <w:rsid w:val="00576BBD"/>
    <w:rsid w:val="00576C00"/>
    <w:rsid w:val="00576DEA"/>
    <w:rsid w:val="00576DEF"/>
    <w:rsid w:val="0057785C"/>
    <w:rsid w:val="005778FF"/>
    <w:rsid w:val="00577C9F"/>
    <w:rsid w:val="00580017"/>
    <w:rsid w:val="0058025E"/>
    <w:rsid w:val="0058054E"/>
    <w:rsid w:val="005807E6"/>
    <w:rsid w:val="00580B16"/>
    <w:rsid w:val="0058101D"/>
    <w:rsid w:val="005818D6"/>
    <w:rsid w:val="00581BF0"/>
    <w:rsid w:val="00582190"/>
    <w:rsid w:val="005821DD"/>
    <w:rsid w:val="0058236E"/>
    <w:rsid w:val="00582453"/>
    <w:rsid w:val="0058251F"/>
    <w:rsid w:val="00582C70"/>
    <w:rsid w:val="00582C7B"/>
    <w:rsid w:val="00582DAD"/>
    <w:rsid w:val="00583077"/>
    <w:rsid w:val="005830A4"/>
    <w:rsid w:val="00583274"/>
    <w:rsid w:val="00583727"/>
    <w:rsid w:val="00583BD3"/>
    <w:rsid w:val="00583CDB"/>
    <w:rsid w:val="0058429D"/>
    <w:rsid w:val="0058540E"/>
    <w:rsid w:val="00585418"/>
    <w:rsid w:val="005854F0"/>
    <w:rsid w:val="00585737"/>
    <w:rsid w:val="005857E1"/>
    <w:rsid w:val="00585836"/>
    <w:rsid w:val="00585A59"/>
    <w:rsid w:val="00585E5D"/>
    <w:rsid w:val="00585EF0"/>
    <w:rsid w:val="0058601F"/>
    <w:rsid w:val="00586147"/>
    <w:rsid w:val="005862DE"/>
    <w:rsid w:val="005863D5"/>
    <w:rsid w:val="00586C82"/>
    <w:rsid w:val="00586D3E"/>
    <w:rsid w:val="00586DC9"/>
    <w:rsid w:val="00586F35"/>
    <w:rsid w:val="00586F95"/>
    <w:rsid w:val="005870A5"/>
    <w:rsid w:val="005871FF"/>
    <w:rsid w:val="0058754F"/>
    <w:rsid w:val="00587697"/>
    <w:rsid w:val="0058770B"/>
    <w:rsid w:val="00587860"/>
    <w:rsid w:val="00587AFD"/>
    <w:rsid w:val="0059038A"/>
    <w:rsid w:val="0059055C"/>
    <w:rsid w:val="00590659"/>
    <w:rsid w:val="00590A7C"/>
    <w:rsid w:val="00590D6D"/>
    <w:rsid w:val="0059100D"/>
    <w:rsid w:val="005910DE"/>
    <w:rsid w:val="00591238"/>
    <w:rsid w:val="00591353"/>
    <w:rsid w:val="005920BB"/>
    <w:rsid w:val="0059258E"/>
    <w:rsid w:val="00592605"/>
    <w:rsid w:val="005927DD"/>
    <w:rsid w:val="00592DB6"/>
    <w:rsid w:val="00592FA4"/>
    <w:rsid w:val="005930C9"/>
    <w:rsid w:val="005932B1"/>
    <w:rsid w:val="00593446"/>
    <w:rsid w:val="00593A14"/>
    <w:rsid w:val="00593C04"/>
    <w:rsid w:val="00593DE7"/>
    <w:rsid w:val="00593F09"/>
    <w:rsid w:val="00593F8E"/>
    <w:rsid w:val="0059428D"/>
    <w:rsid w:val="005942E6"/>
    <w:rsid w:val="00594434"/>
    <w:rsid w:val="0059447A"/>
    <w:rsid w:val="005948C7"/>
    <w:rsid w:val="005949E8"/>
    <w:rsid w:val="00594ADD"/>
    <w:rsid w:val="00594B1C"/>
    <w:rsid w:val="00594BD1"/>
    <w:rsid w:val="00594C0F"/>
    <w:rsid w:val="00594EA2"/>
    <w:rsid w:val="00594F0B"/>
    <w:rsid w:val="005951A7"/>
    <w:rsid w:val="005951FF"/>
    <w:rsid w:val="00595230"/>
    <w:rsid w:val="00595398"/>
    <w:rsid w:val="0059569A"/>
    <w:rsid w:val="00595883"/>
    <w:rsid w:val="00595B46"/>
    <w:rsid w:val="00595BE6"/>
    <w:rsid w:val="00595C09"/>
    <w:rsid w:val="00595EBD"/>
    <w:rsid w:val="00595F14"/>
    <w:rsid w:val="00595F2B"/>
    <w:rsid w:val="0059602D"/>
    <w:rsid w:val="00596100"/>
    <w:rsid w:val="005964F0"/>
    <w:rsid w:val="00596D08"/>
    <w:rsid w:val="00596D2D"/>
    <w:rsid w:val="00596F1F"/>
    <w:rsid w:val="0059727D"/>
    <w:rsid w:val="005978F4"/>
    <w:rsid w:val="00597C9C"/>
    <w:rsid w:val="005A04CF"/>
    <w:rsid w:val="005A05FA"/>
    <w:rsid w:val="005A0EE2"/>
    <w:rsid w:val="005A0F8A"/>
    <w:rsid w:val="005A0FEE"/>
    <w:rsid w:val="005A1320"/>
    <w:rsid w:val="005A1A63"/>
    <w:rsid w:val="005A1BA5"/>
    <w:rsid w:val="005A1C92"/>
    <w:rsid w:val="005A1DCC"/>
    <w:rsid w:val="005A1E28"/>
    <w:rsid w:val="005A1F42"/>
    <w:rsid w:val="005A21FF"/>
    <w:rsid w:val="005A237B"/>
    <w:rsid w:val="005A23B9"/>
    <w:rsid w:val="005A2794"/>
    <w:rsid w:val="005A2817"/>
    <w:rsid w:val="005A299A"/>
    <w:rsid w:val="005A2D7D"/>
    <w:rsid w:val="005A33D9"/>
    <w:rsid w:val="005A3AC8"/>
    <w:rsid w:val="005A3B98"/>
    <w:rsid w:val="005A3D08"/>
    <w:rsid w:val="005A3E55"/>
    <w:rsid w:val="005A3F7A"/>
    <w:rsid w:val="005A431C"/>
    <w:rsid w:val="005A4346"/>
    <w:rsid w:val="005A43C8"/>
    <w:rsid w:val="005A4436"/>
    <w:rsid w:val="005A449C"/>
    <w:rsid w:val="005A44F6"/>
    <w:rsid w:val="005A47F8"/>
    <w:rsid w:val="005A4837"/>
    <w:rsid w:val="005A487F"/>
    <w:rsid w:val="005A48C6"/>
    <w:rsid w:val="005A4AD0"/>
    <w:rsid w:val="005A4D0D"/>
    <w:rsid w:val="005A4FEC"/>
    <w:rsid w:val="005A5971"/>
    <w:rsid w:val="005A5E94"/>
    <w:rsid w:val="005A5EC6"/>
    <w:rsid w:val="005A5ED3"/>
    <w:rsid w:val="005A60FC"/>
    <w:rsid w:val="005A6739"/>
    <w:rsid w:val="005A6AF6"/>
    <w:rsid w:val="005A6B99"/>
    <w:rsid w:val="005A6BF5"/>
    <w:rsid w:val="005A6E60"/>
    <w:rsid w:val="005A6F5F"/>
    <w:rsid w:val="005A73BE"/>
    <w:rsid w:val="005A7B9F"/>
    <w:rsid w:val="005A7C7C"/>
    <w:rsid w:val="005A7E77"/>
    <w:rsid w:val="005B05EB"/>
    <w:rsid w:val="005B076F"/>
    <w:rsid w:val="005B07D5"/>
    <w:rsid w:val="005B0B60"/>
    <w:rsid w:val="005B0F47"/>
    <w:rsid w:val="005B137F"/>
    <w:rsid w:val="005B1756"/>
    <w:rsid w:val="005B2263"/>
    <w:rsid w:val="005B26EC"/>
    <w:rsid w:val="005B29F0"/>
    <w:rsid w:val="005B2A35"/>
    <w:rsid w:val="005B2B25"/>
    <w:rsid w:val="005B2BF6"/>
    <w:rsid w:val="005B2F5D"/>
    <w:rsid w:val="005B30FE"/>
    <w:rsid w:val="005B3356"/>
    <w:rsid w:val="005B3700"/>
    <w:rsid w:val="005B39F2"/>
    <w:rsid w:val="005B405B"/>
    <w:rsid w:val="005B41AC"/>
    <w:rsid w:val="005B4779"/>
    <w:rsid w:val="005B4892"/>
    <w:rsid w:val="005B4CEB"/>
    <w:rsid w:val="005B4D99"/>
    <w:rsid w:val="005B50B0"/>
    <w:rsid w:val="005B5172"/>
    <w:rsid w:val="005B51FA"/>
    <w:rsid w:val="005B524C"/>
    <w:rsid w:val="005B5255"/>
    <w:rsid w:val="005B545B"/>
    <w:rsid w:val="005B5754"/>
    <w:rsid w:val="005B5FE6"/>
    <w:rsid w:val="005B6034"/>
    <w:rsid w:val="005B6329"/>
    <w:rsid w:val="005B6475"/>
    <w:rsid w:val="005B6536"/>
    <w:rsid w:val="005B6CD3"/>
    <w:rsid w:val="005B6CF2"/>
    <w:rsid w:val="005B6FE5"/>
    <w:rsid w:val="005B7067"/>
    <w:rsid w:val="005B7309"/>
    <w:rsid w:val="005B791C"/>
    <w:rsid w:val="005B7E9E"/>
    <w:rsid w:val="005B7EBE"/>
    <w:rsid w:val="005C000F"/>
    <w:rsid w:val="005C027A"/>
    <w:rsid w:val="005C02A2"/>
    <w:rsid w:val="005C03AC"/>
    <w:rsid w:val="005C046E"/>
    <w:rsid w:val="005C05C8"/>
    <w:rsid w:val="005C0829"/>
    <w:rsid w:val="005C0DC9"/>
    <w:rsid w:val="005C127B"/>
    <w:rsid w:val="005C141D"/>
    <w:rsid w:val="005C16CC"/>
    <w:rsid w:val="005C1C2D"/>
    <w:rsid w:val="005C1D83"/>
    <w:rsid w:val="005C1EAF"/>
    <w:rsid w:val="005C1F40"/>
    <w:rsid w:val="005C1F53"/>
    <w:rsid w:val="005C2161"/>
    <w:rsid w:val="005C22D5"/>
    <w:rsid w:val="005C2344"/>
    <w:rsid w:val="005C2F8C"/>
    <w:rsid w:val="005C3282"/>
    <w:rsid w:val="005C3804"/>
    <w:rsid w:val="005C3AFD"/>
    <w:rsid w:val="005C3C16"/>
    <w:rsid w:val="005C3DC2"/>
    <w:rsid w:val="005C3E79"/>
    <w:rsid w:val="005C3FAB"/>
    <w:rsid w:val="005C3FE8"/>
    <w:rsid w:val="005C46AE"/>
    <w:rsid w:val="005C48FF"/>
    <w:rsid w:val="005C4B5D"/>
    <w:rsid w:val="005C4E6F"/>
    <w:rsid w:val="005C5161"/>
    <w:rsid w:val="005C529A"/>
    <w:rsid w:val="005C5680"/>
    <w:rsid w:val="005C5EC7"/>
    <w:rsid w:val="005C60BA"/>
    <w:rsid w:val="005C618B"/>
    <w:rsid w:val="005C62E5"/>
    <w:rsid w:val="005C65E1"/>
    <w:rsid w:val="005C6A20"/>
    <w:rsid w:val="005C6EDC"/>
    <w:rsid w:val="005C7072"/>
    <w:rsid w:val="005C7402"/>
    <w:rsid w:val="005C7617"/>
    <w:rsid w:val="005C798A"/>
    <w:rsid w:val="005C7DD4"/>
    <w:rsid w:val="005C7FDD"/>
    <w:rsid w:val="005D06B0"/>
    <w:rsid w:val="005D0C1D"/>
    <w:rsid w:val="005D0CB8"/>
    <w:rsid w:val="005D0DBD"/>
    <w:rsid w:val="005D0F18"/>
    <w:rsid w:val="005D1053"/>
    <w:rsid w:val="005D13D9"/>
    <w:rsid w:val="005D1443"/>
    <w:rsid w:val="005D15BD"/>
    <w:rsid w:val="005D1819"/>
    <w:rsid w:val="005D1C26"/>
    <w:rsid w:val="005D1DB4"/>
    <w:rsid w:val="005D1E8D"/>
    <w:rsid w:val="005D211B"/>
    <w:rsid w:val="005D2391"/>
    <w:rsid w:val="005D2405"/>
    <w:rsid w:val="005D248B"/>
    <w:rsid w:val="005D2A01"/>
    <w:rsid w:val="005D2AD2"/>
    <w:rsid w:val="005D2C1B"/>
    <w:rsid w:val="005D2E0A"/>
    <w:rsid w:val="005D3185"/>
    <w:rsid w:val="005D32BB"/>
    <w:rsid w:val="005D35A9"/>
    <w:rsid w:val="005D3922"/>
    <w:rsid w:val="005D3EF8"/>
    <w:rsid w:val="005D4545"/>
    <w:rsid w:val="005D462F"/>
    <w:rsid w:val="005D4936"/>
    <w:rsid w:val="005D4966"/>
    <w:rsid w:val="005D4A4F"/>
    <w:rsid w:val="005D4DED"/>
    <w:rsid w:val="005D4FE8"/>
    <w:rsid w:val="005D53BB"/>
    <w:rsid w:val="005D54F2"/>
    <w:rsid w:val="005D56F2"/>
    <w:rsid w:val="005D58C7"/>
    <w:rsid w:val="005D58E0"/>
    <w:rsid w:val="005D5B0D"/>
    <w:rsid w:val="005D62DE"/>
    <w:rsid w:val="005D63F5"/>
    <w:rsid w:val="005D667B"/>
    <w:rsid w:val="005D678F"/>
    <w:rsid w:val="005D6939"/>
    <w:rsid w:val="005D6AF3"/>
    <w:rsid w:val="005D706A"/>
    <w:rsid w:val="005D7245"/>
    <w:rsid w:val="005D755B"/>
    <w:rsid w:val="005D767F"/>
    <w:rsid w:val="005D7688"/>
    <w:rsid w:val="005D7753"/>
    <w:rsid w:val="005D7C9A"/>
    <w:rsid w:val="005D7D17"/>
    <w:rsid w:val="005D7FD0"/>
    <w:rsid w:val="005E005E"/>
    <w:rsid w:val="005E00DB"/>
    <w:rsid w:val="005E030C"/>
    <w:rsid w:val="005E0634"/>
    <w:rsid w:val="005E0661"/>
    <w:rsid w:val="005E082A"/>
    <w:rsid w:val="005E092F"/>
    <w:rsid w:val="005E0DB2"/>
    <w:rsid w:val="005E11B7"/>
    <w:rsid w:val="005E1314"/>
    <w:rsid w:val="005E168B"/>
    <w:rsid w:val="005E16FB"/>
    <w:rsid w:val="005E1743"/>
    <w:rsid w:val="005E1889"/>
    <w:rsid w:val="005E1CD6"/>
    <w:rsid w:val="005E1F78"/>
    <w:rsid w:val="005E272E"/>
    <w:rsid w:val="005E27DD"/>
    <w:rsid w:val="005E2BE2"/>
    <w:rsid w:val="005E3090"/>
    <w:rsid w:val="005E3127"/>
    <w:rsid w:val="005E33B2"/>
    <w:rsid w:val="005E33CF"/>
    <w:rsid w:val="005E3454"/>
    <w:rsid w:val="005E35B2"/>
    <w:rsid w:val="005E3723"/>
    <w:rsid w:val="005E3AAC"/>
    <w:rsid w:val="005E3B4C"/>
    <w:rsid w:val="005E3FC9"/>
    <w:rsid w:val="005E45CA"/>
    <w:rsid w:val="005E47E7"/>
    <w:rsid w:val="005E498A"/>
    <w:rsid w:val="005E4D31"/>
    <w:rsid w:val="005E4F27"/>
    <w:rsid w:val="005E51B8"/>
    <w:rsid w:val="005E52C4"/>
    <w:rsid w:val="005E551E"/>
    <w:rsid w:val="005E57C6"/>
    <w:rsid w:val="005E5E5F"/>
    <w:rsid w:val="005E6125"/>
    <w:rsid w:val="005E62AB"/>
    <w:rsid w:val="005E639D"/>
    <w:rsid w:val="005E64D8"/>
    <w:rsid w:val="005E64EB"/>
    <w:rsid w:val="005E69FF"/>
    <w:rsid w:val="005E6DE8"/>
    <w:rsid w:val="005E6E45"/>
    <w:rsid w:val="005E6FB7"/>
    <w:rsid w:val="005E73B0"/>
    <w:rsid w:val="005E7493"/>
    <w:rsid w:val="005E759A"/>
    <w:rsid w:val="005E75F8"/>
    <w:rsid w:val="005E7939"/>
    <w:rsid w:val="005E7BF7"/>
    <w:rsid w:val="005E7C0A"/>
    <w:rsid w:val="005E7C80"/>
    <w:rsid w:val="005F027A"/>
    <w:rsid w:val="005F043E"/>
    <w:rsid w:val="005F0BC0"/>
    <w:rsid w:val="005F0BF6"/>
    <w:rsid w:val="005F0F5D"/>
    <w:rsid w:val="005F10D9"/>
    <w:rsid w:val="005F11E2"/>
    <w:rsid w:val="005F1399"/>
    <w:rsid w:val="005F15E4"/>
    <w:rsid w:val="005F168E"/>
    <w:rsid w:val="005F1A60"/>
    <w:rsid w:val="005F1AB5"/>
    <w:rsid w:val="005F1C64"/>
    <w:rsid w:val="005F1CC7"/>
    <w:rsid w:val="005F1DD2"/>
    <w:rsid w:val="005F21FE"/>
    <w:rsid w:val="005F23AD"/>
    <w:rsid w:val="005F25FB"/>
    <w:rsid w:val="005F2B23"/>
    <w:rsid w:val="005F2C06"/>
    <w:rsid w:val="005F2D95"/>
    <w:rsid w:val="005F2DDB"/>
    <w:rsid w:val="005F31E9"/>
    <w:rsid w:val="005F3233"/>
    <w:rsid w:val="005F3722"/>
    <w:rsid w:val="005F3B10"/>
    <w:rsid w:val="005F408B"/>
    <w:rsid w:val="005F4126"/>
    <w:rsid w:val="005F421F"/>
    <w:rsid w:val="005F461B"/>
    <w:rsid w:val="005F4694"/>
    <w:rsid w:val="005F4853"/>
    <w:rsid w:val="005F4B22"/>
    <w:rsid w:val="005F4C7D"/>
    <w:rsid w:val="005F4CC4"/>
    <w:rsid w:val="005F4E4A"/>
    <w:rsid w:val="005F4F8D"/>
    <w:rsid w:val="005F5085"/>
    <w:rsid w:val="005F54A6"/>
    <w:rsid w:val="005F5566"/>
    <w:rsid w:val="005F55EC"/>
    <w:rsid w:val="005F5698"/>
    <w:rsid w:val="005F576B"/>
    <w:rsid w:val="005F5841"/>
    <w:rsid w:val="005F59BB"/>
    <w:rsid w:val="005F5FB5"/>
    <w:rsid w:val="005F5FC4"/>
    <w:rsid w:val="005F6212"/>
    <w:rsid w:val="005F624E"/>
    <w:rsid w:val="005F6347"/>
    <w:rsid w:val="005F67E4"/>
    <w:rsid w:val="005F6C71"/>
    <w:rsid w:val="005F6C80"/>
    <w:rsid w:val="005F6E0C"/>
    <w:rsid w:val="005F6EE9"/>
    <w:rsid w:val="005F6FAF"/>
    <w:rsid w:val="005F7023"/>
    <w:rsid w:val="005F759D"/>
    <w:rsid w:val="005F75B4"/>
    <w:rsid w:val="005F761A"/>
    <w:rsid w:val="005F781F"/>
    <w:rsid w:val="005F78D4"/>
    <w:rsid w:val="005F7C7E"/>
    <w:rsid w:val="005F7D00"/>
    <w:rsid w:val="0060026B"/>
    <w:rsid w:val="0060027C"/>
    <w:rsid w:val="006002D3"/>
    <w:rsid w:val="006004B2"/>
    <w:rsid w:val="00600974"/>
    <w:rsid w:val="00600B4E"/>
    <w:rsid w:val="00600EEB"/>
    <w:rsid w:val="00601242"/>
    <w:rsid w:val="00601C79"/>
    <w:rsid w:val="006022EA"/>
    <w:rsid w:val="006025B7"/>
    <w:rsid w:val="0060287D"/>
    <w:rsid w:val="006031A7"/>
    <w:rsid w:val="006031AC"/>
    <w:rsid w:val="0060346C"/>
    <w:rsid w:val="00603597"/>
    <w:rsid w:val="006039CB"/>
    <w:rsid w:val="00603B10"/>
    <w:rsid w:val="00603B27"/>
    <w:rsid w:val="00603C71"/>
    <w:rsid w:val="00603D47"/>
    <w:rsid w:val="00603F75"/>
    <w:rsid w:val="00604075"/>
    <w:rsid w:val="006042EA"/>
    <w:rsid w:val="00604330"/>
    <w:rsid w:val="00604470"/>
    <w:rsid w:val="00604874"/>
    <w:rsid w:val="0060489E"/>
    <w:rsid w:val="006049BE"/>
    <w:rsid w:val="00604BE5"/>
    <w:rsid w:val="00605501"/>
    <w:rsid w:val="0060558D"/>
    <w:rsid w:val="006059E1"/>
    <w:rsid w:val="00605C18"/>
    <w:rsid w:val="0060659A"/>
    <w:rsid w:val="00606843"/>
    <w:rsid w:val="00606B0A"/>
    <w:rsid w:val="006071DC"/>
    <w:rsid w:val="006075F0"/>
    <w:rsid w:val="006079F8"/>
    <w:rsid w:val="00607B8C"/>
    <w:rsid w:val="00607CC9"/>
    <w:rsid w:val="00607D43"/>
    <w:rsid w:val="00607D48"/>
    <w:rsid w:val="006100F7"/>
    <w:rsid w:val="00610258"/>
    <w:rsid w:val="00610B96"/>
    <w:rsid w:val="00610EED"/>
    <w:rsid w:val="00610FFE"/>
    <w:rsid w:val="00611B30"/>
    <w:rsid w:val="00611D02"/>
    <w:rsid w:val="006120ED"/>
    <w:rsid w:val="006121FD"/>
    <w:rsid w:val="00612509"/>
    <w:rsid w:val="0061252B"/>
    <w:rsid w:val="0061289D"/>
    <w:rsid w:val="0061295F"/>
    <w:rsid w:val="00612E0F"/>
    <w:rsid w:val="00613278"/>
    <w:rsid w:val="0061334D"/>
    <w:rsid w:val="00613730"/>
    <w:rsid w:val="006139B2"/>
    <w:rsid w:val="00613D39"/>
    <w:rsid w:val="00613EC2"/>
    <w:rsid w:val="00614354"/>
    <w:rsid w:val="0061465B"/>
    <w:rsid w:val="00614663"/>
    <w:rsid w:val="006147D7"/>
    <w:rsid w:val="00614D72"/>
    <w:rsid w:val="006152E0"/>
    <w:rsid w:val="00615972"/>
    <w:rsid w:val="00615BC5"/>
    <w:rsid w:val="006161A7"/>
    <w:rsid w:val="00616203"/>
    <w:rsid w:val="006164CB"/>
    <w:rsid w:val="0061656F"/>
    <w:rsid w:val="00616802"/>
    <w:rsid w:val="00616CCA"/>
    <w:rsid w:val="00617285"/>
    <w:rsid w:val="00617875"/>
    <w:rsid w:val="006178B2"/>
    <w:rsid w:val="00617A16"/>
    <w:rsid w:val="00617C81"/>
    <w:rsid w:val="00617CA9"/>
    <w:rsid w:val="00617D8A"/>
    <w:rsid w:val="00617EDB"/>
    <w:rsid w:val="00620216"/>
    <w:rsid w:val="00620248"/>
    <w:rsid w:val="00620395"/>
    <w:rsid w:val="0062046A"/>
    <w:rsid w:val="00620602"/>
    <w:rsid w:val="00620A9B"/>
    <w:rsid w:val="00620AD0"/>
    <w:rsid w:val="00620C32"/>
    <w:rsid w:val="00620CBE"/>
    <w:rsid w:val="00620D4D"/>
    <w:rsid w:val="00620D66"/>
    <w:rsid w:val="0062110A"/>
    <w:rsid w:val="006212E5"/>
    <w:rsid w:val="00621453"/>
    <w:rsid w:val="006215BF"/>
    <w:rsid w:val="00621A7C"/>
    <w:rsid w:val="00621BFC"/>
    <w:rsid w:val="00621D5A"/>
    <w:rsid w:val="00621E98"/>
    <w:rsid w:val="00621F96"/>
    <w:rsid w:val="00622184"/>
    <w:rsid w:val="0062227F"/>
    <w:rsid w:val="006222F7"/>
    <w:rsid w:val="0062263E"/>
    <w:rsid w:val="00622780"/>
    <w:rsid w:val="0062307A"/>
    <w:rsid w:val="0062322B"/>
    <w:rsid w:val="00623344"/>
    <w:rsid w:val="00623507"/>
    <w:rsid w:val="0062404C"/>
    <w:rsid w:val="006243ED"/>
    <w:rsid w:val="00624619"/>
    <w:rsid w:val="00624654"/>
    <w:rsid w:val="006246F3"/>
    <w:rsid w:val="00624B9E"/>
    <w:rsid w:val="00624C89"/>
    <w:rsid w:val="00625015"/>
    <w:rsid w:val="0062502A"/>
    <w:rsid w:val="0062508E"/>
    <w:rsid w:val="00625174"/>
    <w:rsid w:val="00625456"/>
    <w:rsid w:val="00625519"/>
    <w:rsid w:val="00625AFA"/>
    <w:rsid w:val="00625BFB"/>
    <w:rsid w:val="00625DC0"/>
    <w:rsid w:val="00625FFB"/>
    <w:rsid w:val="00626314"/>
    <w:rsid w:val="00626EB6"/>
    <w:rsid w:val="00626EC6"/>
    <w:rsid w:val="0062710A"/>
    <w:rsid w:val="0062719D"/>
    <w:rsid w:val="006273A6"/>
    <w:rsid w:val="0062774F"/>
    <w:rsid w:val="00627808"/>
    <w:rsid w:val="00627904"/>
    <w:rsid w:val="00627909"/>
    <w:rsid w:val="00627D98"/>
    <w:rsid w:val="0063010F"/>
    <w:rsid w:val="00630336"/>
    <w:rsid w:val="00630ABE"/>
    <w:rsid w:val="00630C01"/>
    <w:rsid w:val="00630C8F"/>
    <w:rsid w:val="00630CAE"/>
    <w:rsid w:val="006310D0"/>
    <w:rsid w:val="00631353"/>
    <w:rsid w:val="00631372"/>
    <w:rsid w:val="006316CA"/>
    <w:rsid w:val="00631B2E"/>
    <w:rsid w:val="00631BB0"/>
    <w:rsid w:val="006321F5"/>
    <w:rsid w:val="006325DE"/>
    <w:rsid w:val="0063269E"/>
    <w:rsid w:val="00632851"/>
    <w:rsid w:val="006328F6"/>
    <w:rsid w:val="00632E53"/>
    <w:rsid w:val="006331D5"/>
    <w:rsid w:val="00633210"/>
    <w:rsid w:val="00633234"/>
    <w:rsid w:val="00633273"/>
    <w:rsid w:val="00633490"/>
    <w:rsid w:val="00633835"/>
    <w:rsid w:val="00633CED"/>
    <w:rsid w:val="00633CF6"/>
    <w:rsid w:val="00633D6B"/>
    <w:rsid w:val="00634014"/>
    <w:rsid w:val="00634554"/>
    <w:rsid w:val="006345C9"/>
    <w:rsid w:val="0063479D"/>
    <w:rsid w:val="00634957"/>
    <w:rsid w:val="00634962"/>
    <w:rsid w:val="00634A4C"/>
    <w:rsid w:val="00634A68"/>
    <w:rsid w:val="00634AE0"/>
    <w:rsid w:val="00634B89"/>
    <w:rsid w:val="00634C5F"/>
    <w:rsid w:val="006350DD"/>
    <w:rsid w:val="00635138"/>
    <w:rsid w:val="0063540E"/>
    <w:rsid w:val="0063561F"/>
    <w:rsid w:val="0063580E"/>
    <w:rsid w:val="00635896"/>
    <w:rsid w:val="00635FEC"/>
    <w:rsid w:val="006365B3"/>
    <w:rsid w:val="00636A5E"/>
    <w:rsid w:val="00636F9B"/>
    <w:rsid w:val="006373BF"/>
    <w:rsid w:val="006379B9"/>
    <w:rsid w:val="00640323"/>
    <w:rsid w:val="00640523"/>
    <w:rsid w:val="006405AB"/>
    <w:rsid w:val="006405FB"/>
    <w:rsid w:val="0064066A"/>
    <w:rsid w:val="006406D4"/>
    <w:rsid w:val="00640710"/>
    <w:rsid w:val="00640BDF"/>
    <w:rsid w:val="00640CEC"/>
    <w:rsid w:val="00640D6A"/>
    <w:rsid w:val="00640E0B"/>
    <w:rsid w:val="00640EFC"/>
    <w:rsid w:val="006410C1"/>
    <w:rsid w:val="006410F3"/>
    <w:rsid w:val="00641604"/>
    <w:rsid w:val="0064163C"/>
    <w:rsid w:val="006417C4"/>
    <w:rsid w:val="00641BF3"/>
    <w:rsid w:val="00641E98"/>
    <w:rsid w:val="00641F2C"/>
    <w:rsid w:val="00642094"/>
    <w:rsid w:val="00642474"/>
    <w:rsid w:val="00642AE3"/>
    <w:rsid w:val="00642F6F"/>
    <w:rsid w:val="00643357"/>
    <w:rsid w:val="006433B4"/>
    <w:rsid w:val="006433B9"/>
    <w:rsid w:val="0064364B"/>
    <w:rsid w:val="0064365A"/>
    <w:rsid w:val="00643688"/>
    <w:rsid w:val="00643773"/>
    <w:rsid w:val="00643AD3"/>
    <w:rsid w:val="00644904"/>
    <w:rsid w:val="00644C85"/>
    <w:rsid w:val="006450E6"/>
    <w:rsid w:val="0064522A"/>
    <w:rsid w:val="006453A0"/>
    <w:rsid w:val="006454F8"/>
    <w:rsid w:val="006459D8"/>
    <w:rsid w:val="00645A5D"/>
    <w:rsid w:val="00645A78"/>
    <w:rsid w:val="00645D82"/>
    <w:rsid w:val="00645F2E"/>
    <w:rsid w:val="00645FAB"/>
    <w:rsid w:val="00646406"/>
    <w:rsid w:val="006464CD"/>
    <w:rsid w:val="0064660F"/>
    <w:rsid w:val="00646659"/>
    <w:rsid w:val="006467F0"/>
    <w:rsid w:val="00646858"/>
    <w:rsid w:val="00646B2F"/>
    <w:rsid w:val="00646D16"/>
    <w:rsid w:val="006470FC"/>
    <w:rsid w:val="006472E8"/>
    <w:rsid w:val="006472FD"/>
    <w:rsid w:val="0064748D"/>
    <w:rsid w:val="00647734"/>
    <w:rsid w:val="006477CD"/>
    <w:rsid w:val="00647BAE"/>
    <w:rsid w:val="00647D9C"/>
    <w:rsid w:val="006502A3"/>
    <w:rsid w:val="006506E0"/>
    <w:rsid w:val="006506EF"/>
    <w:rsid w:val="00650BE1"/>
    <w:rsid w:val="00650D12"/>
    <w:rsid w:val="00650F24"/>
    <w:rsid w:val="00650FEC"/>
    <w:rsid w:val="006515BB"/>
    <w:rsid w:val="006518F1"/>
    <w:rsid w:val="00651975"/>
    <w:rsid w:val="00651F31"/>
    <w:rsid w:val="00651FA6"/>
    <w:rsid w:val="0065211C"/>
    <w:rsid w:val="00652466"/>
    <w:rsid w:val="00652876"/>
    <w:rsid w:val="006528B6"/>
    <w:rsid w:val="00652991"/>
    <w:rsid w:val="00652AE8"/>
    <w:rsid w:val="00652B8B"/>
    <w:rsid w:val="00652C05"/>
    <w:rsid w:val="00653199"/>
    <w:rsid w:val="00653C1E"/>
    <w:rsid w:val="00653CB1"/>
    <w:rsid w:val="00653D12"/>
    <w:rsid w:val="00654367"/>
    <w:rsid w:val="006544F2"/>
    <w:rsid w:val="00654971"/>
    <w:rsid w:val="00654C8F"/>
    <w:rsid w:val="00654C9F"/>
    <w:rsid w:val="00654FFB"/>
    <w:rsid w:val="006551E6"/>
    <w:rsid w:val="0065543E"/>
    <w:rsid w:val="00655630"/>
    <w:rsid w:val="00655683"/>
    <w:rsid w:val="006556D2"/>
    <w:rsid w:val="00655781"/>
    <w:rsid w:val="006559AC"/>
    <w:rsid w:val="006559CD"/>
    <w:rsid w:val="00655D80"/>
    <w:rsid w:val="00655DCB"/>
    <w:rsid w:val="00656015"/>
    <w:rsid w:val="006562CB"/>
    <w:rsid w:val="00656616"/>
    <w:rsid w:val="006569E8"/>
    <w:rsid w:val="00656CC3"/>
    <w:rsid w:val="00656D2B"/>
    <w:rsid w:val="00656F9E"/>
    <w:rsid w:val="00657350"/>
    <w:rsid w:val="00657357"/>
    <w:rsid w:val="006573B7"/>
    <w:rsid w:val="006575DF"/>
    <w:rsid w:val="0065790D"/>
    <w:rsid w:val="00657D59"/>
    <w:rsid w:val="00657D95"/>
    <w:rsid w:val="0066024E"/>
    <w:rsid w:val="00660265"/>
    <w:rsid w:val="006603CD"/>
    <w:rsid w:val="00660459"/>
    <w:rsid w:val="006604B1"/>
    <w:rsid w:val="006604BD"/>
    <w:rsid w:val="006605D4"/>
    <w:rsid w:val="0066061B"/>
    <w:rsid w:val="0066077D"/>
    <w:rsid w:val="006608A1"/>
    <w:rsid w:val="006608F7"/>
    <w:rsid w:val="006616A8"/>
    <w:rsid w:val="00661835"/>
    <w:rsid w:val="00661D9A"/>
    <w:rsid w:val="006624B2"/>
    <w:rsid w:val="006626E8"/>
    <w:rsid w:val="00662FC0"/>
    <w:rsid w:val="00662FFB"/>
    <w:rsid w:val="006630AF"/>
    <w:rsid w:val="00663123"/>
    <w:rsid w:val="00663273"/>
    <w:rsid w:val="006633AA"/>
    <w:rsid w:val="006635CB"/>
    <w:rsid w:val="006644EA"/>
    <w:rsid w:val="00664501"/>
    <w:rsid w:val="00664554"/>
    <w:rsid w:val="00664BDD"/>
    <w:rsid w:val="00664E61"/>
    <w:rsid w:val="00665595"/>
    <w:rsid w:val="006656BD"/>
    <w:rsid w:val="00665982"/>
    <w:rsid w:val="00665987"/>
    <w:rsid w:val="006659A7"/>
    <w:rsid w:val="006659E7"/>
    <w:rsid w:val="00665A05"/>
    <w:rsid w:val="006661CE"/>
    <w:rsid w:val="0066620E"/>
    <w:rsid w:val="0066650A"/>
    <w:rsid w:val="00666957"/>
    <w:rsid w:val="00666A29"/>
    <w:rsid w:val="00666B5E"/>
    <w:rsid w:val="00666C05"/>
    <w:rsid w:val="00666C30"/>
    <w:rsid w:val="00667189"/>
    <w:rsid w:val="0066760E"/>
    <w:rsid w:val="0066788A"/>
    <w:rsid w:val="006678A0"/>
    <w:rsid w:val="00667928"/>
    <w:rsid w:val="00667D4E"/>
    <w:rsid w:val="00667EF5"/>
    <w:rsid w:val="00667F5C"/>
    <w:rsid w:val="00667F97"/>
    <w:rsid w:val="006714BA"/>
    <w:rsid w:val="0067163F"/>
    <w:rsid w:val="00671B73"/>
    <w:rsid w:val="00671BD8"/>
    <w:rsid w:val="00671E46"/>
    <w:rsid w:val="00671EFF"/>
    <w:rsid w:val="0067228E"/>
    <w:rsid w:val="006723EF"/>
    <w:rsid w:val="006724F7"/>
    <w:rsid w:val="0067288E"/>
    <w:rsid w:val="00672AD6"/>
    <w:rsid w:val="00672B74"/>
    <w:rsid w:val="006730A0"/>
    <w:rsid w:val="00673313"/>
    <w:rsid w:val="00673E48"/>
    <w:rsid w:val="00674542"/>
    <w:rsid w:val="006746A3"/>
    <w:rsid w:val="00674D42"/>
    <w:rsid w:val="006757DB"/>
    <w:rsid w:val="00675864"/>
    <w:rsid w:val="00675921"/>
    <w:rsid w:val="0067593F"/>
    <w:rsid w:val="00675BBF"/>
    <w:rsid w:val="00675D81"/>
    <w:rsid w:val="00675DE7"/>
    <w:rsid w:val="00675E62"/>
    <w:rsid w:val="00675EB6"/>
    <w:rsid w:val="00675FF0"/>
    <w:rsid w:val="0067623B"/>
    <w:rsid w:val="006768EA"/>
    <w:rsid w:val="00676BF3"/>
    <w:rsid w:val="00676E53"/>
    <w:rsid w:val="0067723A"/>
    <w:rsid w:val="00677433"/>
    <w:rsid w:val="006776D1"/>
    <w:rsid w:val="006776DE"/>
    <w:rsid w:val="006777C6"/>
    <w:rsid w:val="00677C2E"/>
    <w:rsid w:val="00677CE9"/>
    <w:rsid w:val="00677DB3"/>
    <w:rsid w:val="00677EB7"/>
    <w:rsid w:val="00677F7C"/>
    <w:rsid w:val="00680377"/>
    <w:rsid w:val="00680416"/>
    <w:rsid w:val="00680777"/>
    <w:rsid w:val="006807E9"/>
    <w:rsid w:val="00680865"/>
    <w:rsid w:val="00680A19"/>
    <w:rsid w:val="00680DB9"/>
    <w:rsid w:val="00680F88"/>
    <w:rsid w:val="00681297"/>
    <w:rsid w:val="00681588"/>
    <w:rsid w:val="006817EF"/>
    <w:rsid w:val="00681B88"/>
    <w:rsid w:val="00681BD3"/>
    <w:rsid w:val="00681EE9"/>
    <w:rsid w:val="00681F10"/>
    <w:rsid w:val="00681FB5"/>
    <w:rsid w:val="006823D5"/>
    <w:rsid w:val="0068247E"/>
    <w:rsid w:val="00682589"/>
    <w:rsid w:val="00682678"/>
    <w:rsid w:val="00682BDC"/>
    <w:rsid w:val="00682D10"/>
    <w:rsid w:val="00682E02"/>
    <w:rsid w:val="006831E1"/>
    <w:rsid w:val="00683297"/>
    <w:rsid w:val="00683423"/>
    <w:rsid w:val="00683444"/>
    <w:rsid w:val="006837CD"/>
    <w:rsid w:val="00683BFA"/>
    <w:rsid w:val="00683C8A"/>
    <w:rsid w:val="006848B5"/>
    <w:rsid w:val="006848F9"/>
    <w:rsid w:val="00684CB8"/>
    <w:rsid w:val="00684E5F"/>
    <w:rsid w:val="00684E62"/>
    <w:rsid w:val="00684E9E"/>
    <w:rsid w:val="00684ED5"/>
    <w:rsid w:val="0068507F"/>
    <w:rsid w:val="006850B4"/>
    <w:rsid w:val="0068523F"/>
    <w:rsid w:val="0068572B"/>
    <w:rsid w:val="00685C17"/>
    <w:rsid w:val="00685C52"/>
    <w:rsid w:val="006864BE"/>
    <w:rsid w:val="0068668C"/>
    <w:rsid w:val="006868B1"/>
    <w:rsid w:val="0068696F"/>
    <w:rsid w:val="00686E48"/>
    <w:rsid w:val="00687203"/>
    <w:rsid w:val="0068761C"/>
    <w:rsid w:val="00687664"/>
    <w:rsid w:val="00687B23"/>
    <w:rsid w:val="00687C98"/>
    <w:rsid w:val="00687E31"/>
    <w:rsid w:val="006901B3"/>
    <w:rsid w:val="006901BC"/>
    <w:rsid w:val="006901D0"/>
    <w:rsid w:val="0069086D"/>
    <w:rsid w:val="006908FF"/>
    <w:rsid w:val="0069090E"/>
    <w:rsid w:val="00690D37"/>
    <w:rsid w:val="00690D60"/>
    <w:rsid w:val="00691120"/>
    <w:rsid w:val="00691250"/>
    <w:rsid w:val="0069137D"/>
    <w:rsid w:val="006915F4"/>
    <w:rsid w:val="00691770"/>
    <w:rsid w:val="006917D9"/>
    <w:rsid w:val="0069187A"/>
    <w:rsid w:val="006918D6"/>
    <w:rsid w:val="006918F8"/>
    <w:rsid w:val="0069197E"/>
    <w:rsid w:val="00691985"/>
    <w:rsid w:val="006921AF"/>
    <w:rsid w:val="006923B8"/>
    <w:rsid w:val="006928ED"/>
    <w:rsid w:val="006929A7"/>
    <w:rsid w:val="00692A00"/>
    <w:rsid w:val="00692B57"/>
    <w:rsid w:val="00693411"/>
    <w:rsid w:val="0069348D"/>
    <w:rsid w:val="006937EF"/>
    <w:rsid w:val="00693AB9"/>
    <w:rsid w:val="00693B15"/>
    <w:rsid w:val="00693BC9"/>
    <w:rsid w:val="00693D54"/>
    <w:rsid w:val="00693DB0"/>
    <w:rsid w:val="00693DFA"/>
    <w:rsid w:val="00693EB4"/>
    <w:rsid w:val="00693EDA"/>
    <w:rsid w:val="00693F47"/>
    <w:rsid w:val="00693F98"/>
    <w:rsid w:val="00694222"/>
    <w:rsid w:val="006943CD"/>
    <w:rsid w:val="00694648"/>
    <w:rsid w:val="00694A0F"/>
    <w:rsid w:val="00694E50"/>
    <w:rsid w:val="00694F81"/>
    <w:rsid w:val="00695040"/>
    <w:rsid w:val="006950D9"/>
    <w:rsid w:val="00695236"/>
    <w:rsid w:val="006952FE"/>
    <w:rsid w:val="00695CB3"/>
    <w:rsid w:val="00695DB2"/>
    <w:rsid w:val="00695DBB"/>
    <w:rsid w:val="00696D59"/>
    <w:rsid w:val="00696E5B"/>
    <w:rsid w:val="00696F1D"/>
    <w:rsid w:val="0069736B"/>
    <w:rsid w:val="006975CE"/>
    <w:rsid w:val="006976C9"/>
    <w:rsid w:val="0069798C"/>
    <w:rsid w:val="00697D6B"/>
    <w:rsid w:val="00697F73"/>
    <w:rsid w:val="006A0093"/>
    <w:rsid w:val="006A009C"/>
    <w:rsid w:val="006A0210"/>
    <w:rsid w:val="006A02FB"/>
    <w:rsid w:val="006A0620"/>
    <w:rsid w:val="006A0AA2"/>
    <w:rsid w:val="006A15EE"/>
    <w:rsid w:val="006A1B6B"/>
    <w:rsid w:val="006A1F0B"/>
    <w:rsid w:val="006A1FB5"/>
    <w:rsid w:val="006A20A5"/>
    <w:rsid w:val="006A243D"/>
    <w:rsid w:val="006A2E71"/>
    <w:rsid w:val="006A2F1A"/>
    <w:rsid w:val="006A2FB1"/>
    <w:rsid w:val="006A30EF"/>
    <w:rsid w:val="006A31FE"/>
    <w:rsid w:val="006A3292"/>
    <w:rsid w:val="006A3593"/>
    <w:rsid w:val="006A386F"/>
    <w:rsid w:val="006A38D2"/>
    <w:rsid w:val="006A3928"/>
    <w:rsid w:val="006A3A02"/>
    <w:rsid w:val="006A3A5C"/>
    <w:rsid w:val="006A3AFB"/>
    <w:rsid w:val="006A3B20"/>
    <w:rsid w:val="006A3EE7"/>
    <w:rsid w:val="006A4693"/>
    <w:rsid w:val="006A4D97"/>
    <w:rsid w:val="006A4EED"/>
    <w:rsid w:val="006A4EEE"/>
    <w:rsid w:val="006A5170"/>
    <w:rsid w:val="006A5877"/>
    <w:rsid w:val="006A58DE"/>
    <w:rsid w:val="006A5B40"/>
    <w:rsid w:val="006A5CA8"/>
    <w:rsid w:val="006A5CFE"/>
    <w:rsid w:val="006A5D3B"/>
    <w:rsid w:val="006A5E7C"/>
    <w:rsid w:val="006A6202"/>
    <w:rsid w:val="006A6452"/>
    <w:rsid w:val="006A6828"/>
    <w:rsid w:val="006A6A56"/>
    <w:rsid w:val="006A6A7F"/>
    <w:rsid w:val="006A6BFD"/>
    <w:rsid w:val="006A6E43"/>
    <w:rsid w:val="006A6E9A"/>
    <w:rsid w:val="006A6F5E"/>
    <w:rsid w:val="006A6FB0"/>
    <w:rsid w:val="006A7461"/>
    <w:rsid w:val="006A75B4"/>
    <w:rsid w:val="006A7734"/>
    <w:rsid w:val="006A7794"/>
    <w:rsid w:val="006A79F9"/>
    <w:rsid w:val="006A7A45"/>
    <w:rsid w:val="006A7D0D"/>
    <w:rsid w:val="006A7E4C"/>
    <w:rsid w:val="006B002B"/>
    <w:rsid w:val="006B0311"/>
    <w:rsid w:val="006B043B"/>
    <w:rsid w:val="006B091C"/>
    <w:rsid w:val="006B0AF9"/>
    <w:rsid w:val="006B0EEC"/>
    <w:rsid w:val="006B11DF"/>
    <w:rsid w:val="006B137A"/>
    <w:rsid w:val="006B1656"/>
    <w:rsid w:val="006B1BBB"/>
    <w:rsid w:val="006B1DAE"/>
    <w:rsid w:val="006B2114"/>
    <w:rsid w:val="006B232A"/>
    <w:rsid w:val="006B31A5"/>
    <w:rsid w:val="006B33F5"/>
    <w:rsid w:val="006B3524"/>
    <w:rsid w:val="006B37A2"/>
    <w:rsid w:val="006B3948"/>
    <w:rsid w:val="006B3978"/>
    <w:rsid w:val="006B3C86"/>
    <w:rsid w:val="006B3E23"/>
    <w:rsid w:val="006B3EA3"/>
    <w:rsid w:val="006B4160"/>
    <w:rsid w:val="006B4171"/>
    <w:rsid w:val="006B4397"/>
    <w:rsid w:val="006B4579"/>
    <w:rsid w:val="006B4C04"/>
    <w:rsid w:val="006B4DDF"/>
    <w:rsid w:val="006B532C"/>
    <w:rsid w:val="006B55BE"/>
    <w:rsid w:val="006B5851"/>
    <w:rsid w:val="006B6185"/>
    <w:rsid w:val="006B6368"/>
    <w:rsid w:val="006B6B13"/>
    <w:rsid w:val="006B71B0"/>
    <w:rsid w:val="006B757D"/>
    <w:rsid w:val="006B75A7"/>
    <w:rsid w:val="006B77B2"/>
    <w:rsid w:val="006B786A"/>
    <w:rsid w:val="006B7D14"/>
    <w:rsid w:val="006B7FD0"/>
    <w:rsid w:val="006C00F0"/>
    <w:rsid w:val="006C03E5"/>
    <w:rsid w:val="006C045F"/>
    <w:rsid w:val="006C04E7"/>
    <w:rsid w:val="006C0504"/>
    <w:rsid w:val="006C0542"/>
    <w:rsid w:val="006C0570"/>
    <w:rsid w:val="006C059D"/>
    <w:rsid w:val="006C0850"/>
    <w:rsid w:val="006C0A67"/>
    <w:rsid w:val="006C0D4C"/>
    <w:rsid w:val="006C0DA2"/>
    <w:rsid w:val="006C0DF8"/>
    <w:rsid w:val="006C0FCB"/>
    <w:rsid w:val="006C166B"/>
    <w:rsid w:val="006C18AE"/>
    <w:rsid w:val="006C1AE6"/>
    <w:rsid w:val="006C1F6E"/>
    <w:rsid w:val="006C2406"/>
    <w:rsid w:val="006C2622"/>
    <w:rsid w:val="006C2811"/>
    <w:rsid w:val="006C2A39"/>
    <w:rsid w:val="006C2A53"/>
    <w:rsid w:val="006C2A6A"/>
    <w:rsid w:val="006C35FB"/>
    <w:rsid w:val="006C3828"/>
    <w:rsid w:val="006C39BA"/>
    <w:rsid w:val="006C3BBF"/>
    <w:rsid w:val="006C3D8C"/>
    <w:rsid w:val="006C3FCB"/>
    <w:rsid w:val="006C407B"/>
    <w:rsid w:val="006C43CA"/>
    <w:rsid w:val="006C4A2C"/>
    <w:rsid w:val="006C4AA6"/>
    <w:rsid w:val="006C4AAC"/>
    <w:rsid w:val="006C4B76"/>
    <w:rsid w:val="006C505B"/>
    <w:rsid w:val="006C509C"/>
    <w:rsid w:val="006C5166"/>
    <w:rsid w:val="006C5579"/>
    <w:rsid w:val="006C5628"/>
    <w:rsid w:val="006C5A51"/>
    <w:rsid w:val="006C5B13"/>
    <w:rsid w:val="006C5EF9"/>
    <w:rsid w:val="006C6037"/>
    <w:rsid w:val="006C62AA"/>
    <w:rsid w:val="006C62F1"/>
    <w:rsid w:val="006C6686"/>
    <w:rsid w:val="006C6732"/>
    <w:rsid w:val="006C6839"/>
    <w:rsid w:val="006C68B7"/>
    <w:rsid w:val="006C6A5C"/>
    <w:rsid w:val="006C6AEF"/>
    <w:rsid w:val="006C70EB"/>
    <w:rsid w:val="006C72E7"/>
    <w:rsid w:val="006C7535"/>
    <w:rsid w:val="006C7947"/>
    <w:rsid w:val="006C7A07"/>
    <w:rsid w:val="006C7C2A"/>
    <w:rsid w:val="006D02EC"/>
    <w:rsid w:val="006D0449"/>
    <w:rsid w:val="006D0593"/>
    <w:rsid w:val="006D069A"/>
    <w:rsid w:val="006D070C"/>
    <w:rsid w:val="006D09F7"/>
    <w:rsid w:val="006D0DAA"/>
    <w:rsid w:val="006D0E94"/>
    <w:rsid w:val="006D12CF"/>
    <w:rsid w:val="006D164D"/>
    <w:rsid w:val="006D17C4"/>
    <w:rsid w:val="006D180A"/>
    <w:rsid w:val="006D1EBE"/>
    <w:rsid w:val="006D1F19"/>
    <w:rsid w:val="006D2216"/>
    <w:rsid w:val="006D2777"/>
    <w:rsid w:val="006D29D5"/>
    <w:rsid w:val="006D2E8B"/>
    <w:rsid w:val="006D35F9"/>
    <w:rsid w:val="006D37BF"/>
    <w:rsid w:val="006D382E"/>
    <w:rsid w:val="006D3F70"/>
    <w:rsid w:val="006D3FDD"/>
    <w:rsid w:val="006D4050"/>
    <w:rsid w:val="006D42BC"/>
    <w:rsid w:val="006D4350"/>
    <w:rsid w:val="006D4366"/>
    <w:rsid w:val="006D4398"/>
    <w:rsid w:val="006D44C5"/>
    <w:rsid w:val="006D45EC"/>
    <w:rsid w:val="006D4708"/>
    <w:rsid w:val="006D4833"/>
    <w:rsid w:val="006D4840"/>
    <w:rsid w:val="006D4AD5"/>
    <w:rsid w:val="006D4DBA"/>
    <w:rsid w:val="006D4F8F"/>
    <w:rsid w:val="006D50FB"/>
    <w:rsid w:val="006D5231"/>
    <w:rsid w:val="006D5249"/>
    <w:rsid w:val="006D535C"/>
    <w:rsid w:val="006D5438"/>
    <w:rsid w:val="006D54E2"/>
    <w:rsid w:val="006D555B"/>
    <w:rsid w:val="006D57A7"/>
    <w:rsid w:val="006D5AFC"/>
    <w:rsid w:val="006D5B02"/>
    <w:rsid w:val="006D5B6E"/>
    <w:rsid w:val="006D5D1A"/>
    <w:rsid w:val="006D5EA8"/>
    <w:rsid w:val="006D629C"/>
    <w:rsid w:val="006D63E6"/>
    <w:rsid w:val="006D6C6C"/>
    <w:rsid w:val="006D6E77"/>
    <w:rsid w:val="006D72AF"/>
    <w:rsid w:val="006D7440"/>
    <w:rsid w:val="006D7D09"/>
    <w:rsid w:val="006D7D22"/>
    <w:rsid w:val="006D7ED4"/>
    <w:rsid w:val="006E0124"/>
    <w:rsid w:val="006E03A5"/>
    <w:rsid w:val="006E05B3"/>
    <w:rsid w:val="006E0943"/>
    <w:rsid w:val="006E0C16"/>
    <w:rsid w:val="006E0D40"/>
    <w:rsid w:val="006E0D62"/>
    <w:rsid w:val="006E0D66"/>
    <w:rsid w:val="006E0F41"/>
    <w:rsid w:val="006E0F6D"/>
    <w:rsid w:val="006E131C"/>
    <w:rsid w:val="006E1357"/>
    <w:rsid w:val="006E14E7"/>
    <w:rsid w:val="006E19D0"/>
    <w:rsid w:val="006E1B28"/>
    <w:rsid w:val="006E1CFF"/>
    <w:rsid w:val="006E2013"/>
    <w:rsid w:val="006E205A"/>
    <w:rsid w:val="006E218E"/>
    <w:rsid w:val="006E23F7"/>
    <w:rsid w:val="006E249E"/>
    <w:rsid w:val="006E263A"/>
    <w:rsid w:val="006E2774"/>
    <w:rsid w:val="006E29B4"/>
    <w:rsid w:val="006E2AF1"/>
    <w:rsid w:val="006E2DBF"/>
    <w:rsid w:val="006E2DD4"/>
    <w:rsid w:val="006E2EB4"/>
    <w:rsid w:val="006E2EFC"/>
    <w:rsid w:val="006E310A"/>
    <w:rsid w:val="006E3136"/>
    <w:rsid w:val="006E334F"/>
    <w:rsid w:val="006E33B9"/>
    <w:rsid w:val="006E380B"/>
    <w:rsid w:val="006E3C7A"/>
    <w:rsid w:val="006E3DDD"/>
    <w:rsid w:val="006E3E58"/>
    <w:rsid w:val="006E3FC7"/>
    <w:rsid w:val="006E4003"/>
    <w:rsid w:val="006E4089"/>
    <w:rsid w:val="006E40EF"/>
    <w:rsid w:val="006E45A8"/>
    <w:rsid w:val="006E47BA"/>
    <w:rsid w:val="006E47DF"/>
    <w:rsid w:val="006E4A85"/>
    <w:rsid w:val="006E4CF3"/>
    <w:rsid w:val="006E508E"/>
    <w:rsid w:val="006E5109"/>
    <w:rsid w:val="006E51F5"/>
    <w:rsid w:val="006E5255"/>
    <w:rsid w:val="006E53F6"/>
    <w:rsid w:val="006E5550"/>
    <w:rsid w:val="006E5791"/>
    <w:rsid w:val="006E5797"/>
    <w:rsid w:val="006E5BB2"/>
    <w:rsid w:val="006E607F"/>
    <w:rsid w:val="006E617F"/>
    <w:rsid w:val="006E6394"/>
    <w:rsid w:val="006E6582"/>
    <w:rsid w:val="006E666F"/>
    <w:rsid w:val="006E6768"/>
    <w:rsid w:val="006E6936"/>
    <w:rsid w:val="006E6C13"/>
    <w:rsid w:val="006E6C79"/>
    <w:rsid w:val="006E70C6"/>
    <w:rsid w:val="006E72A3"/>
    <w:rsid w:val="006E74FB"/>
    <w:rsid w:val="006E7622"/>
    <w:rsid w:val="006E7784"/>
    <w:rsid w:val="006E7EAB"/>
    <w:rsid w:val="006F0698"/>
    <w:rsid w:val="006F0860"/>
    <w:rsid w:val="006F0A33"/>
    <w:rsid w:val="006F0BD8"/>
    <w:rsid w:val="006F11C4"/>
    <w:rsid w:val="006F14B4"/>
    <w:rsid w:val="006F173C"/>
    <w:rsid w:val="006F1962"/>
    <w:rsid w:val="006F20D8"/>
    <w:rsid w:val="006F24A0"/>
    <w:rsid w:val="006F273C"/>
    <w:rsid w:val="006F278A"/>
    <w:rsid w:val="006F28C0"/>
    <w:rsid w:val="006F2CED"/>
    <w:rsid w:val="006F2F05"/>
    <w:rsid w:val="006F3021"/>
    <w:rsid w:val="006F307D"/>
    <w:rsid w:val="006F3126"/>
    <w:rsid w:val="006F325A"/>
    <w:rsid w:val="006F3403"/>
    <w:rsid w:val="006F353F"/>
    <w:rsid w:val="006F3595"/>
    <w:rsid w:val="006F3C41"/>
    <w:rsid w:val="006F3CAD"/>
    <w:rsid w:val="006F4283"/>
    <w:rsid w:val="006F466F"/>
    <w:rsid w:val="006F4A42"/>
    <w:rsid w:val="006F4B89"/>
    <w:rsid w:val="006F4C13"/>
    <w:rsid w:val="006F50BE"/>
    <w:rsid w:val="006F5177"/>
    <w:rsid w:val="006F537A"/>
    <w:rsid w:val="006F5771"/>
    <w:rsid w:val="006F5D72"/>
    <w:rsid w:val="006F68B7"/>
    <w:rsid w:val="006F68C3"/>
    <w:rsid w:val="006F6C50"/>
    <w:rsid w:val="006F6DD1"/>
    <w:rsid w:val="006F7600"/>
    <w:rsid w:val="006F769A"/>
    <w:rsid w:val="006F7C74"/>
    <w:rsid w:val="006F7F10"/>
    <w:rsid w:val="006F7F62"/>
    <w:rsid w:val="00700773"/>
    <w:rsid w:val="00700AE1"/>
    <w:rsid w:val="00700D1E"/>
    <w:rsid w:val="00700E56"/>
    <w:rsid w:val="007012FF"/>
    <w:rsid w:val="0070142A"/>
    <w:rsid w:val="007017A3"/>
    <w:rsid w:val="007017C4"/>
    <w:rsid w:val="007019BF"/>
    <w:rsid w:val="00701B7D"/>
    <w:rsid w:val="00701CCF"/>
    <w:rsid w:val="00701E77"/>
    <w:rsid w:val="007020BF"/>
    <w:rsid w:val="007021DC"/>
    <w:rsid w:val="00702DD9"/>
    <w:rsid w:val="00702DF6"/>
    <w:rsid w:val="00702F29"/>
    <w:rsid w:val="00703201"/>
    <w:rsid w:val="00703507"/>
    <w:rsid w:val="00703746"/>
    <w:rsid w:val="007038E4"/>
    <w:rsid w:val="00703DB4"/>
    <w:rsid w:val="00703F39"/>
    <w:rsid w:val="00704010"/>
    <w:rsid w:val="007040A3"/>
    <w:rsid w:val="007040A4"/>
    <w:rsid w:val="00704147"/>
    <w:rsid w:val="00704201"/>
    <w:rsid w:val="00704307"/>
    <w:rsid w:val="00704838"/>
    <w:rsid w:val="00704DE7"/>
    <w:rsid w:val="007050A2"/>
    <w:rsid w:val="00705359"/>
    <w:rsid w:val="00705751"/>
    <w:rsid w:val="00705846"/>
    <w:rsid w:val="0070589D"/>
    <w:rsid w:val="007059E2"/>
    <w:rsid w:val="007061A9"/>
    <w:rsid w:val="00706296"/>
    <w:rsid w:val="007065D3"/>
    <w:rsid w:val="00706806"/>
    <w:rsid w:val="00706891"/>
    <w:rsid w:val="00706AA6"/>
    <w:rsid w:val="00706CA5"/>
    <w:rsid w:val="007074C1"/>
    <w:rsid w:val="00707747"/>
    <w:rsid w:val="00707817"/>
    <w:rsid w:val="00707DB6"/>
    <w:rsid w:val="007102F2"/>
    <w:rsid w:val="00710B54"/>
    <w:rsid w:val="0071101B"/>
    <w:rsid w:val="00711194"/>
    <w:rsid w:val="007113CC"/>
    <w:rsid w:val="00711452"/>
    <w:rsid w:val="007117F8"/>
    <w:rsid w:val="007118A6"/>
    <w:rsid w:val="007119A6"/>
    <w:rsid w:val="00711C4E"/>
    <w:rsid w:val="00711C51"/>
    <w:rsid w:val="00711F3C"/>
    <w:rsid w:val="0071280A"/>
    <w:rsid w:val="007128B9"/>
    <w:rsid w:val="00712944"/>
    <w:rsid w:val="007135F6"/>
    <w:rsid w:val="00713815"/>
    <w:rsid w:val="0071397A"/>
    <w:rsid w:val="00713B78"/>
    <w:rsid w:val="00714111"/>
    <w:rsid w:val="007144A2"/>
    <w:rsid w:val="007145DA"/>
    <w:rsid w:val="00714632"/>
    <w:rsid w:val="00714DB8"/>
    <w:rsid w:val="0071575A"/>
    <w:rsid w:val="0071584B"/>
    <w:rsid w:val="00715DE1"/>
    <w:rsid w:val="00715F1E"/>
    <w:rsid w:val="0071642B"/>
    <w:rsid w:val="007167EE"/>
    <w:rsid w:val="00716944"/>
    <w:rsid w:val="0071697C"/>
    <w:rsid w:val="007169ED"/>
    <w:rsid w:val="00716A68"/>
    <w:rsid w:val="00716B90"/>
    <w:rsid w:val="0071748C"/>
    <w:rsid w:val="00717795"/>
    <w:rsid w:val="00717800"/>
    <w:rsid w:val="0071785F"/>
    <w:rsid w:val="007178B8"/>
    <w:rsid w:val="00717D66"/>
    <w:rsid w:val="0072001B"/>
    <w:rsid w:val="007203DA"/>
    <w:rsid w:val="0072046F"/>
    <w:rsid w:val="0072051A"/>
    <w:rsid w:val="00720890"/>
    <w:rsid w:val="007209B7"/>
    <w:rsid w:val="00720BC4"/>
    <w:rsid w:val="00721541"/>
    <w:rsid w:val="0072159F"/>
    <w:rsid w:val="007219E1"/>
    <w:rsid w:val="00721B47"/>
    <w:rsid w:val="00721B85"/>
    <w:rsid w:val="00721E59"/>
    <w:rsid w:val="00722135"/>
    <w:rsid w:val="00722372"/>
    <w:rsid w:val="007224AE"/>
    <w:rsid w:val="0072278F"/>
    <w:rsid w:val="00722853"/>
    <w:rsid w:val="007228CD"/>
    <w:rsid w:val="00722B1B"/>
    <w:rsid w:val="00722E50"/>
    <w:rsid w:val="00722FCF"/>
    <w:rsid w:val="00723269"/>
    <w:rsid w:val="0072369D"/>
    <w:rsid w:val="00723814"/>
    <w:rsid w:val="00723944"/>
    <w:rsid w:val="00723CFE"/>
    <w:rsid w:val="00723F11"/>
    <w:rsid w:val="00723FA0"/>
    <w:rsid w:val="0072406E"/>
    <w:rsid w:val="007240DF"/>
    <w:rsid w:val="00724146"/>
    <w:rsid w:val="00724340"/>
    <w:rsid w:val="007243A7"/>
    <w:rsid w:val="007246EA"/>
    <w:rsid w:val="0072499D"/>
    <w:rsid w:val="00724E18"/>
    <w:rsid w:val="00724FDE"/>
    <w:rsid w:val="007251AE"/>
    <w:rsid w:val="0072520C"/>
    <w:rsid w:val="00725468"/>
    <w:rsid w:val="00725B5A"/>
    <w:rsid w:val="00725CEC"/>
    <w:rsid w:val="00725F85"/>
    <w:rsid w:val="00726089"/>
    <w:rsid w:val="007260C3"/>
    <w:rsid w:val="007264DD"/>
    <w:rsid w:val="007268EA"/>
    <w:rsid w:val="00726F67"/>
    <w:rsid w:val="00727673"/>
    <w:rsid w:val="00727A45"/>
    <w:rsid w:val="00727F30"/>
    <w:rsid w:val="00730004"/>
    <w:rsid w:val="007306CF"/>
    <w:rsid w:val="00730849"/>
    <w:rsid w:val="0073085B"/>
    <w:rsid w:val="00730AC1"/>
    <w:rsid w:val="00730CA0"/>
    <w:rsid w:val="00730CB4"/>
    <w:rsid w:val="00730EBE"/>
    <w:rsid w:val="00730FB1"/>
    <w:rsid w:val="007313F4"/>
    <w:rsid w:val="00731B57"/>
    <w:rsid w:val="00731CB1"/>
    <w:rsid w:val="00731EAB"/>
    <w:rsid w:val="007324CB"/>
    <w:rsid w:val="00732C1A"/>
    <w:rsid w:val="007339BE"/>
    <w:rsid w:val="007341CA"/>
    <w:rsid w:val="0073429E"/>
    <w:rsid w:val="0073430C"/>
    <w:rsid w:val="00734522"/>
    <w:rsid w:val="0073478C"/>
    <w:rsid w:val="00734B8F"/>
    <w:rsid w:val="00734F00"/>
    <w:rsid w:val="0073516B"/>
    <w:rsid w:val="0073525C"/>
    <w:rsid w:val="00735293"/>
    <w:rsid w:val="007354B7"/>
    <w:rsid w:val="00735548"/>
    <w:rsid w:val="00735690"/>
    <w:rsid w:val="007356EA"/>
    <w:rsid w:val="00735865"/>
    <w:rsid w:val="00735898"/>
    <w:rsid w:val="00735A1F"/>
    <w:rsid w:val="00735B20"/>
    <w:rsid w:val="00735D22"/>
    <w:rsid w:val="00735DA6"/>
    <w:rsid w:val="007363BA"/>
    <w:rsid w:val="007363F7"/>
    <w:rsid w:val="0073739B"/>
    <w:rsid w:val="0073768C"/>
    <w:rsid w:val="00737E43"/>
    <w:rsid w:val="00737F95"/>
    <w:rsid w:val="00737FF3"/>
    <w:rsid w:val="00740413"/>
    <w:rsid w:val="00740561"/>
    <w:rsid w:val="007407C1"/>
    <w:rsid w:val="00740BE3"/>
    <w:rsid w:val="00740FF3"/>
    <w:rsid w:val="007410A5"/>
    <w:rsid w:val="0074116F"/>
    <w:rsid w:val="0074196B"/>
    <w:rsid w:val="0074204C"/>
    <w:rsid w:val="00742232"/>
    <w:rsid w:val="00742264"/>
    <w:rsid w:val="0074256E"/>
    <w:rsid w:val="00742848"/>
    <w:rsid w:val="00742AB4"/>
    <w:rsid w:val="00742EEF"/>
    <w:rsid w:val="007439D3"/>
    <w:rsid w:val="007439E7"/>
    <w:rsid w:val="00743BFC"/>
    <w:rsid w:val="00744089"/>
    <w:rsid w:val="007444D4"/>
    <w:rsid w:val="00744AA7"/>
    <w:rsid w:val="00745566"/>
    <w:rsid w:val="007456A3"/>
    <w:rsid w:val="00745BE8"/>
    <w:rsid w:val="00745DD9"/>
    <w:rsid w:val="00745DE0"/>
    <w:rsid w:val="00745E0E"/>
    <w:rsid w:val="0074618A"/>
    <w:rsid w:val="00746325"/>
    <w:rsid w:val="00746519"/>
    <w:rsid w:val="00746837"/>
    <w:rsid w:val="0074712B"/>
    <w:rsid w:val="00747142"/>
    <w:rsid w:val="0074741A"/>
    <w:rsid w:val="007474F5"/>
    <w:rsid w:val="007475AF"/>
    <w:rsid w:val="0074772C"/>
    <w:rsid w:val="00747855"/>
    <w:rsid w:val="0074787F"/>
    <w:rsid w:val="00747B42"/>
    <w:rsid w:val="00747D6A"/>
    <w:rsid w:val="0075006F"/>
    <w:rsid w:val="007500B1"/>
    <w:rsid w:val="00750242"/>
    <w:rsid w:val="00750420"/>
    <w:rsid w:val="0075076E"/>
    <w:rsid w:val="00750888"/>
    <w:rsid w:val="00750A1A"/>
    <w:rsid w:val="00750B4F"/>
    <w:rsid w:val="00750C7C"/>
    <w:rsid w:val="00750D4A"/>
    <w:rsid w:val="00750F4D"/>
    <w:rsid w:val="0075103E"/>
    <w:rsid w:val="00751051"/>
    <w:rsid w:val="0075152B"/>
    <w:rsid w:val="00751578"/>
    <w:rsid w:val="007518AD"/>
    <w:rsid w:val="00752081"/>
    <w:rsid w:val="00752573"/>
    <w:rsid w:val="00752845"/>
    <w:rsid w:val="00752D51"/>
    <w:rsid w:val="00752F58"/>
    <w:rsid w:val="007530B7"/>
    <w:rsid w:val="00753164"/>
    <w:rsid w:val="00753177"/>
    <w:rsid w:val="00753ACC"/>
    <w:rsid w:val="00753C44"/>
    <w:rsid w:val="00753CD7"/>
    <w:rsid w:val="007540CA"/>
    <w:rsid w:val="0075420D"/>
    <w:rsid w:val="0075433B"/>
    <w:rsid w:val="00754609"/>
    <w:rsid w:val="0075462C"/>
    <w:rsid w:val="007547C4"/>
    <w:rsid w:val="007548F4"/>
    <w:rsid w:val="00754964"/>
    <w:rsid w:val="00754F2D"/>
    <w:rsid w:val="00754FFC"/>
    <w:rsid w:val="00755124"/>
    <w:rsid w:val="00755215"/>
    <w:rsid w:val="007555E5"/>
    <w:rsid w:val="00755757"/>
    <w:rsid w:val="00755A7F"/>
    <w:rsid w:val="00755CB4"/>
    <w:rsid w:val="00755E08"/>
    <w:rsid w:val="00755E4D"/>
    <w:rsid w:val="00755EE0"/>
    <w:rsid w:val="00755F19"/>
    <w:rsid w:val="007560B3"/>
    <w:rsid w:val="0075626C"/>
    <w:rsid w:val="007564CD"/>
    <w:rsid w:val="00756D5D"/>
    <w:rsid w:val="00756FE4"/>
    <w:rsid w:val="007571E4"/>
    <w:rsid w:val="00757295"/>
    <w:rsid w:val="0075733E"/>
    <w:rsid w:val="00757412"/>
    <w:rsid w:val="0075747B"/>
    <w:rsid w:val="00757527"/>
    <w:rsid w:val="00757B38"/>
    <w:rsid w:val="00757D70"/>
    <w:rsid w:val="00760147"/>
    <w:rsid w:val="0076020C"/>
    <w:rsid w:val="007603B3"/>
    <w:rsid w:val="00760558"/>
    <w:rsid w:val="0076063F"/>
    <w:rsid w:val="0076068A"/>
    <w:rsid w:val="0076076D"/>
    <w:rsid w:val="00760ABA"/>
    <w:rsid w:val="00760E25"/>
    <w:rsid w:val="00761008"/>
    <w:rsid w:val="0076126A"/>
    <w:rsid w:val="0076127D"/>
    <w:rsid w:val="007613D9"/>
    <w:rsid w:val="0076148F"/>
    <w:rsid w:val="00761600"/>
    <w:rsid w:val="00761A11"/>
    <w:rsid w:val="00761AA7"/>
    <w:rsid w:val="00761AEF"/>
    <w:rsid w:val="00761E4F"/>
    <w:rsid w:val="00761E9B"/>
    <w:rsid w:val="00761EC7"/>
    <w:rsid w:val="00761ECD"/>
    <w:rsid w:val="00762288"/>
    <w:rsid w:val="007625C9"/>
    <w:rsid w:val="00762AEE"/>
    <w:rsid w:val="007633FE"/>
    <w:rsid w:val="007634C1"/>
    <w:rsid w:val="0076352F"/>
    <w:rsid w:val="00763C65"/>
    <w:rsid w:val="00763DB1"/>
    <w:rsid w:val="0076407C"/>
    <w:rsid w:val="0076425F"/>
    <w:rsid w:val="007642CA"/>
    <w:rsid w:val="0076474B"/>
    <w:rsid w:val="007648AB"/>
    <w:rsid w:val="00764A92"/>
    <w:rsid w:val="00764ADD"/>
    <w:rsid w:val="00764E55"/>
    <w:rsid w:val="0076548F"/>
    <w:rsid w:val="00765510"/>
    <w:rsid w:val="0076639A"/>
    <w:rsid w:val="007667C4"/>
    <w:rsid w:val="00766905"/>
    <w:rsid w:val="00766C44"/>
    <w:rsid w:val="007671AA"/>
    <w:rsid w:val="0076765F"/>
    <w:rsid w:val="00767687"/>
    <w:rsid w:val="0076797D"/>
    <w:rsid w:val="00767DD6"/>
    <w:rsid w:val="00767DFB"/>
    <w:rsid w:val="00767E51"/>
    <w:rsid w:val="00770128"/>
    <w:rsid w:val="0077041C"/>
    <w:rsid w:val="00770469"/>
    <w:rsid w:val="00770471"/>
    <w:rsid w:val="00770686"/>
    <w:rsid w:val="0077080F"/>
    <w:rsid w:val="00770DD0"/>
    <w:rsid w:val="00770EF9"/>
    <w:rsid w:val="0077100D"/>
    <w:rsid w:val="007710AC"/>
    <w:rsid w:val="00771D28"/>
    <w:rsid w:val="00771E10"/>
    <w:rsid w:val="00772363"/>
    <w:rsid w:val="007723B2"/>
    <w:rsid w:val="00772B3B"/>
    <w:rsid w:val="00772B79"/>
    <w:rsid w:val="00772B7E"/>
    <w:rsid w:val="00772CAA"/>
    <w:rsid w:val="00773315"/>
    <w:rsid w:val="007733FA"/>
    <w:rsid w:val="00773728"/>
    <w:rsid w:val="0077383A"/>
    <w:rsid w:val="007738F9"/>
    <w:rsid w:val="00773946"/>
    <w:rsid w:val="00773B2E"/>
    <w:rsid w:val="00773E9B"/>
    <w:rsid w:val="00773FCD"/>
    <w:rsid w:val="007740F9"/>
    <w:rsid w:val="0077410D"/>
    <w:rsid w:val="007742C3"/>
    <w:rsid w:val="007743FB"/>
    <w:rsid w:val="007747F8"/>
    <w:rsid w:val="007748BB"/>
    <w:rsid w:val="007748EF"/>
    <w:rsid w:val="00774B59"/>
    <w:rsid w:val="00774BFA"/>
    <w:rsid w:val="00775024"/>
    <w:rsid w:val="007757E9"/>
    <w:rsid w:val="00775BF2"/>
    <w:rsid w:val="00775FA8"/>
    <w:rsid w:val="00775FF9"/>
    <w:rsid w:val="00776046"/>
    <w:rsid w:val="007766CE"/>
    <w:rsid w:val="00776871"/>
    <w:rsid w:val="00776ACF"/>
    <w:rsid w:val="00776ADF"/>
    <w:rsid w:val="00776DC3"/>
    <w:rsid w:val="00776DE3"/>
    <w:rsid w:val="00776F70"/>
    <w:rsid w:val="007773EB"/>
    <w:rsid w:val="00777592"/>
    <w:rsid w:val="00777A2D"/>
    <w:rsid w:val="00777BD3"/>
    <w:rsid w:val="00777D29"/>
    <w:rsid w:val="00777D3E"/>
    <w:rsid w:val="00777E21"/>
    <w:rsid w:val="00777FAC"/>
    <w:rsid w:val="0078031E"/>
    <w:rsid w:val="007808A0"/>
    <w:rsid w:val="00780C33"/>
    <w:rsid w:val="00780CF3"/>
    <w:rsid w:val="00781260"/>
    <w:rsid w:val="007813FC"/>
    <w:rsid w:val="0078193D"/>
    <w:rsid w:val="00781B2E"/>
    <w:rsid w:val="00781DB9"/>
    <w:rsid w:val="00781EA7"/>
    <w:rsid w:val="0078258B"/>
    <w:rsid w:val="007825D6"/>
    <w:rsid w:val="007828D8"/>
    <w:rsid w:val="00782FDD"/>
    <w:rsid w:val="00783175"/>
    <w:rsid w:val="00783186"/>
    <w:rsid w:val="007834F4"/>
    <w:rsid w:val="0078359E"/>
    <w:rsid w:val="00783602"/>
    <w:rsid w:val="00783721"/>
    <w:rsid w:val="00783802"/>
    <w:rsid w:val="00783CCC"/>
    <w:rsid w:val="00783E97"/>
    <w:rsid w:val="00783EAB"/>
    <w:rsid w:val="00783F23"/>
    <w:rsid w:val="007845D2"/>
    <w:rsid w:val="007846BF"/>
    <w:rsid w:val="00784E1C"/>
    <w:rsid w:val="00784E91"/>
    <w:rsid w:val="0078567B"/>
    <w:rsid w:val="007858CE"/>
    <w:rsid w:val="00785AEE"/>
    <w:rsid w:val="0078602C"/>
    <w:rsid w:val="00786099"/>
    <w:rsid w:val="0078637F"/>
    <w:rsid w:val="00786631"/>
    <w:rsid w:val="0078679D"/>
    <w:rsid w:val="0078764E"/>
    <w:rsid w:val="00787AC7"/>
    <w:rsid w:val="00787B3B"/>
    <w:rsid w:val="00790008"/>
    <w:rsid w:val="0079010F"/>
    <w:rsid w:val="007902D3"/>
    <w:rsid w:val="007906E7"/>
    <w:rsid w:val="00790727"/>
    <w:rsid w:val="0079092E"/>
    <w:rsid w:val="00790A68"/>
    <w:rsid w:val="00790E04"/>
    <w:rsid w:val="00790F86"/>
    <w:rsid w:val="00790FD2"/>
    <w:rsid w:val="007911AF"/>
    <w:rsid w:val="007912BC"/>
    <w:rsid w:val="00791542"/>
    <w:rsid w:val="0079160D"/>
    <w:rsid w:val="007916BD"/>
    <w:rsid w:val="00792010"/>
    <w:rsid w:val="0079259E"/>
    <w:rsid w:val="00792641"/>
    <w:rsid w:val="00792A8B"/>
    <w:rsid w:val="00792E73"/>
    <w:rsid w:val="0079319C"/>
    <w:rsid w:val="00793331"/>
    <w:rsid w:val="0079345C"/>
    <w:rsid w:val="00793820"/>
    <w:rsid w:val="00793BDF"/>
    <w:rsid w:val="0079418E"/>
    <w:rsid w:val="007942B1"/>
    <w:rsid w:val="007947D8"/>
    <w:rsid w:val="00794A60"/>
    <w:rsid w:val="00795799"/>
    <w:rsid w:val="00795B10"/>
    <w:rsid w:val="00795C04"/>
    <w:rsid w:val="00795D56"/>
    <w:rsid w:val="0079615F"/>
    <w:rsid w:val="007963C0"/>
    <w:rsid w:val="007964C9"/>
    <w:rsid w:val="007969CE"/>
    <w:rsid w:val="007969DB"/>
    <w:rsid w:val="00796A89"/>
    <w:rsid w:val="00796A9D"/>
    <w:rsid w:val="00797020"/>
    <w:rsid w:val="00797070"/>
    <w:rsid w:val="00797181"/>
    <w:rsid w:val="0079725B"/>
    <w:rsid w:val="007974BD"/>
    <w:rsid w:val="007974F8"/>
    <w:rsid w:val="007974FB"/>
    <w:rsid w:val="007975A7"/>
    <w:rsid w:val="00797925"/>
    <w:rsid w:val="00797C6F"/>
    <w:rsid w:val="00797F18"/>
    <w:rsid w:val="007A0050"/>
    <w:rsid w:val="007A06F2"/>
    <w:rsid w:val="007A0D73"/>
    <w:rsid w:val="007A1292"/>
    <w:rsid w:val="007A1408"/>
    <w:rsid w:val="007A1563"/>
    <w:rsid w:val="007A15D3"/>
    <w:rsid w:val="007A1604"/>
    <w:rsid w:val="007A1771"/>
    <w:rsid w:val="007A1803"/>
    <w:rsid w:val="007A1AFD"/>
    <w:rsid w:val="007A1D51"/>
    <w:rsid w:val="007A1FBA"/>
    <w:rsid w:val="007A200C"/>
    <w:rsid w:val="007A2652"/>
    <w:rsid w:val="007A29C8"/>
    <w:rsid w:val="007A33B3"/>
    <w:rsid w:val="007A3870"/>
    <w:rsid w:val="007A3B16"/>
    <w:rsid w:val="007A3B21"/>
    <w:rsid w:val="007A40F2"/>
    <w:rsid w:val="007A420A"/>
    <w:rsid w:val="007A453B"/>
    <w:rsid w:val="007A469A"/>
    <w:rsid w:val="007A4DA1"/>
    <w:rsid w:val="007A5371"/>
    <w:rsid w:val="007A5696"/>
    <w:rsid w:val="007A5730"/>
    <w:rsid w:val="007A59AC"/>
    <w:rsid w:val="007A5F53"/>
    <w:rsid w:val="007A6034"/>
    <w:rsid w:val="007A61DB"/>
    <w:rsid w:val="007A69F2"/>
    <w:rsid w:val="007A6BA9"/>
    <w:rsid w:val="007A7878"/>
    <w:rsid w:val="007A7E95"/>
    <w:rsid w:val="007B007F"/>
    <w:rsid w:val="007B01D4"/>
    <w:rsid w:val="007B0261"/>
    <w:rsid w:val="007B0440"/>
    <w:rsid w:val="007B0C58"/>
    <w:rsid w:val="007B104F"/>
    <w:rsid w:val="007B13E0"/>
    <w:rsid w:val="007B13F9"/>
    <w:rsid w:val="007B164E"/>
    <w:rsid w:val="007B177C"/>
    <w:rsid w:val="007B1DB4"/>
    <w:rsid w:val="007B1DCA"/>
    <w:rsid w:val="007B1E0A"/>
    <w:rsid w:val="007B1E74"/>
    <w:rsid w:val="007B1FA3"/>
    <w:rsid w:val="007B200A"/>
    <w:rsid w:val="007B2479"/>
    <w:rsid w:val="007B25B6"/>
    <w:rsid w:val="007B2797"/>
    <w:rsid w:val="007B2B9F"/>
    <w:rsid w:val="007B2E6E"/>
    <w:rsid w:val="007B3681"/>
    <w:rsid w:val="007B36C6"/>
    <w:rsid w:val="007B37E6"/>
    <w:rsid w:val="007B3EFA"/>
    <w:rsid w:val="007B3F1B"/>
    <w:rsid w:val="007B3F28"/>
    <w:rsid w:val="007B3FE5"/>
    <w:rsid w:val="007B404C"/>
    <w:rsid w:val="007B4FA9"/>
    <w:rsid w:val="007B4FD0"/>
    <w:rsid w:val="007B5285"/>
    <w:rsid w:val="007B5459"/>
    <w:rsid w:val="007B5A8B"/>
    <w:rsid w:val="007B5B82"/>
    <w:rsid w:val="007B5E2E"/>
    <w:rsid w:val="007B5EE7"/>
    <w:rsid w:val="007B6198"/>
    <w:rsid w:val="007B6889"/>
    <w:rsid w:val="007B6962"/>
    <w:rsid w:val="007B6C5A"/>
    <w:rsid w:val="007B6E42"/>
    <w:rsid w:val="007B7138"/>
    <w:rsid w:val="007B7321"/>
    <w:rsid w:val="007B7654"/>
    <w:rsid w:val="007B7A4C"/>
    <w:rsid w:val="007B7AAE"/>
    <w:rsid w:val="007B7C90"/>
    <w:rsid w:val="007B7D21"/>
    <w:rsid w:val="007B7E08"/>
    <w:rsid w:val="007C0187"/>
    <w:rsid w:val="007C0208"/>
    <w:rsid w:val="007C02D6"/>
    <w:rsid w:val="007C02EB"/>
    <w:rsid w:val="007C0489"/>
    <w:rsid w:val="007C0C4B"/>
    <w:rsid w:val="007C0CE7"/>
    <w:rsid w:val="007C0CFE"/>
    <w:rsid w:val="007C1280"/>
    <w:rsid w:val="007C14A8"/>
    <w:rsid w:val="007C16F2"/>
    <w:rsid w:val="007C1C1F"/>
    <w:rsid w:val="007C1EA5"/>
    <w:rsid w:val="007C20DD"/>
    <w:rsid w:val="007C2264"/>
    <w:rsid w:val="007C22F1"/>
    <w:rsid w:val="007C2A77"/>
    <w:rsid w:val="007C2AA8"/>
    <w:rsid w:val="007C2AEC"/>
    <w:rsid w:val="007C2BAB"/>
    <w:rsid w:val="007C3252"/>
    <w:rsid w:val="007C3378"/>
    <w:rsid w:val="007C345D"/>
    <w:rsid w:val="007C3E9D"/>
    <w:rsid w:val="007C3F5C"/>
    <w:rsid w:val="007C410F"/>
    <w:rsid w:val="007C42AF"/>
    <w:rsid w:val="007C43F6"/>
    <w:rsid w:val="007C4645"/>
    <w:rsid w:val="007C5147"/>
    <w:rsid w:val="007C520F"/>
    <w:rsid w:val="007C5311"/>
    <w:rsid w:val="007C59B5"/>
    <w:rsid w:val="007C5BC0"/>
    <w:rsid w:val="007C6360"/>
    <w:rsid w:val="007C63B7"/>
    <w:rsid w:val="007C67C0"/>
    <w:rsid w:val="007C7436"/>
    <w:rsid w:val="007C7925"/>
    <w:rsid w:val="007C7A6C"/>
    <w:rsid w:val="007C7FE7"/>
    <w:rsid w:val="007D016D"/>
    <w:rsid w:val="007D04CE"/>
    <w:rsid w:val="007D04E4"/>
    <w:rsid w:val="007D05B2"/>
    <w:rsid w:val="007D0699"/>
    <w:rsid w:val="007D0920"/>
    <w:rsid w:val="007D0B88"/>
    <w:rsid w:val="007D0C39"/>
    <w:rsid w:val="007D0C91"/>
    <w:rsid w:val="007D0E6F"/>
    <w:rsid w:val="007D0EA9"/>
    <w:rsid w:val="007D11C7"/>
    <w:rsid w:val="007D1507"/>
    <w:rsid w:val="007D1A68"/>
    <w:rsid w:val="007D1B88"/>
    <w:rsid w:val="007D1C71"/>
    <w:rsid w:val="007D1D2B"/>
    <w:rsid w:val="007D1FCA"/>
    <w:rsid w:val="007D2438"/>
    <w:rsid w:val="007D27AB"/>
    <w:rsid w:val="007D2861"/>
    <w:rsid w:val="007D28B2"/>
    <w:rsid w:val="007D28E6"/>
    <w:rsid w:val="007D2983"/>
    <w:rsid w:val="007D2B56"/>
    <w:rsid w:val="007D2B9C"/>
    <w:rsid w:val="007D3164"/>
    <w:rsid w:val="007D39F5"/>
    <w:rsid w:val="007D3D4F"/>
    <w:rsid w:val="007D3E74"/>
    <w:rsid w:val="007D3E75"/>
    <w:rsid w:val="007D3FFE"/>
    <w:rsid w:val="007D405E"/>
    <w:rsid w:val="007D445B"/>
    <w:rsid w:val="007D4515"/>
    <w:rsid w:val="007D47ED"/>
    <w:rsid w:val="007D5963"/>
    <w:rsid w:val="007D5E14"/>
    <w:rsid w:val="007D60C7"/>
    <w:rsid w:val="007D61A6"/>
    <w:rsid w:val="007D62CA"/>
    <w:rsid w:val="007D6508"/>
    <w:rsid w:val="007D6837"/>
    <w:rsid w:val="007D6ABF"/>
    <w:rsid w:val="007D6CCE"/>
    <w:rsid w:val="007D6D45"/>
    <w:rsid w:val="007D6E4D"/>
    <w:rsid w:val="007D707B"/>
    <w:rsid w:val="007D75AA"/>
    <w:rsid w:val="007D7E27"/>
    <w:rsid w:val="007E01EC"/>
    <w:rsid w:val="007E0209"/>
    <w:rsid w:val="007E06B7"/>
    <w:rsid w:val="007E0835"/>
    <w:rsid w:val="007E0D11"/>
    <w:rsid w:val="007E0E97"/>
    <w:rsid w:val="007E10C3"/>
    <w:rsid w:val="007E10C5"/>
    <w:rsid w:val="007E12E8"/>
    <w:rsid w:val="007E12F1"/>
    <w:rsid w:val="007E14F9"/>
    <w:rsid w:val="007E18A1"/>
    <w:rsid w:val="007E1A65"/>
    <w:rsid w:val="007E1AE4"/>
    <w:rsid w:val="007E2412"/>
    <w:rsid w:val="007E2B66"/>
    <w:rsid w:val="007E2B88"/>
    <w:rsid w:val="007E31C7"/>
    <w:rsid w:val="007E3358"/>
    <w:rsid w:val="007E34F8"/>
    <w:rsid w:val="007E3540"/>
    <w:rsid w:val="007E3626"/>
    <w:rsid w:val="007E36AF"/>
    <w:rsid w:val="007E3CA6"/>
    <w:rsid w:val="007E3DD4"/>
    <w:rsid w:val="007E3DF2"/>
    <w:rsid w:val="007E40AB"/>
    <w:rsid w:val="007E41DC"/>
    <w:rsid w:val="007E42AA"/>
    <w:rsid w:val="007E42AD"/>
    <w:rsid w:val="007E4722"/>
    <w:rsid w:val="007E492B"/>
    <w:rsid w:val="007E5129"/>
    <w:rsid w:val="007E5D4F"/>
    <w:rsid w:val="007E5E32"/>
    <w:rsid w:val="007E5E6B"/>
    <w:rsid w:val="007E5FD5"/>
    <w:rsid w:val="007E62D0"/>
    <w:rsid w:val="007E652F"/>
    <w:rsid w:val="007E66AD"/>
    <w:rsid w:val="007E67D7"/>
    <w:rsid w:val="007E69CE"/>
    <w:rsid w:val="007E6BD7"/>
    <w:rsid w:val="007E6BFD"/>
    <w:rsid w:val="007E6E54"/>
    <w:rsid w:val="007E703F"/>
    <w:rsid w:val="007E708B"/>
    <w:rsid w:val="007E7444"/>
    <w:rsid w:val="007E75E0"/>
    <w:rsid w:val="007E793E"/>
    <w:rsid w:val="007E7B6C"/>
    <w:rsid w:val="007E7D2C"/>
    <w:rsid w:val="007F0094"/>
    <w:rsid w:val="007F0489"/>
    <w:rsid w:val="007F04C3"/>
    <w:rsid w:val="007F06A3"/>
    <w:rsid w:val="007F088E"/>
    <w:rsid w:val="007F0A2F"/>
    <w:rsid w:val="007F0FB8"/>
    <w:rsid w:val="007F104D"/>
    <w:rsid w:val="007F11B7"/>
    <w:rsid w:val="007F1354"/>
    <w:rsid w:val="007F18C2"/>
    <w:rsid w:val="007F1964"/>
    <w:rsid w:val="007F1AFD"/>
    <w:rsid w:val="007F1CA8"/>
    <w:rsid w:val="007F1E60"/>
    <w:rsid w:val="007F203C"/>
    <w:rsid w:val="007F2123"/>
    <w:rsid w:val="007F2140"/>
    <w:rsid w:val="007F23AF"/>
    <w:rsid w:val="007F250A"/>
    <w:rsid w:val="007F254A"/>
    <w:rsid w:val="007F29F1"/>
    <w:rsid w:val="007F2BCA"/>
    <w:rsid w:val="007F2F18"/>
    <w:rsid w:val="007F2F8C"/>
    <w:rsid w:val="007F3036"/>
    <w:rsid w:val="007F3145"/>
    <w:rsid w:val="007F33EC"/>
    <w:rsid w:val="007F34A5"/>
    <w:rsid w:val="007F37F8"/>
    <w:rsid w:val="007F397D"/>
    <w:rsid w:val="007F399D"/>
    <w:rsid w:val="007F3B6D"/>
    <w:rsid w:val="007F3B78"/>
    <w:rsid w:val="007F3C2D"/>
    <w:rsid w:val="007F3D12"/>
    <w:rsid w:val="007F40B0"/>
    <w:rsid w:val="007F40F5"/>
    <w:rsid w:val="007F4125"/>
    <w:rsid w:val="007F4335"/>
    <w:rsid w:val="007F4660"/>
    <w:rsid w:val="007F4704"/>
    <w:rsid w:val="007F4C73"/>
    <w:rsid w:val="007F4DCB"/>
    <w:rsid w:val="007F4DE6"/>
    <w:rsid w:val="007F4DF5"/>
    <w:rsid w:val="007F5137"/>
    <w:rsid w:val="007F5410"/>
    <w:rsid w:val="007F5436"/>
    <w:rsid w:val="007F55FF"/>
    <w:rsid w:val="007F58D4"/>
    <w:rsid w:val="007F5C98"/>
    <w:rsid w:val="007F6769"/>
    <w:rsid w:val="007F692A"/>
    <w:rsid w:val="007F6A69"/>
    <w:rsid w:val="007F6B5A"/>
    <w:rsid w:val="007F7957"/>
    <w:rsid w:val="007F7AE2"/>
    <w:rsid w:val="007F7DD2"/>
    <w:rsid w:val="00800291"/>
    <w:rsid w:val="0080042A"/>
    <w:rsid w:val="008006B4"/>
    <w:rsid w:val="0080076A"/>
    <w:rsid w:val="0080090E"/>
    <w:rsid w:val="00800CAF"/>
    <w:rsid w:val="0080107F"/>
    <w:rsid w:val="008018B0"/>
    <w:rsid w:val="00801F1D"/>
    <w:rsid w:val="00801F88"/>
    <w:rsid w:val="00802086"/>
    <w:rsid w:val="00802CBA"/>
    <w:rsid w:val="00802D95"/>
    <w:rsid w:val="00802FE3"/>
    <w:rsid w:val="0080301F"/>
    <w:rsid w:val="0080310D"/>
    <w:rsid w:val="00803386"/>
    <w:rsid w:val="0080339E"/>
    <w:rsid w:val="0080381F"/>
    <w:rsid w:val="00803FBC"/>
    <w:rsid w:val="0080408E"/>
    <w:rsid w:val="00804263"/>
    <w:rsid w:val="00804274"/>
    <w:rsid w:val="008043CC"/>
    <w:rsid w:val="00804595"/>
    <w:rsid w:val="00804B1F"/>
    <w:rsid w:val="00804D21"/>
    <w:rsid w:val="00804E50"/>
    <w:rsid w:val="0080510B"/>
    <w:rsid w:val="0080514D"/>
    <w:rsid w:val="008052C5"/>
    <w:rsid w:val="00805380"/>
    <w:rsid w:val="0080568D"/>
    <w:rsid w:val="008059DB"/>
    <w:rsid w:val="00805B58"/>
    <w:rsid w:val="00805DB9"/>
    <w:rsid w:val="008061EB"/>
    <w:rsid w:val="00806392"/>
    <w:rsid w:val="00806795"/>
    <w:rsid w:val="008069BC"/>
    <w:rsid w:val="00806A2F"/>
    <w:rsid w:val="00806A4A"/>
    <w:rsid w:val="00806EC3"/>
    <w:rsid w:val="00806FE2"/>
    <w:rsid w:val="008071A3"/>
    <w:rsid w:val="008071A6"/>
    <w:rsid w:val="0080759D"/>
    <w:rsid w:val="00807674"/>
    <w:rsid w:val="00807AB2"/>
    <w:rsid w:val="00807C1A"/>
    <w:rsid w:val="00810082"/>
    <w:rsid w:val="0081011D"/>
    <w:rsid w:val="00810285"/>
    <w:rsid w:val="008106C0"/>
    <w:rsid w:val="008108FB"/>
    <w:rsid w:val="00810A6C"/>
    <w:rsid w:val="00810C88"/>
    <w:rsid w:val="00810EB3"/>
    <w:rsid w:val="00811081"/>
    <w:rsid w:val="0081169E"/>
    <w:rsid w:val="00811890"/>
    <w:rsid w:val="008118C8"/>
    <w:rsid w:val="00811913"/>
    <w:rsid w:val="0081197D"/>
    <w:rsid w:val="00811C18"/>
    <w:rsid w:val="00811D77"/>
    <w:rsid w:val="0081223F"/>
    <w:rsid w:val="00812274"/>
    <w:rsid w:val="00812724"/>
    <w:rsid w:val="0081292F"/>
    <w:rsid w:val="00812A82"/>
    <w:rsid w:val="00812DF3"/>
    <w:rsid w:val="00812FFF"/>
    <w:rsid w:val="00813369"/>
    <w:rsid w:val="008133E7"/>
    <w:rsid w:val="00813666"/>
    <w:rsid w:val="00813767"/>
    <w:rsid w:val="008138EA"/>
    <w:rsid w:val="008139EE"/>
    <w:rsid w:val="0081432F"/>
    <w:rsid w:val="008144CC"/>
    <w:rsid w:val="0081496B"/>
    <w:rsid w:val="00814E56"/>
    <w:rsid w:val="008154CD"/>
    <w:rsid w:val="00815533"/>
    <w:rsid w:val="00815537"/>
    <w:rsid w:val="00815912"/>
    <w:rsid w:val="00815BAF"/>
    <w:rsid w:val="00815F45"/>
    <w:rsid w:val="00815F9D"/>
    <w:rsid w:val="00816445"/>
    <w:rsid w:val="00816490"/>
    <w:rsid w:val="008164FF"/>
    <w:rsid w:val="008165A8"/>
    <w:rsid w:val="00816853"/>
    <w:rsid w:val="008168EA"/>
    <w:rsid w:val="00816B29"/>
    <w:rsid w:val="00816EBE"/>
    <w:rsid w:val="008171A8"/>
    <w:rsid w:val="008172AE"/>
    <w:rsid w:val="00817373"/>
    <w:rsid w:val="00817573"/>
    <w:rsid w:val="0081776E"/>
    <w:rsid w:val="00817C50"/>
    <w:rsid w:val="00817CA0"/>
    <w:rsid w:val="00817DB9"/>
    <w:rsid w:val="00820123"/>
    <w:rsid w:val="00820334"/>
    <w:rsid w:val="00820BB8"/>
    <w:rsid w:val="00820F4A"/>
    <w:rsid w:val="00821500"/>
    <w:rsid w:val="00821BE0"/>
    <w:rsid w:val="00821FC1"/>
    <w:rsid w:val="008220F3"/>
    <w:rsid w:val="00822192"/>
    <w:rsid w:val="0082240E"/>
    <w:rsid w:val="0082255C"/>
    <w:rsid w:val="008230E1"/>
    <w:rsid w:val="00823141"/>
    <w:rsid w:val="0082348A"/>
    <w:rsid w:val="00823671"/>
    <w:rsid w:val="008236E0"/>
    <w:rsid w:val="008237F2"/>
    <w:rsid w:val="00823945"/>
    <w:rsid w:val="00823A2D"/>
    <w:rsid w:val="00823CCD"/>
    <w:rsid w:val="00823EDD"/>
    <w:rsid w:val="008242C8"/>
    <w:rsid w:val="008243D2"/>
    <w:rsid w:val="00824A1B"/>
    <w:rsid w:val="00824E46"/>
    <w:rsid w:val="00824F87"/>
    <w:rsid w:val="008251BD"/>
    <w:rsid w:val="0082540D"/>
    <w:rsid w:val="0082541E"/>
    <w:rsid w:val="00825955"/>
    <w:rsid w:val="00825AC3"/>
    <w:rsid w:val="00825B5F"/>
    <w:rsid w:val="00826073"/>
    <w:rsid w:val="00826124"/>
    <w:rsid w:val="00826323"/>
    <w:rsid w:val="0082632C"/>
    <w:rsid w:val="0082676D"/>
    <w:rsid w:val="00826C43"/>
    <w:rsid w:val="00826C57"/>
    <w:rsid w:val="00826C68"/>
    <w:rsid w:val="00826F70"/>
    <w:rsid w:val="0082726B"/>
    <w:rsid w:val="008272F8"/>
    <w:rsid w:val="008274CF"/>
    <w:rsid w:val="00827924"/>
    <w:rsid w:val="00827B0D"/>
    <w:rsid w:val="00827C65"/>
    <w:rsid w:val="0083001A"/>
    <w:rsid w:val="00830021"/>
    <w:rsid w:val="0083095F"/>
    <w:rsid w:val="00830A06"/>
    <w:rsid w:val="00831197"/>
    <w:rsid w:val="00831541"/>
    <w:rsid w:val="00831A16"/>
    <w:rsid w:val="00831B58"/>
    <w:rsid w:val="00831C39"/>
    <w:rsid w:val="00831D98"/>
    <w:rsid w:val="0083209D"/>
    <w:rsid w:val="008320B7"/>
    <w:rsid w:val="00832252"/>
    <w:rsid w:val="0083273C"/>
    <w:rsid w:val="0083274A"/>
    <w:rsid w:val="0083277E"/>
    <w:rsid w:val="00832956"/>
    <w:rsid w:val="00832B9B"/>
    <w:rsid w:val="00833AEA"/>
    <w:rsid w:val="00833D72"/>
    <w:rsid w:val="00833DBB"/>
    <w:rsid w:val="00834147"/>
    <w:rsid w:val="0083473E"/>
    <w:rsid w:val="00834B53"/>
    <w:rsid w:val="00834E3A"/>
    <w:rsid w:val="00834F72"/>
    <w:rsid w:val="00834FF6"/>
    <w:rsid w:val="0083514F"/>
    <w:rsid w:val="008355D5"/>
    <w:rsid w:val="008358A2"/>
    <w:rsid w:val="008358AF"/>
    <w:rsid w:val="00835970"/>
    <w:rsid w:val="00835C98"/>
    <w:rsid w:val="00835E3C"/>
    <w:rsid w:val="00836362"/>
    <w:rsid w:val="0083649B"/>
    <w:rsid w:val="008366AC"/>
    <w:rsid w:val="00836864"/>
    <w:rsid w:val="00836A4C"/>
    <w:rsid w:val="00836C9F"/>
    <w:rsid w:val="00836F01"/>
    <w:rsid w:val="008370AD"/>
    <w:rsid w:val="00837A70"/>
    <w:rsid w:val="00837AD0"/>
    <w:rsid w:val="00840269"/>
    <w:rsid w:val="00840514"/>
    <w:rsid w:val="00840549"/>
    <w:rsid w:val="008409B5"/>
    <w:rsid w:val="00840C4F"/>
    <w:rsid w:val="00840F07"/>
    <w:rsid w:val="00841083"/>
    <w:rsid w:val="00841474"/>
    <w:rsid w:val="00841638"/>
    <w:rsid w:val="00841887"/>
    <w:rsid w:val="00841956"/>
    <w:rsid w:val="00841A8A"/>
    <w:rsid w:val="00841DC9"/>
    <w:rsid w:val="00842124"/>
    <w:rsid w:val="00842701"/>
    <w:rsid w:val="008427B1"/>
    <w:rsid w:val="0084293F"/>
    <w:rsid w:val="0084347B"/>
    <w:rsid w:val="008438A5"/>
    <w:rsid w:val="0084391F"/>
    <w:rsid w:val="0084392A"/>
    <w:rsid w:val="008439ED"/>
    <w:rsid w:val="00844775"/>
    <w:rsid w:val="008447B5"/>
    <w:rsid w:val="00844A7F"/>
    <w:rsid w:val="00844D91"/>
    <w:rsid w:val="0084502D"/>
    <w:rsid w:val="00845039"/>
    <w:rsid w:val="008452F1"/>
    <w:rsid w:val="008453A8"/>
    <w:rsid w:val="00845555"/>
    <w:rsid w:val="00845996"/>
    <w:rsid w:val="00845D70"/>
    <w:rsid w:val="00846753"/>
    <w:rsid w:val="00846770"/>
    <w:rsid w:val="00846CEC"/>
    <w:rsid w:val="008471C9"/>
    <w:rsid w:val="00847525"/>
    <w:rsid w:val="0084789F"/>
    <w:rsid w:val="008479EF"/>
    <w:rsid w:val="00847B78"/>
    <w:rsid w:val="00847E19"/>
    <w:rsid w:val="00847FE2"/>
    <w:rsid w:val="00850074"/>
    <w:rsid w:val="0085010E"/>
    <w:rsid w:val="0085029F"/>
    <w:rsid w:val="00850368"/>
    <w:rsid w:val="00850453"/>
    <w:rsid w:val="00850707"/>
    <w:rsid w:val="00850711"/>
    <w:rsid w:val="00850D80"/>
    <w:rsid w:val="00850F1E"/>
    <w:rsid w:val="008512A1"/>
    <w:rsid w:val="008512BD"/>
    <w:rsid w:val="00851801"/>
    <w:rsid w:val="00851871"/>
    <w:rsid w:val="00851930"/>
    <w:rsid w:val="00851C17"/>
    <w:rsid w:val="008521AB"/>
    <w:rsid w:val="00852618"/>
    <w:rsid w:val="008526F8"/>
    <w:rsid w:val="00852706"/>
    <w:rsid w:val="00852A70"/>
    <w:rsid w:val="00852CDB"/>
    <w:rsid w:val="00852D70"/>
    <w:rsid w:val="00852E4C"/>
    <w:rsid w:val="00852EB4"/>
    <w:rsid w:val="00852ED1"/>
    <w:rsid w:val="0085303D"/>
    <w:rsid w:val="008530DA"/>
    <w:rsid w:val="008533C7"/>
    <w:rsid w:val="008534D5"/>
    <w:rsid w:val="0085366B"/>
    <w:rsid w:val="0085380D"/>
    <w:rsid w:val="00853D1C"/>
    <w:rsid w:val="00853D51"/>
    <w:rsid w:val="00853E8B"/>
    <w:rsid w:val="00854097"/>
    <w:rsid w:val="0085418C"/>
    <w:rsid w:val="00854467"/>
    <w:rsid w:val="0085454D"/>
    <w:rsid w:val="0085481C"/>
    <w:rsid w:val="00854C25"/>
    <w:rsid w:val="0085552A"/>
    <w:rsid w:val="008558A2"/>
    <w:rsid w:val="00855BAF"/>
    <w:rsid w:val="00855D7D"/>
    <w:rsid w:val="00855E37"/>
    <w:rsid w:val="00855FE3"/>
    <w:rsid w:val="00856182"/>
    <w:rsid w:val="00856260"/>
    <w:rsid w:val="0085667A"/>
    <w:rsid w:val="0085678A"/>
    <w:rsid w:val="008568C1"/>
    <w:rsid w:val="00856A44"/>
    <w:rsid w:val="00856AE2"/>
    <w:rsid w:val="00856AFD"/>
    <w:rsid w:val="00856EA9"/>
    <w:rsid w:val="00857633"/>
    <w:rsid w:val="00857645"/>
    <w:rsid w:val="00857A4F"/>
    <w:rsid w:val="00857E0D"/>
    <w:rsid w:val="00857F7A"/>
    <w:rsid w:val="00860840"/>
    <w:rsid w:val="00860A70"/>
    <w:rsid w:val="00860C1B"/>
    <w:rsid w:val="00860DA0"/>
    <w:rsid w:val="00860E70"/>
    <w:rsid w:val="008610F6"/>
    <w:rsid w:val="00861404"/>
    <w:rsid w:val="008614D3"/>
    <w:rsid w:val="008616AE"/>
    <w:rsid w:val="00861A0A"/>
    <w:rsid w:val="00861DD5"/>
    <w:rsid w:val="00862042"/>
    <w:rsid w:val="0086211D"/>
    <w:rsid w:val="008622E6"/>
    <w:rsid w:val="008626C2"/>
    <w:rsid w:val="008626D3"/>
    <w:rsid w:val="0086270A"/>
    <w:rsid w:val="0086272F"/>
    <w:rsid w:val="00863020"/>
    <w:rsid w:val="0086302E"/>
    <w:rsid w:val="00863218"/>
    <w:rsid w:val="0086370E"/>
    <w:rsid w:val="008644C2"/>
    <w:rsid w:val="0086484B"/>
    <w:rsid w:val="00864B5E"/>
    <w:rsid w:val="008652FC"/>
    <w:rsid w:val="00865330"/>
    <w:rsid w:val="00865AB1"/>
    <w:rsid w:val="00865DC0"/>
    <w:rsid w:val="00865F12"/>
    <w:rsid w:val="00866582"/>
    <w:rsid w:val="008666F6"/>
    <w:rsid w:val="008667EA"/>
    <w:rsid w:val="00866A97"/>
    <w:rsid w:val="00866B38"/>
    <w:rsid w:val="00866B44"/>
    <w:rsid w:val="00866B76"/>
    <w:rsid w:val="00866E89"/>
    <w:rsid w:val="00867472"/>
    <w:rsid w:val="0086787F"/>
    <w:rsid w:val="00867B1F"/>
    <w:rsid w:val="00867E7A"/>
    <w:rsid w:val="00867E87"/>
    <w:rsid w:val="00867EE2"/>
    <w:rsid w:val="00867F55"/>
    <w:rsid w:val="00870159"/>
    <w:rsid w:val="008701B4"/>
    <w:rsid w:val="008702CD"/>
    <w:rsid w:val="008703EE"/>
    <w:rsid w:val="0087051C"/>
    <w:rsid w:val="00870929"/>
    <w:rsid w:val="00870D13"/>
    <w:rsid w:val="00870F6C"/>
    <w:rsid w:val="008710C3"/>
    <w:rsid w:val="0087124D"/>
    <w:rsid w:val="00871635"/>
    <w:rsid w:val="00871828"/>
    <w:rsid w:val="008718C8"/>
    <w:rsid w:val="00872191"/>
    <w:rsid w:val="00872417"/>
    <w:rsid w:val="00872640"/>
    <w:rsid w:val="008727F6"/>
    <w:rsid w:val="0087280D"/>
    <w:rsid w:val="00872B26"/>
    <w:rsid w:val="00872CEB"/>
    <w:rsid w:val="00872EB9"/>
    <w:rsid w:val="008731DA"/>
    <w:rsid w:val="00873A75"/>
    <w:rsid w:val="00873B78"/>
    <w:rsid w:val="00873CA0"/>
    <w:rsid w:val="008741A6"/>
    <w:rsid w:val="0087448E"/>
    <w:rsid w:val="0087487D"/>
    <w:rsid w:val="00874DB7"/>
    <w:rsid w:val="00874E87"/>
    <w:rsid w:val="008754E3"/>
    <w:rsid w:val="008754E7"/>
    <w:rsid w:val="0087557C"/>
    <w:rsid w:val="00875BCF"/>
    <w:rsid w:val="00875E38"/>
    <w:rsid w:val="008764F6"/>
    <w:rsid w:val="008764F7"/>
    <w:rsid w:val="00876522"/>
    <w:rsid w:val="008770ED"/>
    <w:rsid w:val="0087753C"/>
    <w:rsid w:val="0087785F"/>
    <w:rsid w:val="00877B8C"/>
    <w:rsid w:val="00877BD5"/>
    <w:rsid w:val="00877DCB"/>
    <w:rsid w:val="00880101"/>
    <w:rsid w:val="0088022A"/>
    <w:rsid w:val="00880587"/>
    <w:rsid w:val="00880AE2"/>
    <w:rsid w:val="00880B62"/>
    <w:rsid w:val="00880C6F"/>
    <w:rsid w:val="00880DB4"/>
    <w:rsid w:val="00881109"/>
    <w:rsid w:val="00881500"/>
    <w:rsid w:val="00881541"/>
    <w:rsid w:val="0088156B"/>
    <w:rsid w:val="00881A94"/>
    <w:rsid w:val="00881ED4"/>
    <w:rsid w:val="00882056"/>
    <w:rsid w:val="0088250D"/>
    <w:rsid w:val="00882535"/>
    <w:rsid w:val="0088297C"/>
    <w:rsid w:val="00882A8B"/>
    <w:rsid w:val="00882E12"/>
    <w:rsid w:val="00882E69"/>
    <w:rsid w:val="00882FFF"/>
    <w:rsid w:val="0088331D"/>
    <w:rsid w:val="00883494"/>
    <w:rsid w:val="00883933"/>
    <w:rsid w:val="00883A8A"/>
    <w:rsid w:val="00884283"/>
    <w:rsid w:val="0088450F"/>
    <w:rsid w:val="00884713"/>
    <w:rsid w:val="00884871"/>
    <w:rsid w:val="00884877"/>
    <w:rsid w:val="00885134"/>
    <w:rsid w:val="00885158"/>
    <w:rsid w:val="00885172"/>
    <w:rsid w:val="008855D6"/>
    <w:rsid w:val="00885BE8"/>
    <w:rsid w:val="008861F9"/>
    <w:rsid w:val="00886454"/>
    <w:rsid w:val="0088647D"/>
    <w:rsid w:val="008867F6"/>
    <w:rsid w:val="008868C0"/>
    <w:rsid w:val="008869C9"/>
    <w:rsid w:val="00886E6D"/>
    <w:rsid w:val="008870A1"/>
    <w:rsid w:val="008872AF"/>
    <w:rsid w:val="00887607"/>
    <w:rsid w:val="0088772C"/>
    <w:rsid w:val="008877C0"/>
    <w:rsid w:val="008877D9"/>
    <w:rsid w:val="008879A0"/>
    <w:rsid w:val="00887A86"/>
    <w:rsid w:val="00887D0D"/>
    <w:rsid w:val="00887F2B"/>
    <w:rsid w:val="008903FA"/>
    <w:rsid w:val="00890551"/>
    <w:rsid w:val="0089072F"/>
    <w:rsid w:val="008909D4"/>
    <w:rsid w:val="00890C91"/>
    <w:rsid w:val="00890F21"/>
    <w:rsid w:val="00890F4B"/>
    <w:rsid w:val="008910FA"/>
    <w:rsid w:val="0089159A"/>
    <w:rsid w:val="0089162B"/>
    <w:rsid w:val="0089193A"/>
    <w:rsid w:val="00891B50"/>
    <w:rsid w:val="00891C58"/>
    <w:rsid w:val="00891E3D"/>
    <w:rsid w:val="00891F0C"/>
    <w:rsid w:val="00891FE3"/>
    <w:rsid w:val="0089283F"/>
    <w:rsid w:val="00892A49"/>
    <w:rsid w:val="00892D6C"/>
    <w:rsid w:val="008930E9"/>
    <w:rsid w:val="008931CF"/>
    <w:rsid w:val="00893439"/>
    <w:rsid w:val="00893520"/>
    <w:rsid w:val="008935C2"/>
    <w:rsid w:val="0089414E"/>
    <w:rsid w:val="00894496"/>
    <w:rsid w:val="00894843"/>
    <w:rsid w:val="0089484C"/>
    <w:rsid w:val="0089494A"/>
    <w:rsid w:val="00894ED6"/>
    <w:rsid w:val="0089516C"/>
    <w:rsid w:val="00895329"/>
    <w:rsid w:val="0089537C"/>
    <w:rsid w:val="008955E1"/>
    <w:rsid w:val="0089576B"/>
    <w:rsid w:val="00895875"/>
    <w:rsid w:val="00895998"/>
    <w:rsid w:val="00895D1C"/>
    <w:rsid w:val="00895E27"/>
    <w:rsid w:val="0089620A"/>
    <w:rsid w:val="0089631C"/>
    <w:rsid w:val="0089640F"/>
    <w:rsid w:val="00896741"/>
    <w:rsid w:val="00896907"/>
    <w:rsid w:val="00896963"/>
    <w:rsid w:val="00896A65"/>
    <w:rsid w:val="00896AB6"/>
    <w:rsid w:val="00896BF0"/>
    <w:rsid w:val="00896F65"/>
    <w:rsid w:val="00897010"/>
    <w:rsid w:val="008971CD"/>
    <w:rsid w:val="008975F2"/>
    <w:rsid w:val="008977A3"/>
    <w:rsid w:val="008978DE"/>
    <w:rsid w:val="0089793B"/>
    <w:rsid w:val="00897DC4"/>
    <w:rsid w:val="00897DDA"/>
    <w:rsid w:val="008A0617"/>
    <w:rsid w:val="008A0706"/>
    <w:rsid w:val="008A0773"/>
    <w:rsid w:val="008A0C26"/>
    <w:rsid w:val="008A0C7F"/>
    <w:rsid w:val="008A0D51"/>
    <w:rsid w:val="008A11BD"/>
    <w:rsid w:val="008A1471"/>
    <w:rsid w:val="008A1589"/>
    <w:rsid w:val="008A1593"/>
    <w:rsid w:val="008A15C4"/>
    <w:rsid w:val="008A173B"/>
    <w:rsid w:val="008A1851"/>
    <w:rsid w:val="008A18C4"/>
    <w:rsid w:val="008A1CD6"/>
    <w:rsid w:val="008A1FF0"/>
    <w:rsid w:val="008A2382"/>
    <w:rsid w:val="008A25E5"/>
    <w:rsid w:val="008A2644"/>
    <w:rsid w:val="008A265E"/>
    <w:rsid w:val="008A2983"/>
    <w:rsid w:val="008A2B95"/>
    <w:rsid w:val="008A2D5A"/>
    <w:rsid w:val="008A3940"/>
    <w:rsid w:val="008A3AAA"/>
    <w:rsid w:val="008A3F41"/>
    <w:rsid w:val="008A4295"/>
    <w:rsid w:val="008A43BE"/>
    <w:rsid w:val="008A461F"/>
    <w:rsid w:val="008A495F"/>
    <w:rsid w:val="008A4AB7"/>
    <w:rsid w:val="008A4C0E"/>
    <w:rsid w:val="008A4ED1"/>
    <w:rsid w:val="008A4F76"/>
    <w:rsid w:val="008A5440"/>
    <w:rsid w:val="008A55FD"/>
    <w:rsid w:val="008A587D"/>
    <w:rsid w:val="008A5973"/>
    <w:rsid w:val="008A5A6F"/>
    <w:rsid w:val="008A5C79"/>
    <w:rsid w:val="008A64F2"/>
    <w:rsid w:val="008A668A"/>
    <w:rsid w:val="008A68CD"/>
    <w:rsid w:val="008A69A1"/>
    <w:rsid w:val="008A6CEA"/>
    <w:rsid w:val="008A6D44"/>
    <w:rsid w:val="008A7107"/>
    <w:rsid w:val="008A7A44"/>
    <w:rsid w:val="008A7B34"/>
    <w:rsid w:val="008A7C79"/>
    <w:rsid w:val="008A7DFB"/>
    <w:rsid w:val="008A7FED"/>
    <w:rsid w:val="008B004E"/>
    <w:rsid w:val="008B064C"/>
    <w:rsid w:val="008B07AD"/>
    <w:rsid w:val="008B0DDF"/>
    <w:rsid w:val="008B15DE"/>
    <w:rsid w:val="008B1652"/>
    <w:rsid w:val="008B190B"/>
    <w:rsid w:val="008B1B8C"/>
    <w:rsid w:val="008B1C5C"/>
    <w:rsid w:val="008B2079"/>
    <w:rsid w:val="008B20B5"/>
    <w:rsid w:val="008B253E"/>
    <w:rsid w:val="008B28BE"/>
    <w:rsid w:val="008B2BF9"/>
    <w:rsid w:val="008B2C7C"/>
    <w:rsid w:val="008B2DE8"/>
    <w:rsid w:val="008B2E57"/>
    <w:rsid w:val="008B3239"/>
    <w:rsid w:val="008B32E3"/>
    <w:rsid w:val="008B3447"/>
    <w:rsid w:val="008B36E8"/>
    <w:rsid w:val="008B3CEC"/>
    <w:rsid w:val="008B3EAA"/>
    <w:rsid w:val="008B43A0"/>
    <w:rsid w:val="008B452B"/>
    <w:rsid w:val="008B4DD8"/>
    <w:rsid w:val="008B4F25"/>
    <w:rsid w:val="008B4FC2"/>
    <w:rsid w:val="008B5336"/>
    <w:rsid w:val="008B5619"/>
    <w:rsid w:val="008B576F"/>
    <w:rsid w:val="008B5863"/>
    <w:rsid w:val="008B598D"/>
    <w:rsid w:val="008B5AAC"/>
    <w:rsid w:val="008B5BFD"/>
    <w:rsid w:val="008B6047"/>
    <w:rsid w:val="008B61B0"/>
    <w:rsid w:val="008B6670"/>
    <w:rsid w:val="008B66A8"/>
    <w:rsid w:val="008B698D"/>
    <w:rsid w:val="008B6AC3"/>
    <w:rsid w:val="008B6B90"/>
    <w:rsid w:val="008B72D1"/>
    <w:rsid w:val="008B794E"/>
    <w:rsid w:val="008B7A4E"/>
    <w:rsid w:val="008B7D67"/>
    <w:rsid w:val="008B7D74"/>
    <w:rsid w:val="008B7DBA"/>
    <w:rsid w:val="008C00B3"/>
    <w:rsid w:val="008C064A"/>
    <w:rsid w:val="008C067C"/>
    <w:rsid w:val="008C0AC3"/>
    <w:rsid w:val="008C0D90"/>
    <w:rsid w:val="008C0F05"/>
    <w:rsid w:val="008C1655"/>
    <w:rsid w:val="008C1C4A"/>
    <w:rsid w:val="008C21B4"/>
    <w:rsid w:val="008C22ED"/>
    <w:rsid w:val="008C2A63"/>
    <w:rsid w:val="008C2C83"/>
    <w:rsid w:val="008C2E1C"/>
    <w:rsid w:val="008C2F08"/>
    <w:rsid w:val="008C2FB0"/>
    <w:rsid w:val="008C306C"/>
    <w:rsid w:val="008C328C"/>
    <w:rsid w:val="008C35B3"/>
    <w:rsid w:val="008C38A8"/>
    <w:rsid w:val="008C3974"/>
    <w:rsid w:val="008C3A1F"/>
    <w:rsid w:val="008C3F97"/>
    <w:rsid w:val="008C47C8"/>
    <w:rsid w:val="008C4ABB"/>
    <w:rsid w:val="008C5109"/>
    <w:rsid w:val="008C5130"/>
    <w:rsid w:val="008C5B47"/>
    <w:rsid w:val="008C62D2"/>
    <w:rsid w:val="008C6464"/>
    <w:rsid w:val="008C6646"/>
    <w:rsid w:val="008C6A01"/>
    <w:rsid w:val="008C6E73"/>
    <w:rsid w:val="008C703E"/>
    <w:rsid w:val="008C74F5"/>
    <w:rsid w:val="008C77F4"/>
    <w:rsid w:val="008C7A58"/>
    <w:rsid w:val="008D0183"/>
    <w:rsid w:val="008D0422"/>
    <w:rsid w:val="008D08CE"/>
    <w:rsid w:val="008D09B7"/>
    <w:rsid w:val="008D0C0B"/>
    <w:rsid w:val="008D10F7"/>
    <w:rsid w:val="008D1175"/>
    <w:rsid w:val="008D1177"/>
    <w:rsid w:val="008D13F8"/>
    <w:rsid w:val="008D1558"/>
    <w:rsid w:val="008D177D"/>
    <w:rsid w:val="008D19E0"/>
    <w:rsid w:val="008D1E85"/>
    <w:rsid w:val="008D1FB2"/>
    <w:rsid w:val="008D20CB"/>
    <w:rsid w:val="008D21AD"/>
    <w:rsid w:val="008D2792"/>
    <w:rsid w:val="008D29FE"/>
    <w:rsid w:val="008D2B48"/>
    <w:rsid w:val="008D2BD5"/>
    <w:rsid w:val="008D2E3F"/>
    <w:rsid w:val="008D2EFD"/>
    <w:rsid w:val="008D3052"/>
    <w:rsid w:val="008D3293"/>
    <w:rsid w:val="008D3327"/>
    <w:rsid w:val="008D334B"/>
    <w:rsid w:val="008D337A"/>
    <w:rsid w:val="008D3955"/>
    <w:rsid w:val="008D3CBE"/>
    <w:rsid w:val="008D3CF3"/>
    <w:rsid w:val="008D3D56"/>
    <w:rsid w:val="008D4746"/>
    <w:rsid w:val="008D484B"/>
    <w:rsid w:val="008D491A"/>
    <w:rsid w:val="008D49DE"/>
    <w:rsid w:val="008D4C0E"/>
    <w:rsid w:val="008D4E63"/>
    <w:rsid w:val="008D4F4A"/>
    <w:rsid w:val="008D4F65"/>
    <w:rsid w:val="008D526B"/>
    <w:rsid w:val="008D5287"/>
    <w:rsid w:val="008D56E8"/>
    <w:rsid w:val="008D5A24"/>
    <w:rsid w:val="008D5D4E"/>
    <w:rsid w:val="008D6265"/>
    <w:rsid w:val="008D644E"/>
    <w:rsid w:val="008D6AD7"/>
    <w:rsid w:val="008D6B11"/>
    <w:rsid w:val="008D6BC9"/>
    <w:rsid w:val="008D6D53"/>
    <w:rsid w:val="008D7090"/>
    <w:rsid w:val="008D7342"/>
    <w:rsid w:val="008D7712"/>
    <w:rsid w:val="008D79CD"/>
    <w:rsid w:val="008E00EF"/>
    <w:rsid w:val="008E0C7D"/>
    <w:rsid w:val="008E0DC0"/>
    <w:rsid w:val="008E0E89"/>
    <w:rsid w:val="008E0FE2"/>
    <w:rsid w:val="008E109C"/>
    <w:rsid w:val="008E115E"/>
    <w:rsid w:val="008E12DA"/>
    <w:rsid w:val="008E14E0"/>
    <w:rsid w:val="008E17DD"/>
    <w:rsid w:val="008E1C7B"/>
    <w:rsid w:val="008E1E59"/>
    <w:rsid w:val="008E2BF7"/>
    <w:rsid w:val="008E2F03"/>
    <w:rsid w:val="008E3006"/>
    <w:rsid w:val="008E326E"/>
    <w:rsid w:val="008E32F4"/>
    <w:rsid w:val="008E36B6"/>
    <w:rsid w:val="008E3C36"/>
    <w:rsid w:val="008E402A"/>
    <w:rsid w:val="008E43DD"/>
    <w:rsid w:val="008E4454"/>
    <w:rsid w:val="008E48DE"/>
    <w:rsid w:val="008E4B56"/>
    <w:rsid w:val="008E4B81"/>
    <w:rsid w:val="008E4ED4"/>
    <w:rsid w:val="008E514D"/>
    <w:rsid w:val="008E5528"/>
    <w:rsid w:val="008E581C"/>
    <w:rsid w:val="008E5C12"/>
    <w:rsid w:val="008E5D6C"/>
    <w:rsid w:val="008E5E26"/>
    <w:rsid w:val="008E6167"/>
    <w:rsid w:val="008E6442"/>
    <w:rsid w:val="008E653D"/>
    <w:rsid w:val="008E687D"/>
    <w:rsid w:val="008E69FB"/>
    <w:rsid w:val="008E6E54"/>
    <w:rsid w:val="008E78E6"/>
    <w:rsid w:val="008E7A84"/>
    <w:rsid w:val="008E7CBC"/>
    <w:rsid w:val="008E7EA9"/>
    <w:rsid w:val="008E7F8D"/>
    <w:rsid w:val="008E7FAD"/>
    <w:rsid w:val="008F0340"/>
    <w:rsid w:val="008F03A4"/>
    <w:rsid w:val="008F0D69"/>
    <w:rsid w:val="008F0DE9"/>
    <w:rsid w:val="008F0EF1"/>
    <w:rsid w:val="008F0EF3"/>
    <w:rsid w:val="008F0F83"/>
    <w:rsid w:val="008F13AC"/>
    <w:rsid w:val="008F1B5D"/>
    <w:rsid w:val="008F1F29"/>
    <w:rsid w:val="008F2315"/>
    <w:rsid w:val="008F2633"/>
    <w:rsid w:val="008F28E4"/>
    <w:rsid w:val="008F2A28"/>
    <w:rsid w:val="008F2D69"/>
    <w:rsid w:val="008F321C"/>
    <w:rsid w:val="008F36CC"/>
    <w:rsid w:val="008F382D"/>
    <w:rsid w:val="008F3962"/>
    <w:rsid w:val="008F3B99"/>
    <w:rsid w:val="008F3BD6"/>
    <w:rsid w:val="008F4134"/>
    <w:rsid w:val="008F413A"/>
    <w:rsid w:val="008F4706"/>
    <w:rsid w:val="008F5106"/>
    <w:rsid w:val="008F56B2"/>
    <w:rsid w:val="008F6E56"/>
    <w:rsid w:val="008F6F71"/>
    <w:rsid w:val="008F791B"/>
    <w:rsid w:val="008F7D92"/>
    <w:rsid w:val="009002D8"/>
    <w:rsid w:val="009003F8"/>
    <w:rsid w:val="009004DE"/>
    <w:rsid w:val="009004F0"/>
    <w:rsid w:val="00900CCA"/>
    <w:rsid w:val="00900E58"/>
    <w:rsid w:val="009013EC"/>
    <w:rsid w:val="009016C2"/>
    <w:rsid w:val="00901746"/>
    <w:rsid w:val="009018F1"/>
    <w:rsid w:val="00901D6F"/>
    <w:rsid w:val="00901D84"/>
    <w:rsid w:val="00902046"/>
    <w:rsid w:val="0090249C"/>
    <w:rsid w:val="00902690"/>
    <w:rsid w:val="00902AF2"/>
    <w:rsid w:val="00902C25"/>
    <w:rsid w:val="00903363"/>
    <w:rsid w:val="0090341B"/>
    <w:rsid w:val="0090352D"/>
    <w:rsid w:val="009035B9"/>
    <w:rsid w:val="009039D9"/>
    <w:rsid w:val="00903FF4"/>
    <w:rsid w:val="0090403D"/>
    <w:rsid w:val="00904103"/>
    <w:rsid w:val="00904565"/>
    <w:rsid w:val="009046FB"/>
    <w:rsid w:val="00904909"/>
    <w:rsid w:val="00904D2E"/>
    <w:rsid w:val="00904FD6"/>
    <w:rsid w:val="0090538E"/>
    <w:rsid w:val="009055DF"/>
    <w:rsid w:val="009059C9"/>
    <w:rsid w:val="00905AA9"/>
    <w:rsid w:val="00906004"/>
    <w:rsid w:val="00906226"/>
    <w:rsid w:val="00906314"/>
    <w:rsid w:val="0090643C"/>
    <w:rsid w:val="00906589"/>
    <w:rsid w:val="0090659C"/>
    <w:rsid w:val="009067DE"/>
    <w:rsid w:val="00906E8D"/>
    <w:rsid w:val="009073FE"/>
    <w:rsid w:val="00907693"/>
    <w:rsid w:val="00907B14"/>
    <w:rsid w:val="00907D17"/>
    <w:rsid w:val="009104C9"/>
    <w:rsid w:val="00910A4E"/>
    <w:rsid w:val="00910CE3"/>
    <w:rsid w:val="00910FD1"/>
    <w:rsid w:val="0091140D"/>
    <w:rsid w:val="00911576"/>
    <w:rsid w:val="00911609"/>
    <w:rsid w:val="00911634"/>
    <w:rsid w:val="00911A69"/>
    <w:rsid w:val="00911C96"/>
    <w:rsid w:val="00911D94"/>
    <w:rsid w:val="009120DC"/>
    <w:rsid w:val="0091251C"/>
    <w:rsid w:val="0091260B"/>
    <w:rsid w:val="00912A1E"/>
    <w:rsid w:val="00912A76"/>
    <w:rsid w:val="00912AE5"/>
    <w:rsid w:val="00912B0C"/>
    <w:rsid w:val="00912BC0"/>
    <w:rsid w:val="00912E90"/>
    <w:rsid w:val="00912FDC"/>
    <w:rsid w:val="00913350"/>
    <w:rsid w:val="0091336A"/>
    <w:rsid w:val="009135BD"/>
    <w:rsid w:val="0091369B"/>
    <w:rsid w:val="00913834"/>
    <w:rsid w:val="00913C09"/>
    <w:rsid w:val="00913CE4"/>
    <w:rsid w:val="00914251"/>
    <w:rsid w:val="00914291"/>
    <w:rsid w:val="00914681"/>
    <w:rsid w:val="00914E7B"/>
    <w:rsid w:val="0091503F"/>
    <w:rsid w:val="00915554"/>
    <w:rsid w:val="0091573A"/>
    <w:rsid w:val="0091576F"/>
    <w:rsid w:val="00915A89"/>
    <w:rsid w:val="00915D39"/>
    <w:rsid w:val="00915E48"/>
    <w:rsid w:val="00915F67"/>
    <w:rsid w:val="00916155"/>
    <w:rsid w:val="009167E1"/>
    <w:rsid w:val="00916B78"/>
    <w:rsid w:val="00916D38"/>
    <w:rsid w:val="00916F64"/>
    <w:rsid w:val="009170A3"/>
    <w:rsid w:val="00917187"/>
    <w:rsid w:val="00917190"/>
    <w:rsid w:val="009173DF"/>
    <w:rsid w:val="0091745D"/>
    <w:rsid w:val="009178E5"/>
    <w:rsid w:val="00917BE7"/>
    <w:rsid w:val="00917D8C"/>
    <w:rsid w:val="00917ED3"/>
    <w:rsid w:val="009204D2"/>
    <w:rsid w:val="00920668"/>
    <w:rsid w:val="00920B6F"/>
    <w:rsid w:val="009210C4"/>
    <w:rsid w:val="009216CA"/>
    <w:rsid w:val="00921C25"/>
    <w:rsid w:val="00921CD8"/>
    <w:rsid w:val="00921F09"/>
    <w:rsid w:val="00922101"/>
    <w:rsid w:val="0092233B"/>
    <w:rsid w:val="00922431"/>
    <w:rsid w:val="00922B96"/>
    <w:rsid w:val="00922D2C"/>
    <w:rsid w:val="00922DF2"/>
    <w:rsid w:val="0092300F"/>
    <w:rsid w:val="0092318D"/>
    <w:rsid w:val="0092397B"/>
    <w:rsid w:val="00923E2E"/>
    <w:rsid w:val="00924093"/>
    <w:rsid w:val="009242E6"/>
    <w:rsid w:val="00924497"/>
    <w:rsid w:val="00924631"/>
    <w:rsid w:val="00924899"/>
    <w:rsid w:val="00924A69"/>
    <w:rsid w:val="00924ECD"/>
    <w:rsid w:val="00925091"/>
    <w:rsid w:val="009253B3"/>
    <w:rsid w:val="00925747"/>
    <w:rsid w:val="009259EC"/>
    <w:rsid w:val="00925B85"/>
    <w:rsid w:val="00925D2E"/>
    <w:rsid w:val="00926007"/>
    <w:rsid w:val="0092604E"/>
    <w:rsid w:val="00926095"/>
    <w:rsid w:val="009260A6"/>
    <w:rsid w:val="009260E0"/>
    <w:rsid w:val="009264E4"/>
    <w:rsid w:val="00926859"/>
    <w:rsid w:val="00926B52"/>
    <w:rsid w:val="00926BD3"/>
    <w:rsid w:val="00926F75"/>
    <w:rsid w:val="00927253"/>
    <w:rsid w:val="00927399"/>
    <w:rsid w:val="00927423"/>
    <w:rsid w:val="00927808"/>
    <w:rsid w:val="00927B4F"/>
    <w:rsid w:val="00927BB9"/>
    <w:rsid w:val="00927E0E"/>
    <w:rsid w:val="00930165"/>
    <w:rsid w:val="0093018E"/>
    <w:rsid w:val="00930409"/>
    <w:rsid w:val="009304BD"/>
    <w:rsid w:val="00930A2A"/>
    <w:rsid w:val="00930A4E"/>
    <w:rsid w:val="00930FC3"/>
    <w:rsid w:val="00931143"/>
    <w:rsid w:val="00931276"/>
    <w:rsid w:val="009312BE"/>
    <w:rsid w:val="00931363"/>
    <w:rsid w:val="0093178C"/>
    <w:rsid w:val="009318B6"/>
    <w:rsid w:val="009319BB"/>
    <w:rsid w:val="00932667"/>
    <w:rsid w:val="00932978"/>
    <w:rsid w:val="00932A43"/>
    <w:rsid w:val="00932B6E"/>
    <w:rsid w:val="00932B7D"/>
    <w:rsid w:val="00932BCA"/>
    <w:rsid w:val="00932DF4"/>
    <w:rsid w:val="00932E64"/>
    <w:rsid w:val="009331AB"/>
    <w:rsid w:val="00933210"/>
    <w:rsid w:val="00933248"/>
    <w:rsid w:val="009332A3"/>
    <w:rsid w:val="0093412D"/>
    <w:rsid w:val="009341A3"/>
    <w:rsid w:val="00934256"/>
    <w:rsid w:val="009343A5"/>
    <w:rsid w:val="009347B5"/>
    <w:rsid w:val="009347C7"/>
    <w:rsid w:val="00934882"/>
    <w:rsid w:val="009348BA"/>
    <w:rsid w:val="00934A1E"/>
    <w:rsid w:val="00934E6A"/>
    <w:rsid w:val="00934EEC"/>
    <w:rsid w:val="00935398"/>
    <w:rsid w:val="00935500"/>
    <w:rsid w:val="00935563"/>
    <w:rsid w:val="009356B6"/>
    <w:rsid w:val="00935814"/>
    <w:rsid w:val="00935B70"/>
    <w:rsid w:val="00935BEF"/>
    <w:rsid w:val="00935C54"/>
    <w:rsid w:val="00935DE7"/>
    <w:rsid w:val="00935E62"/>
    <w:rsid w:val="00935EB6"/>
    <w:rsid w:val="00936055"/>
    <w:rsid w:val="009360EF"/>
    <w:rsid w:val="009362C4"/>
    <w:rsid w:val="0093632F"/>
    <w:rsid w:val="0093639F"/>
    <w:rsid w:val="009365A6"/>
    <w:rsid w:val="00936874"/>
    <w:rsid w:val="00936E6F"/>
    <w:rsid w:val="00936FD1"/>
    <w:rsid w:val="009371CB"/>
    <w:rsid w:val="00937230"/>
    <w:rsid w:val="009374DA"/>
    <w:rsid w:val="0093760E"/>
    <w:rsid w:val="0094002E"/>
    <w:rsid w:val="009401D3"/>
    <w:rsid w:val="0094087D"/>
    <w:rsid w:val="00940BF8"/>
    <w:rsid w:val="00940DAE"/>
    <w:rsid w:val="00940E29"/>
    <w:rsid w:val="00940EB1"/>
    <w:rsid w:val="00940F64"/>
    <w:rsid w:val="00940F75"/>
    <w:rsid w:val="00940FA2"/>
    <w:rsid w:val="00941245"/>
    <w:rsid w:val="009415F1"/>
    <w:rsid w:val="0094162C"/>
    <w:rsid w:val="00941779"/>
    <w:rsid w:val="00941993"/>
    <w:rsid w:val="00942069"/>
    <w:rsid w:val="00942908"/>
    <w:rsid w:val="00942AED"/>
    <w:rsid w:val="00942BD2"/>
    <w:rsid w:val="00942C8A"/>
    <w:rsid w:val="009433C6"/>
    <w:rsid w:val="009435A9"/>
    <w:rsid w:val="009435AE"/>
    <w:rsid w:val="00943D18"/>
    <w:rsid w:val="0094404D"/>
    <w:rsid w:val="009440FE"/>
    <w:rsid w:val="00944464"/>
    <w:rsid w:val="00944497"/>
    <w:rsid w:val="009445D1"/>
    <w:rsid w:val="00944A42"/>
    <w:rsid w:val="00944C39"/>
    <w:rsid w:val="00944F93"/>
    <w:rsid w:val="00945221"/>
    <w:rsid w:val="0094522F"/>
    <w:rsid w:val="00945539"/>
    <w:rsid w:val="0094595B"/>
    <w:rsid w:val="009459CE"/>
    <w:rsid w:val="00945A0F"/>
    <w:rsid w:val="009465DD"/>
    <w:rsid w:val="00946B6F"/>
    <w:rsid w:val="0094701B"/>
    <w:rsid w:val="00947028"/>
    <w:rsid w:val="009470B6"/>
    <w:rsid w:val="00947426"/>
    <w:rsid w:val="00947683"/>
    <w:rsid w:val="00947ADE"/>
    <w:rsid w:val="00947C1C"/>
    <w:rsid w:val="00947CB1"/>
    <w:rsid w:val="0095001D"/>
    <w:rsid w:val="00950309"/>
    <w:rsid w:val="009504AE"/>
    <w:rsid w:val="00950983"/>
    <w:rsid w:val="00950BBE"/>
    <w:rsid w:val="00950E55"/>
    <w:rsid w:val="00950F8F"/>
    <w:rsid w:val="00951024"/>
    <w:rsid w:val="0095110A"/>
    <w:rsid w:val="00951245"/>
    <w:rsid w:val="009512DF"/>
    <w:rsid w:val="00951367"/>
    <w:rsid w:val="00951575"/>
    <w:rsid w:val="009519FC"/>
    <w:rsid w:val="00951DE3"/>
    <w:rsid w:val="00951E2E"/>
    <w:rsid w:val="00951F15"/>
    <w:rsid w:val="00952044"/>
    <w:rsid w:val="00952222"/>
    <w:rsid w:val="009522DB"/>
    <w:rsid w:val="0095282C"/>
    <w:rsid w:val="00952D31"/>
    <w:rsid w:val="009531B7"/>
    <w:rsid w:val="00953227"/>
    <w:rsid w:val="00953349"/>
    <w:rsid w:val="00953510"/>
    <w:rsid w:val="0095378C"/>
    <w:rsid w:val="00953813"/>
    <w:rsid w:val="0095400B"/>
    <w:rsid w:val="0095454F"/>
    <w:rsid w:val="00954571"/>
    <w:rsid w:val="00954B9D"/>
    <w:rsid w:val="00954D14"/>
    <w:rsid w:val="00954ECE"/>
    <w:rsid w:val="00955087"/>
    <w:rsid w:val="0095549A"/>
    <w:rsid w:val="009555AF"/>
    <w:rsid w:val="009558A9"/>
    <w:rsid w:val="00955923"/>
    <w:rsid w:val="00955A58"/>
    <w:rsid w:val="00955B19"/>
    <w:rsid w:val="00955BB8"/>
    <w:rsid w:val="00955CA5"/>
    <w:rsid w:val="00955E1B"/>
    <w:rsid w:val="00955EE5"/>
    <w:rsid w:val="00956243"/>
    <w:rsid w:val="009563E3"/>
    <w:rsid w:val="00956988"/>
    <w:rsid w:val="00956BAA"/>
    <w:rsid w:val="00956E33"/>
    <w:rsid w:val="00957163"/>
    <w:rsid w:val="00957236"/>
    <w:rsid w:val="009572C6"/>
    <w:rsid w:val="00957478"/>
    <w:rsid w:val="00957766"/>
    <w:rsid w:val="00957980"/>
    <w:rsid w:val="00957D3E"/>
    <w:rsid w:val="00957EE9"/>
    <w:rsid w:val="0096001D"/>
    <w:rsid w:val="0096005F"/>
    <w:rsid w:val="00960496"/>
    <w:rsid w:val="00960585"/>
    <w:rsid w:val="009607CC"/>
    <w:rsid w:val="00960852"/>
    <w:rsid w:val="009609D2"/>
    <w:rsid w:val="00960AEA"/>
    <w:rsid w:val="00960BB3"/>
    <w:rsid w:val="00960CDB"/>
    <w:rsid w:val="00960DD5"/>
    <w:rsid w:val="009611BF"/>
    <w:rsid w:val="00961332"/>
    <w:rsid w:val="00961812"/>
    <w:rsid w:val="00961869"/>
    <w:rsid w:val="009619B5"/>
    <w:rsid w:val="0096208C"/>
    <w:rsid w:val="0096250F"/>
    <w:rsid w:val="009628AC"/>
    <w:rsid w:val="00962AF6"/>
    <w:rsid w:val="00962C13"/>
    <w:rsid w:val="00962FD0"/>
    <w:rsid w:val="00963109"/>
    <w:rsid w:val="0096339B"/>
    <w:rsid w:val="0096349A"/>
    <w:rsid w:val="00963839"/>
    <w:rsid w:val="00963875"/>
    <w:rsid w:val="00963928"/>
    <w:rsid w:val="00963C6B"/>
    <w:rsid w:val="00963DAB"/>
    <w:rsid w:val="00963F16"/>
    <w:rsid w:val="0096409D"/>
    <w:rsid w:val="00964368"/>
    <w:rsid w:val="009643FC"/>
    <w:rsid w:val="0096449C"/>
    <w:rsid w:val="00964649"/>
    <w:rsid w:val="00964744"/>
    <w:rsid w:val="00964A92"/>
    <w:rsid w:val="00964BF4"/>
    <w:rsid w:val="00964E1C"/>
    <w:rsid w:val="00964F27"/>
    <w:rsid w:val="00964F91"/>
    <w:rsid w:val="0096500F"/>
    <w:rsid w:val="0096537F"/>
    <w:rsid w:val="00965F3F"/>
    <w:rsid w:val="009661A6"/>
    <w:rsid w:val="0096656B"/>
    <w:rsid w:val="00966B7F"/>
    <w:rsid w:val="00966C01"/>
    <w:rsid w:val="009672AA"/>
    <w:rsid w:val="00967476"/>
    <w:rsid w:val="00967A65"/>
    <w:rsid w:val="00967B39"/>
    <w:rsid w:val="00970228"/>
    <w:rsid w:val="0097036D"/>
    <w:rsid w:val="009703A4"/>
    <w:rsid w:val="009703B8"/>
    <w:rsid w:val="00970483"/>
    <w:rsid w:val="009705A0"/>
    <w:rsid w:val="009706D8"/>
    <w:rsid w:val="009706E8"/>
    <w:rsid w:val="009707E8"/>
    <w:rsid w:val="009707F2"/>
    <w:rsid w:val="00970939"/>
    <w:rsid w:val="00970AAA"/>
    <w:rsid w:val="00970C79"/>
    <w:rsid w:val="00970DE3"/>
    <w:rsid w:val="00970E7A"/>
    <w:rsid w:val="00970EA8"/>
    <w:rsid w:val="00971A7F"/>
    <w:rsid w:val="00971BB1"/>
    <w:rsid w:val="00971BE3"/>
    <w:rsid w:val="00972025"/>
    <w:rsid w:val="00972297"/>
    <w:rsid w:val="009723D8"/>
    <w:rsid w:val="009726A6"/>
    <w:rsid w:val="009728A8"/>
    <w:rsid w:val="00972AFD"/>
    <w:rsid w:val="00972D00"/>
    <w:rsid w:val="00972EA3"/>
    <w:rsid w:val="00972F63"/>
    <w:rsid w:val="00972F98"/>
    <w:rsid w:val="00973014"/>
    <w:rsid w:val="009732B0"/>
    <w:rsid w:val="00973503"/>
    <w:rsid w:val="00973504"/>
    <w:rsid w:val="00973551"/>
    <w:rsid w:val="009736FA"/>
    <w:rsid w:val="00973B45"/>
    <w:rsid w:val="00973C5F"/>
    <w:rsid w:val="00973EF8"/>
    <w:rsid w:val="0097408A"/>
    <w:rsid w:val="00974473"/>
    <w:rsid w:val="0097450F"/>
    <w:rsid w:val="0097467E"/>
    <w:rsid w:val="00974709"/>
    <w:rsid w:val="00974815"/>
    <w:rsid w:val="00974FDE"/>
    <w:rsid w:val="00974FEB"/>
    <w:rsid w:val="009751AF"/>
    <w:rsid w:val="00975391"/>
    <w:rsid w:val="0097581A"/>
    <w:rsid w:val="0097588C"/>
    <w:rsid w:val="00975A58"/>
    <w:rsid w:val="00976080"/>
    <w:rsid w:val="009769A1"/>
    <w:rsid w:val="00976A31"/>
    <w:rsid w:val="00976E87"/>
    <w:rsid w:val="00977016"/>
    <w:rsid w:val="009770AC"/>
    <w:rsid w:val="009779C5"/>
    <w:rsid w:val="00977B05"/>
    <w:rsid w:val="00977E1C"/>
    <w:rsid w:val="00980243"/>
    <w:rsid w:val="009803E9"/>
    <w:rsid w:val="009803F9"/>
    <w:rsid w:val="00980456"/>
    <w:rsid w:val="00980490"/>
    <w:rsid w:val="009804F8"/>
    <w:rsid w:val="0098051A"/>
    <w:rsid w:val="00981931"/>
    <w:rsid w:val="00981CCF"/>
    <w:rsid w:val="00981ED3"/>
    <w:rsid w:val="00982506"/>
    <w:rsid w:val="0098269B"/>
    <w:rsid w:val="0098297E"/>
    <w:rsid w:val="00982BEB"/>
    <w:rsid w:val="00982CC7"/>
    <w:rsid w:val="00983176"/>
    <w:rsid w:val="00983247"/>
    <w:rsid w:val="00983501"/>
    <w:rsid w:val="00983A3D"/>
    <w:rsid w:val="00983B1C"/>
    <w:rsid w:val="00983DF6"/>
    <w:rsid w:val="00983FF8"/>
    <w:rsid w:val="00984370"/>
    <w:rsid w:val="00984382"/>
    <w:rsid w:val="009849BC"/>
    <w:rsid w:val="00984B6D"/>
    <w:rsid w:val="00984C38"/>
    <w:rsid w:val="00984DC2"/>
    <w:rsid w:val="00985227"/>
    <w:rsid w:val="00985736"/>
    <w:rsid w:val="009857DD"/>
    <w:rsid w:val="00985B84"/>
    <w:rsid w:val="00985C3C"/>
    <w:rsid w:val="00986012"/>
    <w:rsid w:val="00986846"/>
    <w:rsid w:val="00986ACE"/>
    <w:rsid w:val="00986B21"/>
    <w:rsid w:val="00986EB5"/>
    <w:rsid w:val="0098719D"/>
    <w:rsid w:val="009871E7"/>
    <w:rsid w:val="00987450"/>
    <w:rsid w:val="009874AE"/>
    <w:rsid w:val="009874CD"/>
    <w:rsid w:val="0098756D"/>
    <w:rsid w:val="00987741"/>
    <w:rsid w:val="00987803"/>
    <w:rsid w:val="00987C31"/>
    <w:rsid w:val="00987E62"/>
    <w:rsid w:val="00987EAF"/>
    <w:rsid w:val="00990587"/>
    <w:rsid w:val="00990B47"/>
    <w:rsid w:val="00990D4B"/>
    <w:rsid w:val="00990ED5"/>
    <w:rsid w:val="00990FD9"/>
    <w:rsid w:val="00991044"/>
    <w:rsid w:val="00991085"/>
    <w:rsid w:val="0099176D"/>
    <w:rsid w:val="00991A41"/>
    <w:rsid w:val="00992424"/>
    <w:rsid w:val="009926F6"/>
    <w:rsid w:val="009929E3"/>
    <w:rsid w:val="00992D4D"/>
    <w:rsid w:val="00992E49"/>
    <w:rsid w:val="00993133"/>
    <w:rsid w:val="00993141"/>
    <w:rsid w:val="00993234"/>
    <w:rsid w:val="00993270"/>
    <w:rsid w:val="009936FB"/>
    <w:rsid w:val="00993D3D"/>
    <w:rsid w:val="0099407F"/>
    <w:rsid w:val="00994359"/>
    <w:rsid w:val="00994653"/>
    <w:rsid w:val="00994657"/>
    <w:rsid w:val="00994B43"/>
    <w:rsid w:val="00994D11"/>
    <w:rsid w:val="00994E9D"/>
    <w:rsid w:val="009952C9"/>
    <w:rsid w:val="00995657"/>
    <w:rsid w:val="0099566A"/>
    <w:rsid w:val="009959F9"/>
    <w:rsid w:val="00995AD5"/>
    <w:rsid w:val="0099605F"/>
    <w:rsid w:val="009963B1"/>
    <w:rsid w:val="009964B6"/>
    <w:rsid w:val="00996797"/>
    <w:rsid w:val="00996AD0"/>
    <w:rsid w:val="0099713A"/>
    <w:rsid w:val="009971A1"/>
    <w:rsid w:val="00997398"/>
    <w:rsid w:val="009973ED"/>
    <w:rsid w:val="0099753C"/>
    <w:rsid w:val="009976A5"/>
    <w:rsid w:val="0099770A"/>
    <w:rsid w:val="00997755"/>
    <w:rsid w:val="00997803"/>
    <w:rsid w:val="00997A35"/>
    <w:rsid w:val="00997D02"/>
    <w:rsid w:val="00997FA7"/>
    <w:rsid w:val="009A007A"/>
    <w:rsid w:val="009A0B75"/>
    <w:rsid w:val="009A0D4B"/>
    <w:rsid w:val="009A107F"/>
    <w:rsid w:val="009A12A9"/>
    <w:rsid w:val="009A14AD"/>
    <w:rsid w:val="009A15A4"/>
    <w:rsid w:val="009A1AC6"/>
    <w:rsid w:val="009A21B1"/>
    <w:rsid w:val="009A222C"/>
    <w:rsid w:val="009A26DE"/>
    <w:rsid w:val="009A2982"/>
    <w:rsid w:val="009A2C38"/>
    <w:rsid w:val="009A3639"/>
    <w:rsid w:val="009A36F1"/>
    <w:rsid w:val="009A3C39"/>
    <w:rsid w:val="009A3D7E"/>
    <w:rsid w:val="009A4033"/>
    <w:rsid w:val="009A40DB"/>
    <w:rsid w:val="009A41A2"/>
    <w:rsid w:val="009A429B"/>
    <w:rsid w:val="009A4543"/>
    <w:rsid w:val="009A45E5"/>
    <w:rsid w:val="009A474A"/>
    <w:rsid w:val="009A475E"/>
    <w:rsid w:val="009A47B6"/>
    <w:rsid w:val="009A4A0C"/>
    <w:rsid w:val="009A4B93"/>
    <w:rsid w:val="009A4C53"/>
    <w:rsid w:val="009A4DDD"/>
    <w:rsid w:val="009A4F81"/>
    <w:rsid w:val="009A4F94"/>
    <w:rsid w:val="009A58CC"/>
    <w:rsid w:val="009A5B6B"/>
    <w:rsid w:val="009A5C3F"/>
    <w:rsid w:val="009A5C5D"/>
    <w:rsid w:val="009A5C9B"/>
    <w:rsid w:val="009A5F53"/>
    <w:rsid w:val="009A6588"/>
    <w:rsid w:val="009A66D9"/>
    <w:rsid w:val="009A6892"/>
    <w:rsid w:val="009A69F0"/>
    <w:rsid w:val="009A6AAE"/>
    <w:rsid w:val="009A6B3B"/>
    <w:rsid w:val="009A6B4F"/>
    <w:rsid w:val="009A6BF5"/>
    <w:rsid w:val="009A6D16"/>
    <w:rsid w:val="009A78A9"/>
    <w:rsid w:val="009A78E2"/>
    <w:rsid w:val="009A792C"/>
    <w:rsid w:val="009A79E1"/>
    <w:rsid w:val="009A7A59"/>
    <w:rsid w:val="009A7A7D"/>
    <w:rsid w:val="009A7B01"/>
    <w:rsid w:val="009A7B16"/>
    <w:rsid w:val="009A7B69"/>
    <w:rsid w:val="009A7EE4"/>
    <w:rsid w:val="009A7FB6"/>
    <w:rsid w:val="009B027F"/>
    <w:rsid w:val="009B02EA"/>
    <w:rsid w:val="009B0AED"/>
    <w:rsid w:val="009B0B99"/>
    <w:rsid w:val="009B0CB3"/>
    <w:rsid w:val="009B0E3D"/>
    <w:rsid w:val="009B0ECC"/>
    <w:rsid w:val="009B1394"/>
    <w:rsid w:val="009B19B5"/>
    <w:rsid w:val="009B1D3F"/>
    <w:rsid w:val="009B200C"/>
    <w:rsid w:val="009B21AD"/>
    <w:rsid w:val="009B21C2"/>
    <w:rsid w:val="009B2271"/>
    <w:rsid w:val="009B2449"/>
    <w:rsid w:val="009B2617"/>
    <w:rsid w:val="009B291D"/>
    <w:rsid w:val="009B2AC2"/>
    <w:rsid w:val="009B2F7C"/>
    <w:rsid w:val="009B2FDA"/>
    <w:rsid w:val="009B30C5"/>
    <w:rsid w:val="009B31FD"/>
    <w:rsid w:val="009B32AA"/>
    <w:rsid w:val="009B3727"/>
    <w:rsid w:val="009B3DAC"/>
    <w:rsid w:val="009B3E01"/>
    <w:rsid w:val="009B4624"/>
    <w:rsid w:val="009B48A0"/>
    <w:rsid w:val="009B4A1F"/>
    <w:rsid w:val="009B4A45"/>
    <w:rsid w:val="009B4AEB"/>
    <w:rsid w:val="009B4F4F"/>
    <w:rsid w:val="009B4F61"/>
    <w:rsid w:val="009B5025"/>
    <w:rsid w:val="009B544F"/>
    <w:rsid w:val="009B5671"/>
    <w:rsid w:val="009B567C"/>
    <w:rsid w:val="009B5690"/>
    <w:rsid w:val="009B6166"/>
    <w:rsid w:val="009B61F1"/>
    <w:rsid w:val="009B6326"/>
    <w:rsid w:val="009B6471"/>
    <w:rsid w:val="009B65BF"/>
    <w:rsid w:val="009B6C76"/>
    <w:rsid w:val="009B70A3"/>
    <w:rsid w:val="009B73CD"/>
    <w:rsid w:val="009B73E4"/>
    <w:rsid w:val="009B783F"/>
    <w:rsid w:val="009B78F2"/>
    <w:rsid w:val="009B79E5"/>
    <w:rsid w:val="009B7D2B"/>
    <w:rsid w:val="009C00A4"/>
    <w:rsid w:val="009C041E"/>
    <w:rsid w:val="009C0A01"/>
    <w:rsid w:val="009C0CC2"/>
    <w:rsid w:val="009C0E3E"/>
    <w:rsid w:val="009C0E41"/>
    <w:rsid w:val="009C0E76"/>
    <w:rsid w:val="009C1059"/>
    <w:rsid w:val="009C12D8"/>
    <w:rsid w:val="009C1671"/>
    <w:rsid w:val="009C1766"/>
    <w:rsid w:val="009C1E3B"/>
    <w:rsid w:val="009C21C0"/>
    <w:rsid w:val="009C22A3"/>
    <w:rsid w:val="009C232F"/>
    <w:rsid w:val="009C24D6"/>
    <w:rsid w:val="009C24DD"/>
    <w:rsid w:val="009C2BF8"/>
    <w:rsid w:val="009C2E0A"/>
    <w:rsid w:val="009C30C7"/>
    <w:rsid w:val="009C31FE"/>
    <w:rsid w:val="009C3309"/>
    <w:rsid w:val="009C3533"/>
    <w:rsid w:val="009C3654"/>
    <w:rsid w:val="009C36A2"/>
    <w:rsid w:val="009C3883"/>
    <w:rsid w:val="009C3C24"/>
    <w:rsid w:val="009C3D17"/>
    <w:rsid w:val="009C3D31"/>
    <w:rsid w:val="009C402A"/>
    <w:rsid w:val="009C4958"/>
    <w:rsid w:val="009C4C11"/>
    <w:rsid w:val="009C531B"/>
    <w:rsid w:val="009C556B"/>
    <w:rsid w:val="009C584F"/>
    <w:rsid w:val="009C5A97"/>
    <w:rsid w:val="009C5B69"/>
    <w:rsid w:val="009C5E29"/>
    <w:rsid w:val="009C5E30"/>
    <w:rsid w:val="009C6049"/>
    <w:rsid w:val="009C616A"/>
    <w:rsid w:val="009C653E"/>
    <w:rsid w:val="009C66FE"/>
    <w:rsid w:val="009C673A"/>
    <w:rsid w:val="009C69FF"/>
    <w:rsid w:val="009C6A0C"/>
    <w:rsid w:val="009C6E46"/>
    <w:rsid w:val="009C6F94"/>
    <w:rsid w:val="009C70D8"/>
    <w:rsid w:val="009C77D3"/>
    <w:rsid w:val="009C7929"/>
    <w:rsid w:val="009C7992"/>
    <w:rsid w:val="009C7ADD"/>
    <w:rsid w:val="009C7BDA"/>
    <w:rsid w:val="009C7DFC"/>
    <w:rsid w:val="009C7E3D"/>
    <w:rsid w:val="009D0359"/>
    <w:rsid w:val="009D03B5"/>
    <w:rsid w:val="009D03B8"/>
    <w:rsid w:val="009D0852"/>
    <w:rsid w:val="009D09AB"/>
    <w:rsid w:val="009D0D38"/>
    <w:rsid w:val="009D0E3F"/>
    <w:rsid w:val="009D0F4D"/>
    <w:rsid w:val="009D15E5"/>
    <w:rsid w:val="009D18C0"/>
    <w:rsid w:val="009D1946"/>
    <w:rsid w:val="009D1A1C"/>
    <w:rsid w:val="009D1BA7"/>
    <w:rsid w:val="009D1CF3"/>
    <w:rsid w:val="009D2193"/>
    <w:rsid w:val="009D23D7"/>
    <w:rsid w:val="009D23FE"/>
    <w:rsid w:val="009D2BDA"/>
    <w:rsid w:val="009D2CBE"/>
    <w:rsid w:val="009D2DB9"/>
    <w:rsid w:val="009D2E79"/>
    <w:rsid w:val="009D2F38"/>
    <w:rsid w:val="009D3776"/>
    <w:rsid w:val="009D3AAB"/>
    <w:rsid w:val="009D3BAD"/>
    <w:rsid w:val="009D3C70"/>
    <w:rsid w:val="009D3CFD"/>
    <w:rsid w:val="009D3FFF"/>
    <w:rsid w:val="009D41FD"/>
    <w:rsid w:val="009D4254"/>
    <w:rsid w:val="009D43FB"/>
    <w:rsid w:val="009D44E2"/>
    <w:rsid w:val="009D47E8"/>
    <w:rsid w:val="009D48EC"/>
    <w:rsid w:val="009D496D"/>
    <w:rsid w:val="009D4B83"/>
    <w:rsid w:val="009D4DC6"/>
    <w:rsid w:val="009D4FA5"/>
    <w:rsid w:val="009D5535"/>
    <w:rsid w:val="009D5D80"/>
    <w:rsid w:val="009D5EEA"/>
    <w:rsid w:val="009D5F16"/>
    <w:rsid w:val="009D6A61"/>
    <w:rsid w:val="009D6BD8"/>
    <w:rsid w:val="009D6FD9"/>
    <w:rsid w:val="009D7253"/>
    <w:rsid w:val="009D7385"/>
    <w:rsid w:val="009D762F"/>
    <w:rsid w:val="009D78F7"/>
    <w:rsid w:val="009D7DB2"/>
    <w:rsid w:val="009E0114"/>
    <w:rsid w:val="009E052F"/>
    <w:rsid w:val="009E07BC"/>
    <w:rsid w:val="009E07E9"/>
    <w:rsid w:val="009E0808"/>
    <w:rsid w:val="009E0D47"/>
    <w:rsid w:val="009E0D91"/>
    <w:rsid w:val="009E0EE6"/>
    <w:rsid w:val="009E10B8"/>
    <w:rsid w:val="009E114B"/>
    <w:rsid w:val="009E11E7"/>
    <w:rsid w:val="009E12B6"/>
    <w:rsid w:val="009E1318"/>
    <w:rsid w:val="009E1964"/>
    <w:rsid w:val="009E19D0"/>
    <w:rsid w:val="009E1C0D"/>
    <w:rsid w:val="009E1D40"/>
    <w:rsid w:val="009E2E41"/>
    <w:rsid w:val="009E31D9"/>
    <w:rsid w:val="009E3301"/>
    <w:rsid w:val="009E331F"/>
    <w:rsid w:val="009E418B"/>
    <w:rsid w:val="009E4321"/>
    <w:rsid w:val="009E44D7"/>
    <w:rsid w:val="009E4749"/>
    <w:rsid w:val="009E47E3"/>
    <w:rsid w:val="009E48AE"/>
    <w:rsid w:val="009E49D0"/>
    <w:rsid w:val="009E5095"/>
    <w:rsid w:val="009E50DB"/>
    <w:rsid w:val="009E52EB"/>
    <w:rsid w:val="009E57DB"/>
    <w:rsid w:val="009E5DF3"/>
    <w:rsid w:val="009E5DFC"/>
    <w:rsid w:val="009E5EA6"/>
    <w:rsid w:val="009E61E7"/>
    <w:rsid w:val="009E61FB"/>
    <w:rsid w:val="009E6480"/>
    <w:rsid w:val="009E6882"/>
    <w:rsid w:val="009E73EF"/>
    <w:rsid w:val="009E79E1"/>
    <w:rsid w:val="009E7A84"/>
    <w:rsid w:val="009E7A8B"/>
    <w:rsid w:val="009E7AA2"/>
    <w:rsid w:val="009E7C6A"/>
    <w:rsid w:val="009F01FD"/>
    <w:rsid w:val="009F0F87"/>
    <w:rsid w:val="009F100C"/>
    <w:rsid w:val="009F1037"/>
    <w:rsid w:val="009F1279"/>
    <w:rsid w:val="009F12AF"/>
    <w:rsid w:val="009F1334"/>
    <w:rsid w:val="009F13F9"/>
    <w:rsid w:val="009F15CE"/>
    <w:rsid w:val="009F163F"/>
    <w:rsid w:val="009F178A"/>
    <w:rsid w:val="009F1AA2"/>
    <w:rsid w:val="009F1B6A"/>
    <w:rsid w:val="009F1F05"/>
    <w:rsid w:val="009F2119"/>
    <w:rsid w:val="009F24DA"/>
    <w:rsid w:val="009F25C1"/>
    <w:rsid w:val="009F29CB"/>
    <w:rsid w:val="009F2A3B"/>
    <w:rsid w:val="009F2D1D"/>
    <w:rsid w:val="009F2EC4"/>
    <w:rsid w:val="009F3591"/>
    <w:rsid w:val="009F3A25"/>
    <w:rsid w:val="009F3AE8"/>
    <w:rsid w:val="009F3C65"/>
    <w:rsid w:val="009F461E"/>
    <w:rsid w:val="009F47B3"/>
    <w:rsid w:val="009F493C"/>
    <w:rsid w:val="009F4A15"/>
    <w:rsid w:val="009F4F00"/>
    <w:rsid w:val="009F50A9"/>
    <w:rsid w:val="009F50DA"/>
    <w:rsid w:val="009F54C9"/>
    <w:rsid w:val="009F552D"/>
    <w:rsid w:val="009F55B8"/>
    <w:rsid w:val="009F5BDB"/>
    <w:rsid w:val="009F62E4"/>
    <w:rsid w:val="009F6466"/>
    <w:rsid w:val="009F6726"/>
    <w:rsid w:val="009F68DA"/>
    <w:rsid w:val="009F6B26"/>
    <w:rsid w:val="009F6DB9"/>
    <w:rsid w:val="009F6F32"/>
    <w:rsid w:val="009F73DC"/>
    <w:rsid w:val="009F7545"/>
    <w:rsid w:val="009F7A79"/>
    <w:rsid w:val="009F7C93"/>
    <w:rsid w:val="009F7CD5"/>
    <w:rsid w:val="00A00576"/>
    <w:rsid w:val="00A00586"/>
    <w:rsid w:val="00A00676"/>
    <w:rsid w:val="00A00876"/>
    <w:rsid w:val="00A00B1B"/>
    <w:rsid w:val="00A00E5C"/>
    <w:rsid w:val="00A00F0A"/>
    <w:rsid w:val="00A00FEF"/>
    <w:rsid w:val="00A016E7"/>
    <w:rsid w:val="00A017B2"/>
    <w:rsid w:val="00A01901"/>
    <w:rsid w:val="00A01CA8"/>
    <w:rsid w:val="00A01E9D"/>
    <w:rsid w:val="00A01F54"/>
    <w:rsid w:val="00A02825"/>
    <w:rsid w:val="00A029CB"/>
    <w:rsid w:val="00A02E38"/>
    <w:rsid w:val="00A02F24"/>
    <w:rsid w:val="00A02F6E"/>
    <w:rsid w:val="00A03803"/>
    <w:rsid w:val="00A03813"/>
    <w:rsid w:val="00A039F8"/>
    <w:rsid w:val="00A03B05"/>
    <w:rsid w:val="00A03B6F"/>
    <w:rsid w:val="00A04031"/>
    <w:rsid w:val="00A04628"/>
    <w:rsid w:val="00A04C4B"/>
    <w:rsid w:val="00A04D37"/>
    <w:rsid w:val="00A05042"/>
    <w:rsid w:val="00A053EB"/>
    <w:rsid w:val="00A05D22"/>
    <w:rsid w:val="00A05DDF"/>
    <w:rsid w:val="00A05E03"/>
    <w:rsid w:val="00A06092"/>
    <w:rsid w:val="00A06122"/>
    <w:rsid w:val="00A061E6"/>
    <w:rsid w:val="00A06451"/>
    <w:rsid w:val="00A0690E"/>
    <w:rsid w:val="00A073D3"/>
    <w:rsid w:val="00A0780B"/>
    <w:rsid w:val="00A0792E"/>
    <w:rsid w:val="00A07A7F"/>
    <w:rsid w:val="00A07BE8"/>
    <w:rsid w:val="00A07DEB"/>
    <w:rsid w:val="00A07EEB"/>
    <w:rsid w:val="00A1011B"/>
    <w:rsid w:val="00A10364"/>
    <w:rsid w:val="00A10F1A"/>
    <w:rsid w:val="00A11247"/>
    <w:rsid w:val="00A11252"/>
    <w:rsid w:val="00A1137E"/>
    <w:rsid w:val="00A11522"/>
    <w:rsid w:val="00A1153E"/>
    <w:rsid w:val="00A1233C"/>
    <w:rsid w:val="00A12581"/>
    <w:rsid w:val="00A12609"/>
    <w:rsid w:val="00A1262B"/>
    <w:rsid w:val="00A12AA8"/>
    <w:rsid w:val="00A12ACC"/>
    <w:rsid w:val="00A12F1C"/>
    <w:rsid w:val="00A12F5D"/>
    <w:rsid w:val="00A13048"/>
    <w:rsid w:val="00A13164"/>
    <w:rsid w:val="00A13477"/>
    <w:rsid w:val="00A13776"/>
    <w:rsid w:val="00A1393F"/>
    <w:rsid w:val="00A13CC0"/>
    <w:rsid w:val="00A13ECC"/>
    <w:rsid w:val="00A1400F"/>
    <w:rsid w:val="00A1428A"/>
    <w:rsid w:val="00A14664"/>
    <w:rsid w:val="00A14948"/>
    <w:rsid w:val="00A149C1"/>
    <w:rsid w:val="00A149D1"/>
    <w:rsid w:val="00A14B5D"/>
    <w:rsid w:val="00A14E37"/>
    <w:rsid w:val="00A151F1"/>
    <w:rsid w:val="00A15414"/>
    <w:rsid w:val="00A15544"/>
    <w:rsid w:val="00A15593"/>
    <w:rsid w:val="00A15717"/>
    <w:rsid w:val="00A157E4"/>
    <w:rsid w:val="00A157E7"/>
    <w:rsid w:val="00A15C44"/>
    <w:rsid w:val="00A1607D"/>
    <w:rsid w:val="00A162EA"/>
    <w:rsid w:val="00A163AC"/>
    <w:rsid w:val="00A1676A"/>
    <w:rsid w:val="00A169F6"/>
    <w:rsid w:val="00A16AAC"/>
    <w:rsid w:val="00A16D90"/>
    <w:rsid w:val="00A17019"/>
    <w:rsid w:val="00A171A7"/>
    <w:rsid w:val="00A17360"/>
    <w:rsid w:val="00A17745"/>
    <w:rsid w:val="00A20047"/>
    <w:rsid w:val="00A201BB"/>
    <w:rsid w:val="00A2034E"/>
    <w:rsid w:val="00A20374"/>
    <w:rsid w:val="00A20591"/>
    <w:rsid w:val="00A20A2E"/>
    <w:rsid w:val="00A20DA6"/>
    <w:rsid w:val="00A20E9B"/>
    <w:rsid w:val="00A20EA5"/>
    <w:rsid w:val="00A2104A"/>
    <w:rsid w:val="00A2141F"/>
    <w:rsid w:val="00A2156E"/>
    <w:rsid w:val="00A21571"/>
    <w:rsid w:val="00A2163E"/>
    <w:rsid w:val="00A21A7E"/>
    <w:rsid w:val="00A21B89"/>
    <w:rsid w:val="00A21BD9"/>
    <w:rsid w:val="00A21DA8"/>
    <w:rsid w:val="00A21DFD"/>
    <w:rsid w:val="00A21EE9"/>
    <w:rsid w:val="00A2241C"/>
    <w:rsid w:val="00A22469"/>
    <w:rsid w:val="00A228BC"/>
    <w:rsid w:val="00A22C68"/>
    <w:rsid w:val="00A22EC5"/>
    <w:rsid w:val="00A23343"/>
    <w:rsid w:val="00A23541"/>
    <w:rsid w:val="00A23CE7"/>
    <w:rsid w:val="00A242AC"/>
    <w:rsid w:val="00A2432B"/>
    <w:rsid w:val="00A24356"/>
    <w:rsid w:val="00A244CA"/>
    <w:rsid w:val="00A245BB"/>
    <w:rsid w:val="00A24945"/>
    <w:rsid w:val="00A24A19"/>
    <w:rsid w:val="00A24FC8"/>
    <w:rsid w:val="00A25244"/>
    <w:rsid w:val="00A25301"/>
    <w:rsid w:val="00A2541C"/>
    <w:rsid w:val="00A258BF"/>
    <w:rsid w:val="00A25ACB"/>
    <w:rsid w:val="00A25CB6"/>
    <w:rsid w:val="00A25CCB"/>
    <w:rsid w:val="00A25DAD"/>
    <w:rsid w:val="00A25FBB"/>
    <w:rsid w:val="00A26310"/>
    <w:rsid w:val="00A269B0"/>
    <w:rsid w:val="00A26A0E"/>
    <w:rsid w:val="00A26C9D"/>
    <w:rsid w:val="00A26FF2"/>
    <w:rsid w:val="00A274B4"/>
    <w:rsid w:val="00A275D3"/>
    <w:rsid w:val="00A27AA1"/>
    <w:rsid w:val="00A27FD4"/>
    <w:rsid w:val="00A304C2"/>
    <w:rsid w:val="00A305D8"/>
    <w:rsid w:val="00A30996"/>
    <w:rsid w:val="00A31280"/>
    <w:rsid w:val="00A31615"/>
    <w:rsid w:val="00A319D5"/>
    <w:rsid w:val="00A31A94"/>
    <w:rsid w:val="00A31F23"/>
    <w:rsid w:val="00A3201C"/>
    <w:rsid w:val="00A322F5"/>
    <w:rsid w:val="00A322F8"/>
    <w:rsid w:val="00A32768"/>
    <w:rsid w:val="00A32876"/>
    <w:rsid w:val="00A32A1A"/>
    <w:rsid w:val="00A32AD6"/>
    <w:rsid w:val="00A32F70"/>
    <w:rsid w:val="00A3304D"/>
    <w:rsid w:val="00A337AD"/>
    <w:rsid w:val="00A3391A"/>
    <w:rsid w:val="00A33A1C"/>
    <w:rsid w:val="00A34141"/>
    <w:rsid w:val="00A348E5"/>
    <w:rsid w:val="00A34DBE"/>
    <w:rsid w:val="00A352AD"/>
    <w:rsid w:val="00A353AC"/>
    <w:rsid w:val="00A35569"/>
    <w:rsid w:val="00A35663"/>
    <w:rsid w:val="00A35C4F"/>
    <w:rsid w:val="00A36336"/>
    <w:rsid w:val="00A3690D"/>
    <w:rsid w:val="00A36984"/>
    <w:rsid w:val="00A370AD"/>
    <w:rsid w:val="00A374BF"/>
    <w:rsid w:val="00A377F3"/>
    <w:rsid w:val="00A379EB"/>
    <w:rsid w:val="00A37B95"/>
    <w:rsid w:val="00A37D99"/>
    <w:rsid w:val="00A40118"/>
    <w:rsid w:val="00A40504"/>
    <w:rsid w:val="00A41288"/>
    <w:rsid w:val="00A4135B"/>
    <w:rsid w:val="00A41413"/>
    <w:rsid w:val="00A41455"/>
    <w:rsid w:val="00A41469"/>
    <w:rsid w:val="00A41B9D"/>
    <w:rsid w:val="00A41E8D"/>
    <w:rsid w:val="00A4230A"/>
    <w:rsid w:val="00A42405"/>
    <w:rsid w:val="00A42493"/>
    <w:rsid w:val="00A42786"/>
    <w:rsid w:val="00A428E1"/>
    <w:rsid w:val="00A429F7"/>
    <w:rsid w:val="00A42CAC"/>
    <w:rsid w:val="00A42F45"/>
    <w:rsid w:val="00A4355C"/>
    <w:rsid w:val="00A43560"/>
    <w:rsid w:val="00A43716"/>
    <w:rsid w:val="00A43A16"/>
    <w:rsid w:val="00A43B59"/>
    <w:rsid w:val="00A43C00"/>
    <w:rsid w:val="00A43CFA"/>
    <w:rsid w:val="00A43DAD"/>
    <w:rsid w:val="00A43EA6"/>
    <w:rsid w:val="00A44436"/>
    <w:rsid w:val="00A448A7"/>
    <w:rsid w:val="00A44B46"/>
    <w:rsid w:val="00A44C50"/>
    <w:rsid w:val="00A44DF4"/>
    <w:rsid w:val="00A44F93"/>
    <w:rsid w:val="00A45001"/>
    <w:rsid w:val="00A450E3"/>
    <w:rsid w:val="00A45188"/>
    <w:rsid w:val="00A45B70"/>
    <w:rsid w:val="00A45F5D"/>
    <w:rsid w:val="00A4610C"/>
    <w:rsid w:val="00A46185"/>
    <w:rsid w:val="00A46990"/>
    <w:rsid w:val="00A46D8F"/>
    <w:rsid w:val="00A47001"/>
    <w:rsid w:val="00A471D4"/>
    <w:rsid w:val="00A4759A"/>
    <w:rsid w:val="00A47687"/>
    <w:rsid w:val="00A476EC"/>
    <w:rsid w:val="00A47917"/>
    <w:rsid w:val="00A47A0D"/>
    <w:rsid w:val="00A47AC5"/>
    <w:rsid w:val="00A50133"/>
    <w:rsid w:val="00A503A4"/>
    <w:rsid w:val="00A504E2"/>
    <w:rsid w:val="00A50FD9"/>
    <w:rsid w:val="00A5105B"/>
    <w:rsid w:val="00A51109"/>
    <w:rsid w:val="00A514A5"/>
    <w:rsid w:val="00A5182F"/>
    <w:rsid w:val="00A5193E"/>
    <w:rsid w:val="00A51F5A"/>
    <w:rsid w:val="00A52021"/>
    <w:rsid w:val="00A52131"/>
    <w:rsid w:val="00A5217C"/>
    <w:rsid w:val="00A523F8"/>
    <w:rsid w:val="00A52975"/>
    <w:rsid w:val="00A52B8F"/>
    <w:rsid w:val="00A53275"/>
    <w:rsid w:val="00A53970"/>
    <w:rsid w:val="00A53A6A"/>
    <w:rsid w:val="00A53B7E"/>
    <w:rsid w:val="00A53F8A"/>
    <w:rsid w:val="00A545B1"/>
    <w:rsid w:val="00A54A54"/>
    <w:rsid w:val="00A54FB1"/>
    <w:rsid w:val="00A55029"/>
    <w:rsid w:val="00A55204"/>
    <w:rsid w:val="00A55260"/>
    <w:rsid w:val="00A554AD"/>
    <w:rsid w:val="00A5571E"/>
    <w:rsid w:val="00A559C1"/>
    <w:rsid w:val="00A55CC5"/>
    <w:rsid w:val="00A55D78"/>
    <w:rsid w:val="00A55F13"/>
    <w:rsid w:val="00A55F2A"/>
    <w:rsid w:val="00A55F2E"/>
    <w:rsid w:val="00A55FB9"/>
    <w:rsid w:val="00A5607B"/>
    <w:rsid w:val="00A561E2"/>
    <w:rsid w:val="00A56631"/>
    <w:rsid w:val="00A56DD3"/>
    <w:rsid w:val="00A56F0C"/>
    <w:rsid w:val="00A56F6C"/>
    <w:rsid w:val="00A578A1"/>
    <w:rsid w:val="00A57C4C"/>
    <w:rsid w:val="00A57D7F"/>
    <w:rsid w:val="00A57F84"/>
    <w:rsid w:val="00A57FB4"/>
    <w:rsid w:val="00A605F6"/>
    <w:rsid w:val="00A60CAB"/>
    <w:rsid w:val="00A60E82"/>
    <w:rsid w:val="00A610C5"/>
    <w:rsid w:val="00A61226"/>
    <w:rsid w:val="00A61270"/>
    <w:rsid w:val="00A61520"/>
    <w:rsid w:val="00A615D6"/>
    <w:rsid w:val="00A61644"/>
    <w:rsid w:val="00A61669"/>
    <w:rsid w:val="00A61864"/>
    <w:rsid w:val="00A61922"/>
    <w:rsid w:val="00A61AC6"/>
    <w:rsid w:val="00A61BEE"/>
    <w:rsid w:val="00A61DB0"/>
    <w:rsid w:val="00A62015"/>
    <w:rsid w:val="00A62304"/>
    <w:rsid w:val="00A62805"/>
    <w:rsid w:val="00A62876"/>
    <w:rsid w:val="00A628B0"/>
    <w:rsid w:val="00A62AF7"/>
    <w:rsid w:val="00A62B20"/>
    <w:rsid w:val="00A62C87"/>
    <w:rsid w:val="00A62CC4"/>
    <w:rsid w:val="00A62D50"/>
    <w:rsid w:val="00A62DA1"/>
    <w:rsid w:val="00A63286"/>
    <w:rsid w:val="00A63673"/>
    <w:rsid w:val="00A63E17"/>
    <w:rsid w:val="00A644A2"/>
    <w:rsid w:val="00A64787"/>
    <w:rsid w:val="00A64D28"/>
    <w:rsid w:val="00A65001"/>
    <w:rsid w:val="00A65843"/>
    <w:rsid w:val="00A65CD1"/>
    <w:rsid w:val="00A65DBF"/>
    <w:rsid w:val="00A66107"/>
    <w:rsid w:val="00A6612F"/>
    <w:rsid w:val="00A66373"/>
    <w:rsid w:val="00A663C6"/>
    <w:rsid w:val="00A6642F"/>
    <w:rsid w:val="00A665CB"/>
    <w:rsid w:val="00A66C14"/>
    <w:rsid w:val="00A67073"/>
    <w:rsid w:val="00A671EF"/>
    <w:rsid w:val="00A6739C"/>
    <w:rsid w:val="00A674AE"/>
    <w:rsid w:val="00A67778"/>
    <w:rsid w:val="00A67B6B"/>
    <w:rsid w:val="00A67B7C"/>
    <w:rsid w:val="00A67D8E"/>
    <w:rsid w:val="00A67F79"/>
    <w:rsid w:val="00A7008D"/>
    <w:rsid w:val="00A700E9"/>
    <w:rsid w:val="00A706A4"/>
    <w:rsid w:val="00A7071C"/>
    <w:rsid w:val="00A708B0"/>
    <w:rsid w:val="00A70C4A"/>
    <w:rsid w:val="00A70C7E"/>
    <w:rsid w:val="00A70CB0"/>
    <w:rsid w:val="00A70D37"/>
    <w:rsid w:val="00A70DE8"/>
    <w:rsid w:val="00A71333"/>
    <w:rsid w:val="00A713D3"/>
    <w:rsid w:val="00A71805"/>
    <w:rsid w:val="00A71DBC"/>
    <w:rsid w:val="00A71DF0"/>
    <w:rsid w:val="00A71E0B"/>
    <w:rsid w:val="00A72214"/>
    <w:rsid w:val="00A722B2"/>
    <w:rsid w:val="00A723E9"/>
    <w:rsid w:val="00A7243A"/>
    <w:rsid w:val="00A72665"/>
    <w:rsid w:val="00A72715"/>
    <w:rsid w:val="00A72746"/>
    <w:rsid w:val="00A7296C"/>
    <w:rsid w:val="00A72F82"/>
    <w:rsid w:val="00A7307D"/>
    <w:rsid w:val="00A730C7"/>
    <w:rsid w:val="00A735A6"/>
    <w:rsid w:val="00A737D0"/>
    <w:rsid w:val="00A73A42"/>
    <w:rsid w:val="00A73AD7"/>
    <w:rsid w:val="00A73B72"/>
    <w:rsid w:val="00A73CD7"/>
    <w:rsid w:val="00A73F1B"/>
    <w:rsid w:val="00A73FEA"/>
    <w:rsid w:val="00A74433"/>
    <w:rsid w:val="00A74591"/>
    <w:rsid w:val="00A749CA"/>
    <w:rsid w:val="00A74CC0"/>
    <w:rsid w:val="00A74DC6"/>
    <w:rsid w:val="00A7506B"/>
    <w:rsid w:val="00A7511F"/>
    <w:rsid w:val="00A755AB"/>
    <w:rsid w:val="00A75660"/>
    <w:rsid w:val="00A758D9"/>
    <w:rsid w:val="00A759E1"/>
    <w:rsid w:val="00A75A41"/>
    <w:rsid w:val="00A75AED"/>
    <w:rsid w:val="00A75AFE"/>
    <w:rsid w:val="00A75C5F"/>
    <w:rsid w:val="00A75C8F"/>
    <w:rsid w:val="00A75D1A"/>
    <w:rsid w:val="00A7615E"/>
    <w:rsid w:val="00A761B8"/>
    <w:rsid w:val="00A7636B"/>
    <w:rsid w:val="00A76457"/>
    <w:rsid w:val="00A768A4"/>
    <w:rsid w:val="00A769E9"/>
    <w:rsid w:val="00A772EE"/>
    <w:rsid w:val="00A774E6"/>
    <w:rsid w:val="00A7756F"/>
    <w:rsid w:val="00A77849"/>
    <w:rsid w:val="00A779A4"/>
    <w:rsid w:val="00A77ACB"/>
    <w:rsid w:val="00A77C1D"/>
    <w:rsid w:val="00A77DFB"/>
    <w:rsid w:val="00A77EFC"/>
    <w:rsid w:val="00A77F58"/>
    <w:rsid w:val="00A800C5"/>
    <w:rsid w:val="00A80780"/>
    <w:rsid w:val="00A80BD3"/>
    <w:rsid w:val="00A80C8E"/>
    <w:rsid w:val="00A80CD5"/>
    <w:rsid w:val="00A80CDD"/>
    <w:rsid w:val="00A80D24"/>
    <w:rsid w:val="00A81354"/>
    <w:rsid w:val="00A81610"/>
    <w:rsid w:val="00A81907"/>
    <w:rsid w:val="00A81C37"/>
    <w:rsid w:val="00A81F60"/>
    <w:rsid w:val="00A82287"/>
    <w:rsid w:val="00A82AA7"/>
    <w:rsid w:val="00A83BA7"/>
    <w:rsid w:val="00A83CB7"/>
    <w:rsid w:val="00A83E68"/>
    <w:rsid w:val="00A83EBB"/>
    <w:rsid w:val="00A84075"/>
    <w:rsid w:val="00A8417B"/>
    <w:rsid w:val="00A84272"/>
    <w:rsid w:val="00A845B8"/>
    <w:rsid w:val="00A84614"/>
    <w:rsid w:val="00A84BC0"/>
    <w:rsid w:val="00A84DDF"/>
    <w:rsid w:val="00A84DEE"/>
    <w:rsid w:val="00A855FA"/>
    <w:rsid w:val="00A856CE"/>
    <w:rsid w:val="00A85964"/>
    <w:rsid w:val="00A85CD0"/>
    <w:rsid w:val="00A860A9"/>
    <w:rsid w:val="00A866C9"/>
    <w:rsid w:val="00A86D5C"/>
    <w:rsid w:val="00A86DCA"/>
    <w:rsid w:val="00A87162"/>
    <w:rsid w:val="00A8718F"/>
    <w:rsid w:val="00A87569"/>
    <w:rsid w:val="00A8784B"/>
    <w:rsid w:val="00A87881"/>
    <w:rsid w:val="00A8796F"/>
    <w:rsid w:val="00A87B14"/>
    <w:rsid w:val="00A87B79"/>
    <w:rsid w:val="00A87FA5"/>
    <w:rsid w:val="00A90001"/>
    <w:rsid w:val="00A9009E"/>
    <w:rsid w:val="00A90118"/>
    <w:rsid w:val="00A908E2"/>
    <w:rsid w:val="00A9090F"/>
    <w:rsid w:val="00A90A81"/>
    <w:rsid w:val="00A90C79"/>
    <w:rsid w:val="00A90D14"/>
    <w:rsid w:val="00A90EC9"/>
    <w:rsid w:val="00A90EE1"/>
    <w:rsid w:val="00A9148C"/>
    <w:rsid w:val="00A914EB"/>
    <w:rsid w:val="00A91587"/>
    <w:rsid w:val="00A91867"/>
    <w:rsid w:val="00A91939"/>
    <w:rsid w:val="00A91B65"/>
    <w:rsid w:val="00A91D74"/>
    <w:rsid w:val="00A91E4D"/>
    <w:rsid w:val="00A91FB0"/>
    <w:rsid w:val="00A9223D"/>
    <w:rsid w:val="00A9282C"/>
    <w:rsid w:val="00A92910"/>
    <w:rsid w:val="00A9291C"/>
    <w:rsid w:val="00A92B46"/>
    <w:rsid w:val="00A92F9A"/>
    <w:rsid w:val="00A930A4"/>
    <w:rsid w:val="00A933C5"/>
    <w:rsid w:val="00A93522"/>
    <w:rsid w:val="00A9390B"/>
    <w:rsid w:val="00A93F9F"/>
    <w:rsid w:val="00A9409B"/>
    <w:rsid w:val="00A940BC"/>
    <w:rsid w:val="00A9468D"/>
    <w:rsid w:val="00A946DF"/>
    <w:rsid w:val="00A947E6"/>
    <w:rsid w:val="00A94A09"/>
    <w:rsid w:val="00A94ACC"/>
    <w:rsid w:val="00A94C08"/>
    <w:rsid w:val="00A94DC4"/>
    <w:rsid w:val="00A95016"/>
    <w:rsid w:val="00A95186"/>
    <w:rsid w:val="00A9536F"/>
    <w:rsid w:val="00A954D7"/>
    <w:rsid w:val="00A95AE9"/>
    <w:rsid w:val="00A95D88"/>
    <w:rsid w:val="00A9628C"/>
    <w:rsid w:val="00A9645E"/>
    <w:rsid w:val="00A96854"/>
    <w:rsid w:val="00A969E6"/>
    <w:rsid w:val="00A96C43"/>
    <w:rsid w:val="00A96E47"/>
    <w:rsid w:val="00A9735F"/>
    <w:rsid w:val="00A975B1"/>
    <w:rsid w:val="00A976CF"/>
    <w:rsid w:val="00A97888"/>
    <w:rsid w:val="00A97B8C"/>
    <w:rsid w:val="00A97C8A"/>
    <w:rsid w:val="00A97E01"/>
    <w:rsid w:val="00AA0317"/>
    <w:rsid w:val="00AA0528"/>
    <w:rsid w:val="00AA053A"/>
    <w:rsid w:val="00AA0A1F"/>
    <w:rsid w:val="00AA0F43"/>
    <w:rsid w:val="00AA1AE0"/>
    <w:rsid w:val="00AA1C9E"/>
    <w:rsid w:val="00AA1CA8"/>
    <w:rsid w:val="00AA1CD1"/>
    <w:rsid w:val="00AA1FF2"/>
    <w:rsid w:val="00AA29B0"/>
    <w:rsid w:val="00AA2A95"/>
    <w:rsid w:val="00AA2BC3"/>
    <w:rsid w:val="00AA2D4E"/>
    <w:rsid w:val="00AA2FBE"/>
    <w:rsid w:val="00AA3392"/>
    <w:rsid w:val="00AA33E4"/>
    <w:rsid w:val="00AA34CC"/>
    <w:rsid w:val="00AA350C"/>
    <w:rsid w:val="00AA37A6"/>
    <w:rsid w:val="00AA3FDE"/>
    <w:rsid w:val="00AA41C8"/>
    <w:rsid w:val="00AA423B"/>
    <w:rsid w:val="00AA4268"/>
    <w:rsid w:val="00AA42C3"/>
    <w:rsid w:val="00AA4364"/>
    <w:rsid w:val="00AA4488"/>
    <w:rsid w:val="00AA4C9F"/>
    <w:rsid w:val="00AA4CF2"/>
    <w:rsid w:val="00AA4D46"/>
    <w:rsid w:val="00AA4FF6"/>
    <w:rsid w:val="00AA50E6"/>
    <w:rsid w:val="00AA5208"/>
    <w:rsid w:val="00AA5C46"/>
    <w:rsid w:val="00AA615D"/>
    <w:rsid w:val="00AA6477"/>
    <w:rsid w:val="00AA64E0"/>
    <w:rsid w:val="00AA65F3"/>
    <w:rsid w:val="00AA6615"/>
    <w:rsid w:val="00AA68C3"/>
    <w:rsid w:val="00AA6B21"/>
    <w:rsid w:val="00AA6E2A"/>
    <w:rsid w:val="00AA70B2"/>
    <w:rsid w:val="00AA7355"/>
    <w:rsid w:val="00AA76BF"/>
    <w:rsid w:val="00AA7B5C"/>
    <w:rsid w:val="00AA7C2D"/>
    <w:rsid w:val="00AA7D21"/>
    <w:rsid w:val="00AA7D2C"/>
    <w:rsid w:val="00AB0343"/>
    <w:rsid w:val="00AB05EF"/>
    <w:rsid w:val="00AB060B"/>
    <w:rsid w:val="00AB0616"/>
    <w:rsid w:val="00AB0F7C"/>
    <w:rsid w:val="00AB1095"/>
    <w:rsid w:val="00AB125E"/>
    <w:rsid w:val="00AB13A7"/>
    <w:rsid w:val="00AB1416"/>
    <w:rsid w:val="00AB1520"/>
    <w:rsid w:val="00AB18FB"/>
    <w:rsid w:val="00AB19E8"/>
    <w:rsid w:val="00AB1ACE"/>
    <w:rsid w:val="00AB1BD7"/>
    <w:rsid w:val="00AB226B"/>
    <w:rsid w:val="00AB2443"/>
    <w:rsid w:val="00AB2465"/>
    <w:rsid w:val="00AB24C4"/>
    <w:rsid w:val="00AB24D6"/>
    <w:rsid w:val="00AB273D"/>
    <w:rsid w:val="00AB2F21"/>
    <w:rsid w:val="00AB2F6C"/>
    <w:rsid w:val="00AB344B"/>
    <w:rsid w:val="00AB37EB"/>
    <w:rsid w:val="00AB37F6"/>
    <w:rsid w:val="00AB3834"/>
    <w:rsid w:val="00AB3A89"/>
    <w:rsid w:val="00AB3AFC"/>
    <w:rsid w:val="00AB3CE0"/>
    <w:rsid w:val="00AB3DC4"/>
    <w:rsid w:val="00AB3E09"/>
    <w:rsid w:val="00AB3E8D"/>
    <w:rsid w:val="00AB3F3C"/>
    <w:rsid w:val="00AB3F6A"/>
    <w:rsid w:val="00AB407A"/>
    <w:rsid w:val="00AB424D"/>
    <w:rsid w:val="00AB42C5"/>
    <w:rsid w:val="00AB43BF"/>
    <w:rsid w:val="00AB489A"/>
    <w:rsid w:val="00AB4F92"/>
    <w:rsid w:val="00AB5140"/>
    <w:rsid w:val="00AB5269"/>
    <w:rsid w:val="00AB55DE"/>
    <w:rsid w:val="00AB5A04"/>
    <w:rsid w:val="00AB5CF8"/>
    <w:rsid w:val="00AB5D0E"/>
    <w:rsid w:val="00AB5D8C"/>
    <w:rsid w:val="00AB61DC"/>
    <w:rsid w:val="00AB62A8"/>
    <w:rsid w:val="00AB6402"/>
    <w:rsid w:val="00AB668E"/>
    <w:rsid w:val="00AB679A"/>
    <w:rsid w:val="00AB6BCC"/>
    <w:rsid w:val="00AB6C7A"/>
    <w:rsid w:val="00AB6D6C"/>
    <w:rsid w:val="00AB6D78"/>
    <w:rsid w:val="00AB6DB2"/>
    <w:rsid w:val="00AB6FD0"/>
    <w:rsid w:val="00AB7075"/>
    <w:rsid w:val="00AB70CE"/>
    <w:rsid w:val="00AB71BD"/>
    <w:rsid w:val="00AB720D"/>
    <w:rsid w:val="00AB78CC"/>
    <w:rsid w:val="00AB78F4"/>
    <w:rsid w:val="00AB7B3C"/>
    <w:rsid w:val="00AB7BF9"/>
    <w:rsid w:val="00AB7C42"/>
    <w:rsid w:val="00AB7C61"/>
    <w:rsid w:val="00AB7EC9"/>
    <w:rsid w:val="00AC023A"/>
    <w:rsid w:val="00AC02AD"/>
    <w:rsid w:val="00AC040D"/>
    <w:rsid w:val="00AC0422"/>
    <w:rsid w:val="00AC080C"/>
    <w:rsid w:val="00AC0BA9"/>
    <w:rsid w:val="00AC0C50"/>
    <w:rsid w:val="00AC0CF8"/>
    <w:rsid w:val="00AC0EFF"/>
    <w:rsid w:val="00AC1073"/>
    <w:rsid w:val="00AC115B"/>
    <w:rsid w:val="00AC1B4A"/>
    <w:rsid w:val="00AC1BD7"/>
    <w:rsid w:val="00AC2907"/>
    <w:rsid w:val="00AC29ED"/>
    <w:rsid w:val="00AC2D1D"/>
    <w:rsid w:val="00AC2DD2"/>
    <w:rsid w:val="00AC2E6D"/>
    <w:rsid w:val="00AC2EDD"/>
    <w:rsid w:val="00AC3236"/>
    <w:rsid w:val="00AC325C"/>
    <w:rsid w:val="00AC3269"/>
    <w:rsid w:val="00AC3661"/>
    <w:rsid w:val="00AC3A80"/>
    <w:rsid w:val="00AC3AC6"/>
    <w:rsid w:val="00AC3B81"/>
    <w:rsid w:val="00AC4131"/>
    <w:rsid w:val="00AC444F"/>
    <w:rsid w:val="00AC4860"/>
    <w:rsid w:val="00AC4ED2"/>
    <w:rsid w:val="00AC4F58"/>
    <w:rsid w:val="00AC5224"/>
    <w:rsid w:val="00AC52FA"/>
    <w:rsid w:val="00AC6231"/>
    <w:rsid w:val="00AC6232"/>
    <w:rsid w:val="00AC6599"/>
    <w:rsid w:val="00AC6631"/>
    <w:rsid w:val="00AC6852"/>
    <w:rsid w:val="00AC6D1D"/>
    <w:rsid w:val="00AC71B9"/>
    <w:rsid w:val="00AC7218"/>
    <w:rsid w:val="00AC722E"/>
    <w:rsid w:val="00AC7334"/>
    <w:rsid w:val="00AC7425"/>
    <w:rsid w:val="00AC7C1A"/>
    <w:rsid w:val="00AC7C23"/>
    <w:rsid w:val="00AC7C51"/>
    <w:rsid w:val="00AC7E48"/>
    <w:rsid w:val="00AD0309"/>
    <w:rsid w:val="00AD03B6"/>
    <w:rsid w:val="00AD03FA"/>
    <w:rsid w:val="00AD058A"/>
    <w:rsid w:val="00AD0A34"/>
    <w:rsid w:val="00AD0AC1"/>
    <w:rsid w:val="00AD0D3F"/>
    <w:rsid w:val="00AD0E16"/>
    <w:rsid w:val="00AD12BA"/>
    <w:rsid w:val="00AD180B"/>
    <w:rsid w:val="00AD1A59"/>
    <w:rsid w:val="00AD2B57"/>
    <w:rsid w:val="00AD2F9C"/>
    <w:rsid w:val="00AD33B9"/>
    <w:rsid w:val="00AD3510"/>
    <w:rsid w:val="00AD3B0B"/>
    <w:rsid w:val="00AD3D3A"/>
    <w:rsid w:val="00AD3E1E"/>
    <w:rsid w:val="00AD47B0"/>
    <w:rsid w:val="00AD4829"/>
    <w:rsid w:val="00AD48AA"/>
    <w:rsid w:val="00AD4E27"/>
    <w:rsid w:val="00AD4ED5"/>
    <w:rsid w:val="00AD4F86"/>
    <w:rsid w:val="00AD56C6"/>
    <w:rsid w:val="00AD5968"/>
    <w:rsid w:val="00AD59BC"/>
    <w:rsid w:val="00AD5B8B"/>
    <w:rsid w:val="00AD5F3D"/>
    <w:rsid w:val="00AD60C3"/>
    <w:rsid w:val="00AD6339"/>
    <w:rsid w:val="00AD67D4"/>
    <w:rsid w:val="00AD697C"/>
    <w:rsid w:val="00AD6A3B"/>
    <w:rsid w:val="00AD6BFC"/>
    <w:rsid w:val="00AD6FF4"/>
    <w:rsid w:val="00AD7BC9"/>
    <w:rsid w:val="00AD7E37"/>
    <w:rsid w:val="00AD7FB5"/>
    <w:rsid w:val="00AE0494"/>
    <w:rsid w:val="00AE0C49"/>
    <w:rsid w:val="00AE161C"/>
    <w:rsid w:val="00AE16A8"/>
    <w:rsid w:val="00AE1EAB"/>
    <w:rsid w:val="00AE1FA8"/>
    <w:rsid w:val="00AE1FBC"/>
    <w:rsid w:val="00AE2059"/>
    <w:rsid w:val="00AE219F"/>
    <w:rsid w:val="00AE221B"/>
    <w:rsid w:val="00AE2453"/>
    <w:rsid w:val="00AE2752"/>
    <w:rsid w:val="00AE2908"/>
    <w:rsid w:val="00AE2AFC"/>
    <w:rsid w:val="00AE2F13"/>
    <w:rsid w:val="00AE38A1"/>
    <w:rsid w:val="00AE3D74"/>
    <w:rsid w:val="00AE3F84"/>
    <w:rsid w:val="00AE4004"/>
    <w:rsid w:val="00AE471B"/>
    <w:rsid w:val="00AE495D"/>
    <w:rsid w:val="00AE4C27"/>
    <w:rsid w:val="00AE4E64"/>
    <w:rsid w:val="00AE4F2E"/>
    <w:rsid w:val="00AE51B8"/>
    <w:rsid w:val="00AE5332"/>
    <w:rsid w:val="00AE54F2"/>
    <w:rsid w:val="00AE5620"/>
    <w:rsid w:val="00AE5830"/>
    <w:rsid w:val="00AE5D0B"/>
    <w:rsid w:val="00AE5DB1"/>
    <w:rsid w:val="00AE6709"/>
    <w:rsid w:val="00AE685E"/>
    <w:rsid w:val="00AE6869"/>
    <w:rsid w:val="00AE6B15"/>
    <w:rsid w:val="00AE6D88"/>
    <w:rsid w:val="00AE6F2E"/>
    <w:rsid w:val="00AE7077"/>
    <w:rsid w:val="00AE717D"/>
    <w:rsid w:val="00AE77A5"/>
    <w:rsid w:val="00AE782F"/>
    <w:rsid w:val="00AE78B3"/>
    <w:rsid w:val="00AE7B8D"/>
    <w:rsid w:val="00AE7D32"/>
    <w:rsid w:val="00AF010F"/>
    <w:rsid w:val="00AF035D"/>
    <w:rsid w:val="00AF038B"/>
    <w:rsid w:val="00AF03A4"/>
    <w:rsid w:val="00AF0B2E"/>
    <w:rsid w:val="00AF0EE8"/>
    <w:rsid w:val="00AF1370"/>
    <w:rsid w:val="00AF154C"/>
    <w:rsid w:val="00AF159F"/>
    <w:rsid w:val="00AF1818"/>
    <w:rsid w:val="00AF1820"/>
    <w:rsid w:val="00AF1850"/>
    <w:rsid w:val="00AF1B0F"/>
    <w:rsid w:val="00AF1BC5"/>
    <w:rsid w:val="00AF1E4C"/>
    <w:rsid w:val="00AF1EAE"/>
    <w:rsid w:val="00AF1EBF"/>
    <w:rsid w:val="00AF26AB"/>
    <w:rsid w:val="00AF298F"/>
    <w:rsid w:val="00AF2DCB"/>
    <w:rsid w:val="00AF3002"/>
    <w:rsid w:val="00AF3071"/>
    <w:rsid w:val="00AF31EF"/>
    <w:rsid w:val="00AF3535"/>
    <w:rsid w:val="00AF36A3"/>
    <w:rsid w:val="00AF39EB"/>
    <w:rsid w:val="00AF3C92"/>
    <w:rsid w:val="00AF3D96"/>
    <w:rsid w:val="00AF3E9D"/>
    <w:rsid w:val="00AF4841"/>
    <w:rsid w:val="00AF4A5C"/>
    <w:rsid w:val="00AF4B24"/>
    <w:rsid w:val="00AF56C8"/>
    <w:rsid w:val="00AF56D2"/>
    <w:rsid w:val="00AF5767"/>
    <w:rsid w:val="00AF5B87"/>
    <w:rsid w:val="00AF601B"/>
    <w:rsid w:val="00AF60C7"/>
    <w:rsid w:val="00AF6589"/>
    <w:rsid w:val="00AF6696"/>
    <w:rsid w:val="00AF6A15"/>
    <w:rsid w:val="00AF6D3A"/>
    <w:rsid w:val="00AF7556"/>
    <w:rsid w:val="00AF76DC"/>
    <w:rsid w:val="00B003E7"/>
    <w:rsid w:val="00B004E6"/>
    <w:rsid w:val="00B00AD0"/>
    <w:rsid w:val="00B00C0E"/>
    <w:rsid w:val="00B00D21"/>
    <w:rsid w:val="00B01284"/>
    <w:rsid w:val="00B012B2"/>
    <w:rsid w:val="00B016BE"/>
    <w:rsid w:val="00B017AC"/>
    <w:rsid w:val="00B01D47"/>
    <w:rsid w:val="00B01E39"/>
    <w:rsid w:val="00B02052"/>
    <w:rsid w:val="00B02223"/>
    <w:rsid w:val="00B02452"/>
    <w:rsid w:val="00B027F9"/>
    <w:rsid w:val="00B02BCF"/>
    <w:rsid w:val="00B02C6A"/>
    <w:rsid w:val="00B02C8B"/>
    <w:rsid w:val="00B02E4B"/>
    <w:rsid w:val="00B02F19"/>
    <w:rsid w:val="00B030B5"/>
    <w:rsid w:val="00B031E0"/>
    <w:rsid w:val="00B033CD"/>
    <w:rsid w:val="00B037F9"/>
    <w:rsid w:val="00B03942"/>
    <w:rsid w:val="00B03DB9"/>
    <w:rsid w:val="00B03E77"/>
    <w:rsid w:val="00B04099"/>
    <w:rsid w:val="00B040F9"/>
    <w:rsid w:val="00B041A6"/>
    <w:rsid w:val="00B04485"/>
    <w:rsid w:val="00B0453D"/>
    <w:rsid w:val="00B045B1"/>
    <w:rsid w:val="00B04670"/>
    <w:rsid w:val="00B04786"/>
    <w:rsid w:val="00B04A04"/>
    <w:rsid w:val="00B04C7F"/>
    <w:rsid w:val="00B04F93"/>
    <w:rsid w:val="00B056BE"/>
    <w:rsid w:val="00B056C5"/>
    <w:rsid w:val="00B05765"/>
    <w:rsid w:val="00B06258"/>
    <w:rsid w:val="00B069E5"/>
    <w:rsid w:val="00B06FF1"/>
    <w:rsid w:val="00B07660"/>
    <w:rsid w:val="00B07A6C"/>
    <w:rsid w:val="00B07F97"/>
    <w:rsid w:val="00B1023B"/>
    <w:rsid w:val="00B107C6"/>
    <w:rsid w:val="00B108E5"/>
    <w:rsid w:val="00B109B1"/>
    <w:rsid w:val="00B10CA5"/>
    <w:rsid w:val="00B10DC2"/>
    <w:rsid w:val="00B10DCF"/>
    <w:rsid w:val="00B113D1"/>
    <w:rsid w:val="00B11969"/>
    <w:rsid w:val="00B11E99"/>
    <w:rsid w:val="00B121CF"/>
    <w:rsid w:val="00B1270F"/>
    <w:rsid w:val="00B1282E"/>
    <w:rsid w:val="00B129A9"/>
    <w:rsid w:val="00B12B4B"/>
    <w:rsid w:val="00B12D71"/>
    <w:rsid w:val="00B12E74"/>
    <w:rsid w:val="00B12F6B"/>
    <w:rsid w:val="00B13346"/>
    <w:rsid w:val="00B1364A"/>
    <w:rsid w:val="00B136D5"/>
    <w:rsid w:val="00B139AE"/>
    <w:rsid w:val="00B13A30"/>
    <w:rsid w:val="00B1451B"/>
    <w:rsid w:val="00B152FC"/>
    <w:rsid w:val="00B15658"/>
    <w:rsid w:val="00B1587A"/>
    <w:rsid w:val="00B15A19"/>
    <w:rsid w:val="00B15E0D"/>
    <w:rsid w:val="00B15EC7"/>
    <w:rsid w:val="00B162F5"/>
    <w:rsid w:val="00B1645C"/>
    <w:rsid w:val="00B16497"/>
    <w:rsid w:val="00B16537"/>
    <w:rsid w:val="00B16E87"/>
    <w:rsid w:val="00B170E9"/>
    <w:rsid w:val="00B174B3"/>
    <w:rsid w:val="00B17AB2"/>
    <w:rsid w:val="00B17DDE"/>
    <w:rsid w:val="00B17E59"/>
    <w:rsid w:val="00B20221"/>
    <w:rsid w:val="00B202E7"/>
    <w:rsid w:val="00B2051F"/>
    <w:rsid w:val="00B205BD"/>
    <w:rsid w:val="00B205FF"/>
    <w:rsid w:val="00B20AA0"/>
    <w:rsid w:val="00B20B9B"/>
    <w:rsid w:val="00B20C2C"/>
    <w:rsid w:val="00B21598"/>
    <w:rsid w:val="00B21805"/>
    <w:rsid w:val="00B21D9C"/>
    <w:rsid w:val="00B22044"/>
    <w:rsid w:val="00B22187"/>
    <w:rsid w:val="00B222C4"/>
    <w:rsid w:val="00B2256F"/>
    <w:rsid w:val="00B226D6"/>
    <w:rsid w:val="00B22B23"/>
    <w:rsid w:val="00B22D3E"/>
    <w:rsid w:val="00B22E61"/>
    <w:rsid w:val="00B230EF"/>
    <w:rsid w:val="00B23228"/>
    <w:rsid w:val="00B23634"/>
    <w:rsid w:val="00B23689"/>
    <w:rsid w:val="00B237B3"/>
    <w:rsid w:val="00B2384D"/>
    <w:rsid w:val="00B239D8"/>
    <w:rsid w:val="00B24471"/>
    <w:rsid w:val="00B2451B"/>
    <w:rsid w:val="00B2483A"/>
    <w:rsid w:val="00B24AF7"/>
    <w:rsid w:val="00B24CEE"/>
    <w:rsid w:val="00B24EBC"/>
    <w:rsid w:val="00B2521C"/>
    <w:rsid w:val="00B253B5"/>
    <w:rsid w:val="00B254CC"/>
    <w:rsid w:val="00B255C0"/>
    <w:rsid w:val="00B25700"/>
    <w:rsid w:val="00B257BF"/>
    <w:rsid w:val="00B25853"/>
    <w:rsid w:val="00B25952"/>
    <w:rsid w:val="00B25CDD"/>
    <w:rsid w:val="00B25D69"/>
    <w:rsid w:val="00B260E3"/>
    <w:rsid w:val="00B262AE"/>
    <w:rsid w:val="00B266AD"/>
    <w:rsid w:val="00B26805"/>
    <w:rsid w:val="00B26C51"/>
    <w:rsid w:val="00B26E91"/>
    <w:rsid w:val="00B271B1"/>
    <w:rsid w:val="00B27944"/>
    <w:rsid w:val="00B27A9B"/>
    <w:rsid w:val="00B27B77"/>
    <w:rsid w:val="00B27BF3"/>
    <w:rsid w:val="00B27FA8"/>
    <w:rsid w:val="00B30525"/>
    <w:rsid w:val="00B305C5"/>
    <w:rsid w:val="00B30CD3"/>
    <w:rsid w:val="00B30DB1"/>
    <w:rsid w:val="00B314A6"/>
    <w:rsid w:val="00B3156D"/>
    <w:rsid w:val="00B316B9"/>
    <w:rsid w:val="00B318E0"/>
    <w:rsid w:val="00B31AB9"/>
    <w:rsid w:val="00B31B1C"/>
    <w:rsid w:val="00B31DF8"/>
    <w:rsid w:val="00B31EFF"/>
    <w:rsid w:val="00B32611"/>
    <w:rsid w:val="00B3274C"/>
    <w:rsid w:val="00B32973"/>
    <w:rsid w:val="00B32A78"/>
    <w:rsid w:val="00B32BE1"/>
    <w:rsid w:val="00B32C3C"/>
    <w:rsid w:val="00B334D9"/>
    <w:rsid w:val="00B33721"/>
    <w:rsid w:val="00B3397C"/>
    <w:rsid w:val="00B33C0A"/>
    <w:rsid w:val="00B33CC5"/>
    <w:rsid w:val="00B33FA8"/>
    <w:rsid w:val="00B34048"/>
    <w:rsid w:val="00B341E9"/>
    <w:rsid w:val="00B34385"/>
    <w:rsid w:val="00B345A1"/>
    <w:rsid w:val="00B345D9"/>
    <w:rsid w:val="00B345E4"/>
    <w:rsid w:val="00B346F6"/>
    <w:rsid w:val="00B347D2"/>
    <w:rsid w:val="00B348A3"/>
    <w:rsid w:val="00B34DCE"/>
    <w:rsid w:val="00B34E53"/>
    <w:rsid w:val="00B350CD"/>
    <w:rsid w:val="00B350E1"/>
    <w:rsid w:val="00B35195"/>
    <w:rsid w:val="00B35431"/>
    <w:rsid w:val="00B35981"/>
    <w:rsid w:val="00B35A14"/>
    <w:rsid w:val="00B35EAA"/>
    <w:rsid w:val="00B36042"/>
    <w:rsid w:val="00B361DB"/>
    <w:rsid w:val="00B366FE"/>
    <w:rsid w:val="00B369EF"/>
    <w:rsid w:val="00B36A29"/>
    <w:rsid w:val="00B36B22"/>
    <w:rsid w:val="00B36B8F"/>
    <w:rsid w:val="00B36EA8"/>
    <w:rsid w:val="00B36F38"/>
    <w:rsid w:val="00B3747F"/>
    <w:rsid w:val="00B37590"/>
    <w:rsid w:val="00B37737"/>
    <w:rsid w:val="00B37A8B"/>
    <w:rsid w:val="00B37BDD"/>
    <w:rsid w:val="00B37BFD"/>
    <w:rsid w:val="00B37CDF"/>
    <w:rsid w:val="00B37EEC"/>
    <w:rsid w:val="00B4022E"/>
    <w:rsid w:val="00B402C9"/>
    <w:rsid w:val="00B40519"/>
    <w:rsid w:val="00B405FF"/>
    <w:rsid w:val="00B40675"/>
    <w:rsid w:val="00B407AB"/>
    <w:rsid w:val="00B4091F"/>
    <w:rsid w:val="00B40D02"/>
    <w:rsid w:val="00B40EA3"/>
    <w:rsid w:val="00B41336"/>
    <w:rsid w:val="00B415E5"/>
    <w:rsid w:val="00B421A1"/>
    <w:rsid w:val="00B42445"/>
    <w:rsid w:val="00B4250A"/>
    <w:rsid w:val="00B42534"/>
    <w:rsid w:val="00B426AE"/>
    <w:rsid w:val="00B42717"/>
    <w:rsid w:val="00B42899"/>
    <w:rsid w:val="00B428E9"/>
    <w:rsid w:val="00B42961"/>
    <w:rsid w:val="00B4336F"/>
    <w:rsid w:val="00B4366F"/>
    <w:rsid w:val="00B438B5"/>
    <w:rsid w:val="00B438FA"/>
    <w:rsid w:val="00B43F0A"/>
    <w:rsid w:val="00B43F1C"/>
    <w:rsid w:val="00B43F50"/>
    <w:rsid w:val="00B443E3"/>
    <w:rsid w:val="00B448BF"/>
    <w:rsid w:val="00B4497C"/>
    <w:rsid w:val="00B449CF"/>
    <w:rsid w:val="00B44A73"/>
    <w:rsid w:val="00B44A86"/>
    <w:rsid w:val="00B45156"/>
    <w:rsid w:val="00B4526A"/>
    <w:rsid w:val="00B4537C"/>
    <w:rsid w:val="00B455DD"/>
    <w:rsid w:val="00B45662"/>
    <w:rsid w:val="00B45A3E"/>
    <w:rsid w:val="00B45CBA"/>
    <w:rsid w:val="00B45D4C"/>
    <w:rsid w:val="00B46103"/>
    <w:rsid w:val="00B4653F"/>
    <w:rsid w:val="00B465F2"/>
    <w:rsid w:val="00B466B8"/>
    <w:rsid w:val="00B46764"/>
    <w:rsid w:val="00B46999"/>
    <w:rsid w:val="00B46D2B"/>
    <w:rsid w:val="00B471F8"/>
    <w:rsid w:val="00B474DC"/>
    <w:rsid w:val="00B47577"/>
    <w:rsid w:val="00B47665"/>
    <w:rsid w:val="00B47F91"/>
    <w:rsid w:val="00B5004D"/>
    <w:rsid w:val="00B50217"/>
    <w:rsid w:val="00B504AC"/>
    <w:rsid w:val="00B504C0"/>
    <w:rsid w:val="00B50635"/>
    <w:rsid w:val="00B50773"/>
    <w:rsid w:val="00B50BC9"/>
    <w:rsid w:val="00B50DAA"/>
    <w:rsid w:val="00B50F54"/>
    <w:rsid w:val="00B5106C"/>
    <w:rsid w:val="00B51A3A"/>
    <w:rsid w:val="00B51BA2"/>
    <w:rsid w:val="00B51C0D"/>
    <w:rsid w:val="00B51CBB"/>
    <w:rsid w:val="00B526E4"/>
    <w:rsid w:val="00B52A69"/>
    <w:rsid w:val="00B52CF1"/>
    <w:rsid w:val="00B52DCC"/>
    <w:rsid w:val="00B5319F"/>
    <w:rsid w:val="00B5324E"/>
    <w:rsid w:val="00B532AA"/>
    <w:rsid w:val="00B5387E"/>
    <w:rsid w:val="00B54042"/>
    <w:rsid w:val="00B54534"/>
    <w:rsid w:val="00B545D3"/>
    <w:rsid w:val="00B54770"/>
    <w:rsid w:val="00B54830"/>
    <w:rsid w:val="00B54F07"/>
    <w:rsid w:val="00B5541D"/>
    <w:rsid w:val="00B554E7"/>
    <w:rsid w:val="00B5556A"/>
    <w:rsid w:val="00B55CDD"/>
    <w:rsid w:val="00B55E99"/>
    <w:rsid w:val="00B55FC5"/>
    <w:rsid w:val="00B56147"/>
    <w:rsid w:val="00B561C3"/>
    <w:rsid w:val="00B56246"/>
    <w:rsid w:val="00B56495"/>
    <w:rsid w:val="00B56737"/>
    <w:rsid w:val="00B5674E"/>
    <w:rsid w:val="00B56830"/>
    <w:rsid w:val="00B56A17"/>
    <w:rsid w:val="00B56A6D"/>
    <w:rsid w:val="00B56AD2"/>
    <w:rsid w:val="00B56CB4"/>
    <w:rsid w:val="00B56DB0"/>
    <w:rsid w:val="00B56EE7"/>
    <w:rsid w:val="00B5731C"/>
    <w:rsid w:val="00B577FD"/>
    <w:rsid w:val="00B57954"/>
    <w:rsid w:val="00B579AA"/>
    <w:rsid w:val="00B57AC9"/>
    <w:rsid w:val="00B57BD3"/>
    <w:rsid w:val="00B57CBF"/>
    <w:rsid w:val="00B57CDE"/>
    <w:rsid w:val="00B57F69"/>
    <w:rsid w:val="00B57FEA"/>
    <w:rsid w:val="00B603A2"/>
    <w:rsid w:val="00B60823"/>
    <w:rsid w:val="00B60968"/>
    <w:rsid w:val="00B610D3"/>
    <w:rsid w:val="00B61510"/>
    <w:rsid w:val="00B61674"/>
    <w:rsid w:val="00B617B3"/>
    <w:rsid w:val="00B61ADA"/>
    <w:rsid w:val="00B61E17"/>
    <w:rsid w:val="00B61F21"/>
    <w:rsid w:val="00B622A3"/>
    <w:rsid w:val="00B622E9"/>
    <w:rsid w:val="00B625F2"/>
    <w:rsid w:val="00B62A2D"/>
    <w:rsid w:val="00B62A43"/>
    <w:rsid w:val="00B62BB5"/>
    <w:rsid w:val="00B62E94"/>
    <w:rsid w:val="00B62EE9"/>
    <w:rsid w:val="00B631E7"/>
    <w:rsid w:val="00B6339E"/>
    <w:rsid w:val="00B633CC"/>
    <w:rsid w:val="00B636CA"/>
    <w:rsid w:val="00B63E30"/>
    <w:rsid w:val="00B63ED5"/>
    <w:rsid w:val="00B642FE"/>
    <w:rsid w:val="00B6434C"/>
    <w:rsid w:val="00B64572"/>
    <w:rsid w:val="00B6476E"/>
    <w:rsid w:val="00B648E2"/>
    <w:rsid w:val="00B64A2B"/>
    <w:rsid w:val="00B65260"/>
    <w:rsid w:val="00B65281"/>
    <w:rsid w:val="00B653A2"/>
    <w:rsid w:val="00B65518"/>
    <w:rsid w:val="00B656B5"/>
    <w:rsid w:val="00B65A8E"/>
    <w:rsid w:val="00B65BC2"/>
    <w:rsid w:val="00B66409"/>
    <w:rsid w:val="00B669BD"/>
    <w:rsid w:val="00B66AB5"/>
    <w:rsid w:val="00B66D9A"/>
    <w:rsid w:val="00B6739F"/>
    <w:rsid w:val="00B6778A"/>
    <w:rsid w:val="00B67F9E"/>
    <w:rsid w:val="00B702D4"/>
    <w:rsid w:val="00B708DB"/>
    <w:rsid w:val="00B71233"/>
    <w:rsid w:val="00B71286"/>
    <w:rsid w:val="00B71964"/>
    <w:rsid w:val="00B71C1D"/>
    <w:rsid w:val="00B71DD0"/>
    <w:rsid w:val="00B71F59"/>
    <w:rsid w:val="00B71FEF"/>
    <w:rsid w:val="00B72110"/>
    <w:rsid w:val="00B7238D"/>
    <w:rsid w:val="00B7238F"/>
    <w:rsid w:val="00B7257C"/>
    <w:rsid w:val="00B7274F"/>
    <w:rsid w:val="00B72C35"/>
    <w:rsid w:val="00B72D85"/>
    <w:rsid w:val="00B738B0"/>
    <w:rsid w:val="00B738FE"/>
    <w:rsid w:val="00B73CAC"/>
    <w:rsid w:val="00B746D3"/>
    <w:rsid w:val="00B74944"/>
    <w:rsid w:val="00B74B24"/>
    <w:rsid w:val="00B74B72"/>
    <w:rsid w:val="00B74D09"/>
    <w:rsid w:val="00B750B4"/>
    <w:rsid w:val="00B751B3"/>
    <w:rsid w:val="00B7593A"/>
    <w:rsid w:val="00B759B9"/>
    <w:rsid w:val="00B75EF1"/>
    <w:rsid w:val="00B76F2F"/>
    <w:rsid w:val="00B7705E"/>
    <w:rsid w:val="00B771AD"/>
    <w:rsid w:val="00B774C4"/>
    <w:rsid w:val="00B7754C"/>
    <w:rsid w:val="00B77CAA"/>
    <w:rsid w:val="00B77D09"/>
    <w:rsid w:val="00B80141"/>
    <w:rsid w:val="00B80248"/>
    <w:rsid w:val="00B803EC"/>
    <w:rsid w:val="00B80BA7"/>
    <w:rsid w:val="00B8130E"/>
    <w:rsid w:val="00B8156E"/>
    <w:rsid w:val="00B81961"/>
    <w:rsid w:val="00B81B57"/>
    <w:rsid w:val="00B81C77"/>
    <w:rsid w:val="00B82021"/>
    <w:rsid w:val="00B82066"/>
    <w:rsid w:val="00B8230F"/>
    <w:rsid w:val="00B823AD"/>
    <w:rsid w:val="00B8249F"/>
    <w:rsid w:val="00B824E4"/>
    <w:rsid w:val="00B82732"/>
    <w:rsid w:val="00B8279D"/>
    <w:rsid w:val="00B82A59"/>
    <w:rsid w:val="00B82B4F"/>
    <w:rsid w:val="00B82F21"/>
    <w:rsid w:val="00B83063"/>
    <w:rsid w:val="00B832B3"/>
    <w:rsid w:val="00B83485"/>
    <w:rsid w:val="00B835C0"/>
    <w:rsid w:val="00B83A05"/>
    <w:rsid w:val="00B83FA6"/>
    <w:rsid w:val="00B841FD"/>
    <w:rsid w:val="00B845FF"/>
    <w:rsid w:val="00B84628"/>
    <w:rsid w:val="00B846BD"/>
    <w:rsid w:val="00B84A0F"/>
    <w:rsid w:val="00B84B6B"/>
    <w:rsid w:val="00B85295"/>
    <w:rsid w:val="00B857EF"/>
    <w:rsid w:val="00B8590C"/>
    <w:rsid w:val="00B85A2F"/>
    <w:rsid w:val="00B8610F"/>
    <w:rsid w:val="00B86128"/>
    <w:rsid w:val="00B8656A"/>
    <w:rsid w:val="00B866A8"/>
    <w:rsid w:val="00B87430"/>
    <w:rsid w:val="00B878F6"/>
    <w:rsid w:val="00B87CD9"/>
    <w:rsid w:val="00B90048"/>
    <w:rsid w:val="00B900AC"/>
    <w:rsid w:val="00B904B8"/>
    <w:rsid w:val="00B90575"/>
    <w:rsid w:val="00B90986"/>
    <w:rsid w:val="00B90E83"/>
    <w:rsid w:val="00B90E8C"/>
    <w:rsid w:val="00B91145"/>
    <w:rsid w:val="00B911C8"/>
    <w:rsid w:val="00B914CE"/>
    <w:rsid w:val="00B9165A"/>
    <w:rsid w:val="00B91728"/>
    <w:rsid w:val="00B9175F"/>
    <w:rsid w:val="00B917EE"/>
    <w:rsid w:val="00B91BCC"/>
    <w:rsid w:val="00B91DCC"/>
    <w:rsid w:val="00B91DD0"/>
    <w:rsid w:val="00B91FC2"/>
    <w:rsid w:val="00B91FEB"/>
    <w:rsid w:val="00B921A7"/>
    <w:rsid w:val="00B92223"/>
    <w:rsid w:val="00B92388"/>
    <w:rsid w:val="00B92511"/>
    <w:rsid w:val="00B9252D"/>
    <w:rsid w:val="00B925AA"/>
    <w:rsid w:val="00B92ADD"/>
    <w:rsid w:val="00B92AED"/>
    <w:rsid w:val="00B92DE9"/>
    <w:rsid w:val="00B9330A"/>
    <w:rsid w:val="00B93869"/>
    <w:rsid w:val="00B938E6"/>
    <w:rsid w:val="00B93A69"/>
    <w:rsid w:val="00B93B17"/>
    <w:rsid w:val="00B93EAC"/>
    <w:rsid w:val="00B93EFC"/>
    <w:rsid w:val="00B94173"/>
    <w:rsid w:val="00B94A56"/>
    <w:rsid w:val="00B94C7D"/>
    <w:rsid w:val="00B94E23"/>
    <w:rsid w:val="00B94EF6"/>
    <w:rsid w:val="00B95414"/>
    <w:rsid w:val="00B9549A"/>
    <w:rsid w:val="00B95730"/>
    <w:rsid w:val="00B95854"/>
    <w:rsid w:val="00B9595A"/>
    <w:rsid w:val="00B95ABA"/>
    <w:rsid w:val="00B95D23"/>
    <w:rsid w:val="00B96776"/>
    <w:rsid w:val="00B96953"/>
    <w:rsid w:val="00B96E61"/>
    <w:rsid w:val="00B96FCD"/>
    <w:rsid w:val="00B976DA"/>
    <w:rsid w:val="00B977D1"/>
    <w:rsid w:val="00B97803"/>
    <w:rsid w:val="00B97AB3"/>
    <w:rsid w:val="00B97B63"/>
    <w:rsid w:val="00B97C08"/>
    <w:rsid w:val="00B97DD2"/>
    <w:rsid w:val="00B97FE5"/>
    <w:rsid w:val="00BA00CD"/>
    <w:rsid w:val="00BA02C6"/>
    <w:rsid w:val="00BA0626"/>
    <w:rsid w:val="00BA0929"/>
    <w:rsid w:val="00BA0932"/>
    <w:rsid w:val="00BA0E08"/>
    <w:rsid w:val="00BA1210"/>
    <w:rsid w:val="00BA1684"/>
    <w:rsid w:val="00BA1BFA"/>
    <w:rsid w:val="00BA1C87"/>
    <w:rsid w:val="00BA1CB7"/>
    <w:rsid w:val="00BA1FC2"/>
    <w:rsid w:val="00BA215B"/>
    <w:rsid w:val="00BA2DC0"/>
    <w:rsid w:val="00BA312C"/>
    <w:rsid w:val="00BA3483"/>
    <w:rsid w:val="00BA35EB"/>
    <w:rsid w:val="00BA3D52"/>
    <w:rsid w:val="00BA3DA0"/>
    <w:rsid w:val="00BA3DE4"/>
    <w:rsid w:val="00BA40DC"/>
    <w:rsid w:val="00BA410A"/>
    <w:rsid w:val="00BA41A9"/>
    <w:rsid w:val="00BA41C1"/>
    <w:rsid w:val="00BA4436"/>
    <w:rsid w:val="00BA46DF"/>
    <w:rsid w:val="00BA4A2C"/>
    <w:rsid w:val="00BA4C3F"/>
    <w:rsid w:val="00BA4F1D"/>
    <w:rsid w:val="00BA5379"/>
    <w:rsid w:val="00BA5962"/>
    <w:rsid w:val="00BA5A23"/>
    <w:rsid w:val="00BA5AAA"/>
    <w:rsid w:val="00BA5B91"/>
    <w:rsid w:val="00BA6215"/>
    <w:rsid w:val="00BA6530"/>
    <w:rsid w:val="00BA65FF"/>
    <w:rsid w:val="00BA6EE3"/>
    <w:rsid w:val="00BA71B0"/>
    <w:rsid w:val="00BA74EB"/>
    <w:rsid w:val="00BA793A"/>
    <w:rsid w:val="00BA7CDF"/>
    <w:rsid w:val="00BA7F64"/>
    <w:rsid w:val="00BA7FF9"/>
    <w:rsid w:val="00BB08EA"/>
    <w:rsid w:val="00BB0AAA"/>
    <w:rsid w:val="00BB0B1C"/>
    <w:rsid w:val="00BB15D2"/>
    <w:rsid w:val="00BB164E"/>
    <w:rsid w:val="00BB1954"/>
    <w:rsid w:val="00BB1F52"/>
    <w:rsid w:val="00BB2C4F"/>
    <w:rsid w:val="00BB2CDF"/>
    <w:rsid w:val="00BB354B"/>
    <w:rsid w:val="00BB36A4"/>
    <w:rsid w:val="00BB386D"/>
    <w:rsid w:val="00BB3DD8"/>
    <w:rsid w:val="00BB4029"/>
    <w:rsid w:val="00BB4A6F"/>
    <w:rsid w:val="00BB4D44"/>
    <w:rsid w:val="00BB4D9D"/>
    <w:rsid w:val="00BB4E3C"/>
    <w:rsid w:val="00BB4E57"/>
    <w:rsid w:val="00BB4EBB"/>
    <w:rsid w:val="00BB5355"/>
    <w:rsid w:val="00BB547C"/>
    <w:rsid w:val="00BB568E"/>
    <w:rsid w:val="00BB5786"/>
    <w:rsid w:val="00BB588C"/>
    <w:rsid w:val="00BB58F2"/>
    <w:rsid w:val="00BB61E5"/>
    <w:rsid w:val="00BB625F"/>
    <w:rsid w:val="00BB6678"/>
    <w:rsid w:val="00BB6734"/>
    <w:rsid w:val="00BB6A16"/>
    <w:rsid w:val="00BB6DAA"/>
    <w:rsid w:val="00BB6E6F"/>
    <w:rsid w:val="00BB6EAC"/>
    <w:rsid w:val="00BB6F52"/>
    <w:rsid w:val="00BB6FB1"/>
    <w:rsid w:val="00BB7410"/>
    <w:rsid w:val="00BB7495"/>
    <w:rsid w:val="00BB754D"/>
    <w:rsid w:val="00BB7649"/>
    <w:rsid w:val="00BB77BF"/>
    <w:rsid w:val="00BB79C2"/>
    <w:rsid w:val="00BB7ABA"/>
    <w:rsid w:val="00BC004A"/>
    <w:rsid w:val="00BC0055"/>
    <w:rsid w:val="00BC02FC"/>
    <w:rsid w:val="00BC04DD"/>
    <w:rsid w:val="00BC04E3"/>
    <w:rsid w:val="00BC0587"/>
    <w:rsid w:val="00BC067B"/>
    <w:rsid w:val="00BC06DC"/>
    <w:rsid w:val="00BC189C"/>
    <w:rsid w:val="00BC1996"/>
    <w:rsid w:val="00BC1CF1"/>
    <w:rsid w:val="00BC2227"/>
    <w:rsid w:val="00BC24EE"/>
    <w:rsid w:val="00BC2553"/>
    <w:rsid w:val="00BC255B"/>
    <w:rsid w:val="00BC256B"/>
    <w:rsid w:val="00BC25A0"/>
    <w:rsid w:val="00BC2AA0"/>
    <w:rsid w:val="00BC2FE8"/>
    <w:rsid w:val="00BC34F8"/>
    <w:rsid w:val="00BC34F9"/>
    <w:rsid w:val="00BC3637"/>
    <w:rsid w:val="00BC3B7D"/>
    <w:rsid w:val="00BC3E50"/>
    <w:rsid w:val="00BC3F5C"/>
    <w:rsid w:val="00BC41FB"/>
    <w:rsid w:val="00BC436D"/>
    <w:rsid w:val="00BC46D2"/>
    <w:rsid w:val="00BC4A2B"/>
    <w:rsid w:val="00BC4BED"/>
    <w:rsid w:val="00BC4C31"/>
    <w:rsid w:val="00BC4D50"/>
    <w:rsid w:val="00BC5006"/>
    <w:rsid w:val="00BC5258"/>
    <w:rsid w:val="00BC5352"/>
    <w:rsid w:val="00BC53E8"/>
    <w:rsid w:val="00BC53F3"/>
    <w:rsid w:val="00BC54A8"/>
    <w:rsid w:val="00BC553F"/>
    <w:rsid w:val="00BC5649"/>
    <w:rsid w:val="00BC566B"/>
    <w:rsid w:val="00BC5680"/>
    <w:rsid w:val="00BC695E"/>
    <w:rsid w:val="00BC6C94"/>
    <w:rsid w:val="00BC7185"/>
    <w:rsid w:val="00BC71B4"/>
    <w:rsid w:val="00BC737B"/>
    <w:rsid w:val="00BC7432"/>
    <w:rsid w:val="00BC77C6"/>
    <w:rsid w:val="00BC7D41"/>
    <w:rsid w:val="00BD0574"/>
    <w:rsid w:val="00BD06AE"/>
    <w:rsid w:val="00BD073B"/>
    <w:rsid w:val="00BD087C"/>
    <w:rsid w:val="00BD0C48"/>
    <w:rsid w:val="00BD0E38"/>
    <w:rsid w:val="00BD116D"/>
    <w:rsid w:val="00BD1377"/>
    <w:rsid w:val="00BD1911"/>
    <w:rsid w:val="00BD1B0E"/>
    <w:rsid w:val="00BD1F4E"/>
    <w:rsid w:val="00BD210E"/>
    <w:rsid w:val="00BD2337"/>
    <w:rsid w:val="00BD2432"/>
    <w:rsid w:val="00BD2612"/>
    <w:rsid w:val="00BD29E6"/>
    <w:rsid w:val="00BD2C31"/>
    <w:rsid w:val="00BD2F63"/>
    <w:rsid w:val="00BD3210"/>
    <w:rsid w:val="00BD3319"/>
    <w:rsid w:val="00BD351C"/>
    <w:rsid w:val="00BD372B"/>
    <w:rsid w:val="00BD3764"/>
    <w:rsid w:val="00BD37F6"/>
    <w:rsid w:val="00BD39AD"/>
    <w:rsid w:val="00BD3B78"/>
    <w:rsid w:val="00BD3C82"/>
    <w:rsid w:val="00BD3CB6"/>
    <w:rsid w:val="00BD40FB"/>
    <w:rsid w:val="00BD412C"/>
    <w:rsid w:val="00BD420F"/>
    <w:rsid w:val="00BD42E7"/>
    <w:rsid w:val="00BD475A"/>
    <w:rsid w:val="00BD483E"/>
    <w:rsid w:val="00BD4F3C"/>
    <w:rsid w:val="00BD54D5"/>
    <w:rsid w:val="00BD5911"/>
    <w:rsid w:val="00BD5CD1"/>
    <w:rsid w:val="00BD5DE4"/>
    <w:rsid w:val="00BD5F71"/>
    <w:rsid w:val="00BD5FE2"/>
    <w:rsid w:val="00BD5FE5"/>
    <w:rsid w:val="00BD60B5"/>
    <w:rsid w:val="00BD625B"/>
    <w:rsid w:val="00BD6769"/>
    <w:rsid w:val="00BD6843"/>
    <w:rsid w:val="00BD6B94"/>
    <w:rsid w:val="00BD6C49"/>
    <w:rsid w:val="00BD6EDC"/>
    <w:rsid w:val="00BD6FA2"/>
    <w:rsid w:val="00BD7057"/>
    <w:rsid w:val="00BD74C8"/>
    <w:rsid w:val="00BD7B11"/>
    <w:rsid w:val="00BD7CF4"/>
    <w:rsid w:val="00BD7EF1"/>
    <w:rsid w:val="00BD7F7B"/>
    <w:rsid w:val="00BE0079"/>
    <w:rsid w:val="00BE0083"/>
    <w:rsid w:val="00BE0277"/>
    <w:rsid w:val="00BE037E"/>
    <w:rsid w:val="00BE0520"/>
    <w:rsid w:val="00BE11E1"/>
    <w:rsid w:val="00BE12BB"/>
    <w:rsid w:val="00BE147F"/>
    <w:rsid w:val="00BE1612"/>
    <w:rsid w:val="00BE1674"/>
    <w:rsid w:val="00BE16A5"/>
    <w:rsid w:val="00BE178B"/>
    <w:rsid w:val="00BE18CE"/>
    <w:rsid w:val="00BE1B2E"/>
    <w:rsid w:val="00BE1DCA"/>
    <w:rsid w:val="00BE1FA6"/>
    <w:rsid w:val="00BE2945"/>
    <w:rsid w:val="00BE29E7"/>
    <w:rsid w:val="00BE2AD3"/>
    <w:rsid w:val="00BE2B4A"/>
    <w:rsid w:val="00BE2DD5"/>
    <w:rsid w:val="00BE330C"/>
    <w:rsid w:val="00BE362E"/>
    <w:rsid w:val="00BE3D06"/>
    <w:rsid w:val="00BE41A8"/>
    <w:rsid w:val="00BE426A"/>
    <w:rsid w:val="00BE4490"/>
    <w:rsid w:val="00BE4840"/>
    <w:rsid w:val="00BE492D"/>
    <w:rsid w:val="00BE4A56"/>
    <w:rsid w:val="00BE4CFF"/>
    <w:rsid w:val="00BE4E0E"/>
    <w:rsid w:val="00BE4F8F"/>
    <w:rsid w:val="00BE5187"/>
    <w:rsid w:val="00BE51DB"/>
    <w:rsid w:val="00BE529A"/>
    <w:rsid w:val="00BE53B6"/>
    <w:rsid w:val="00BE564F"/>
    <w:rsid w:val="00BE56D4"/>
    <w:rsid w:val="00BE58BE"/>
    <w:rsid w:val="00BE590E"/>
    <w:rsid w:val="00BE5BC4"/>
    <w:rsid w:val="00BE5E02"/>
    <w:rsid w:val="00BE6214"/>
    <w:rsid w:val="00BE645F"/>
    <w:rsid w:val="00BE65C3"/>
    <w:rsid w:val="00BE65E8"/>
    <w:rsid w:val="00BE6915"/>
    <w:rsid w:val="00BE7078"/>
    <w:rsid w:val="00BE7103"/>
    <w:rsid w:val="00BE710A"/>
    <w:rsid w:val="00BE7145"/>
    <w:rsid w:val="00BE730A"/>
    <w:rsid w:val="00BE73F7"/>
    <w:rsid w:val="00BE7699"/>
    <w:rsid w:val="00BE76CD"/>
    <w:rsid w:val="00BE7C52"/>
    <w:rsid w:val="00BE7CAA"/>
    <w:rsid w:val="00BE7DFD"/>
    <w:rsid w:val="00BF0438"/>
    <w:rsid w:val="00BF075C"/>
    <w:rsid w:val="00BF07BA"/>
    <w:rsid w:val="00BF0917"/>
    <w:rsid w:val="00BF0A23"/>
    <w:rsid w:val="00BF1081"/>
    <w:rsid w:val="00BF16EB"/>
    <w:rsid w:val="00BF1CB1"/>
    <w:rsid w:val="00BF210A"/>
    <w:rsid w:val="00BF235D"/>
    <w:rsid w:val="00BF2398"/>
    <w:rsid w:val="00BF2440"/>
    <w:rsid w:val="00BF24BE"/>
    <w:rsid w:val="00BF27EF"/>
    <w:rsid w:val="00BF2DFB"/>
    <w:rsid w:val="00BF2F90"/>
    <w:rsid w:val="00BF303B"/>
    <w:rsid w:val="00BF32CA"/>
    <w:rsid w:val="00BF34B9"/>
    <w:rsid w:val="00BF34DB"/>
    <w:rsid w:val="00BF3575"/>
    <w:rsid w:val="00BF3A3A"/>
    <w:rsid w:val="00BF4103"/>
    <w:rsid w:val="00BF4988"/>
    <w:rsid w:val="00BF4BBB"/>
    <w:rsid w:val="00BF4E30"/>
    <w:rsid w:val="00BF4E8F"/>
    <w:rsid w:val="00BF500F"/>
    <w:rsid w:val="00BF5454"/>
    <w:rsid w:val="00BF54C6"/>
    <w:rsid w:val="00BF5807"/>
    <w:rsid w:val="00BF58C7"/>
    <w:rsid w:val="00BF5992"/>
    <w:rsid w:val="00BF5BDC"/>
    <w:rsid w:val="00BF5C60"/>
    <w:rsid w:val="00BF5DCF"/>
    <w:rsid w:val="00BF5FE0"/>
    <w:rsid w:val="00BF60F0"/>
    <w:rsid w:val="00BF6362"/>
    <w:rsid w:val="00BF64A9"/>
    <w:rsid w:val="00BF64E4"/>
    <w:rsid w:val="00BF651A"/>
    <w:rsid w:val="00BF660E"/>
    <w:rsid w:val="00BF66E7"/>
    <w:rsid w:val="00BF6AB0"/>
    <w:rsid w:val="00BF6B4C"/>
    <w:rsid w:val="00BF6BDD"/>
    <w:rsid w:val="00BF6F23"/>
    <w:rsid w:val="00BF7A7F"/>
    <w:rsid w:val="00BF7E21"/>
    <w:rsid w:val="00BF7F5A"/>
    <w:rsid w:val="00C0031D"/>
    <w:rsid w:val="00C0041E"/>
    <w:rsid w:val="00C0072E"/>
    <w:rsid w:val="00C0089A"/>
    <w:rsid w:val="00C0093B"/>
    <w:rsid w:val="00C00D2A"/>
    <w:rsid w:val="00C01002"/>
    <w:rsid w:val="00C01365"/>
    <w:rsid w:val="00C0141F"/>
    <w:rsid w:val="00C01609"/>
    <w:rsid w:val="00C01841"/>
    <w:rsid w:val="00C01A2D"/>
    <w:rsid w:val="00C01CD5"/>
    <w:rsid w:val="00C01E63"/>
    <w:rsid w:val="00C01FFC"/>
    <w:rsid w:val="00C02572"/>
    <w:rsid w:val="00C02601"/>
    <w:rsid w:val="00C026A3"/>
    <w:rsid w:val="00C0301F"/>
    <w:rsid w:val="00C034DF"/>
    <w:rsid w:val="00C03767"/>
    <w:rsid w:val="00C03786"/>
    <w:rsid w:val="00C039E3"/>
    <w:rsid w:val="00C03B2B"/>
    <w:rsid w:val="00C03BB4"/>
    <w:rsid w:val="00C03CEB"/>
    <w:rsid w:val="00C03D74"/>
    <w:rsid w:val="00C04129"/>
    <w:rsid w:val="00C042A4"/>
    <w:rsid w:val="00C0446D"/>
    <w:rsid w:val="00C048F1"/>
    <w:rsid w:val="00C0494E"/>
    <w:rsid w:val="00C04DA0"/>
    <w:rsid w:val="00C04EF1"/>
    <w:rsid w:val="00C04FDC"/>
    <w:rsid w:val="00C05140"/>
    <w:rsid w:val="00C058BA"/>
    <w:rsid w:val="00C059CE"/>
    <w:rsid w:val="00C059D8"/>
    <w:rsid w:val="00C05D6F"/>
    <w:rsid w:val="00C05D98"/>
    <w:rsid w:val="00C05DEC"/>
    <w:rsid w:val="00C060F0"/>
    <w:rsid w:val="00C0637D"/>
    <w:rsid w:val="00C064A0"/>
    <w:rsid w:val="00C064C8"/>
    <w:rsid w:val="00C0663F"/>
    <w:rsid w:val="00C067B2"/>
    <w:rsid w:val="00C067EE"/>
    <w:rsid w:val="00C068A6"/>
    <w:rsid w:val="00C068BB"/>
    <w:rsid w:val="00C06F1B"/>
    <w:rsid w:val="00C06F35"/>
    <w:rsid w:val="00C06FA5"/>
    <w:rsid w:val="00C07034"/>
    <w:rsid w:val="00C07307"/>
    <w:rsid w:val="00C07445"/>
    <w:rsid w:val="00C07654"/>
    <w:rsid w:val="00C07852"/>
    <w:rsid w:val="00C079A9"/>
    <w:rsid w:val="00C079B0"/>
    <w:rsid w:val="00C07BAB"/>
    <w:rsid w:val="00C07C11"/>
    <w:rsid w:val="00C07F3C"/>
    <w:rsid w:val="00C07FC8"/>
    <w:rsid w:val="00C1012A"/>
    <w:rsid w:val="00C102B4"/>
    <w:rsid w:val="00C1041F"/>
    <w:rsid w:val="00C1045E"/>
    <w:rsid w:val="00C10938"/>
    <w:rsid w:val="00C10BBF"/>
    <w:rsid w:val="00C10CCE"/>
    <w:rsid w:val="00C10FC5"/>
    <w:rsid w:val="00C1117B"/>
    <w:rsid w:val="00C113DB"/>
    <w:rsid w:val="00C113F2"/>
    <w:rsid w:val="00C11504"/>
    <w:rsid w:val="00C11709"/>
    <w:rsid w:val="00C1202D"/>
    <w:rsid w:val="00C120D3"/>
    <w:rsid w:val="00C122BA"/>
    <w:rsid w:val="00C123F2"/>
    <w:rsid w:val="00C1249C"/>
    <w:rsid w:val="00C127DC"/>
    <w:rsid w:val="00C12B6F"/>
    <w:rsid w:val="00C12C84"/>
    <w:rsid w:val="00C12C8D"/>
    <w:rsid w:val="00C12CB1"/>
    <w:rsid w:val="00C13465"/>
    <w:rsid w:val="00C138B8"/>
    <w:rsid w:val="00C13DA1"/>
    <w:rsid w:val="00C13F69"/>
    <w:rsid w:val="00C13FDF"/>
    <w:rsid w:val="00C14D02"/>
    <w:rsid w:val="00C14DD1"/>
    <w:rsid w:val="00C1548D"/>
    <w:rsid w:val="00C15A76"/>
    <w:rsid w:val="00C16024"/>
    <w:rsid w:val="00C162BA"/>
    <w:rsid w:val="00C162DE"/>
    <w:rsid w:val="00C16588"/>
    <w:rsid w:val="00C16CB2"/>
    <w:rsid w:val="00C16E81"/>
    <w:rsid w:val="00C17752"/>
    <w:rsid w:val="00C178BF"/>
    <w:rsid w:val="00C17AAB"/>
    <w:rsid w:val="00C17CDA"/>
    <w:rsid w:val="00C17DBD"/>
    <w:rsid w:val="00C17E47"/>
    <w:rsid w:val="00C2040D"/>
    <w:rsid w:val="00C2042D"/>
    <w:rsid w:val="00C20697"/>
    <w:rsid w:val="00C20C24"/>
    <w:rsid w:val="00C21357"/>
    <w:rsid w:val="00C216CF"/>
    <w:rsid w:val="00C21876"/>
    <w:rsid w:val="00C21AA3"/>
    <w:rsid w:val="00C21C6E"/>
    <w:rsid w:val="00C2231A"/>
    <w:rsid w:val="00C229D4"/>
    <w:rsid w:val="00C22AAD"/>
    <w:rsid w:val="00C22F26"/>
    <w:rsid w:val="00C23236"/>
    <w:rsid w:val="00C2331A"/>
    <w:rsid w:val="00C233B6"/>
    <w:rsid w:val="00C23886"/>
    <w:rsid w:val="00C23B3D"/>
    <w:rsid w:val="00C23D93"/>
    <w:rsid w:val="00C2404C"/>
    <w:rsid w:val="00C24062"/>
    <w:rsid w:val="00C24083"/>
    <w:rsid w:val="00C24100"/>
    <w:rsid w:val="00C24424"/>
    <w:rsid w:val="00C24480"/>
    <w:rsid w:val="00C24580"/>
    <w:rsid w:val="00C247D0"/>
    <w:rsid w:val="00C247DE"/>
    <w:rsid w:val="00C2483F"/>
    <w:rsid w:val="00C249E4"/>
    <w:rsid w:val="00C24B3F"/>
    <w:rsid w:val="00C24BF9"/>
    <w:rsid w:val="00C25043"/>
    <w:rsid w:val="00C25B9D"/>
    <w:rsid w:val="00C25BC7"/>
    <w:rsid w:val="00C25C73"/>
    <w:rsid w:val="00C25F08"/>
    <w:rsid w:val="00C261B8"/>
    <w:rsid w:val="00C262B5"/>
    <w:rsid w:val="00C26454"/>
    <w:rsid w:val="00C2664D"/>
    <w:rsid w:val="00C268D3"/>
    <w:rsid w:val="00C269AB"/>
    <w:rsid w:val="00C269D8"/>
    <w:rsid w:val="00C26A4A"/>
    <w:rsid w:val="00C27282"/>
    <w:rsid w:val="00C2729B"/>
    <w:rsid w:val="00C27335"/>
    <w:rsid w:val="00C2736C"/>
    <w:rsid w:val="00C27A1E"/>
    <w:rsid w:val="00C27B66"/>
    <w:rsid w:val="00C27FC0"/>
    <w:rsid w:val="00C3029C"/>
    <w:rsid w:val="00C30622"/>
    <w:rsid w:val="00C30890"/>
    <w:rsid w:val="00C3096B"/>
    <w:rsid w:val="00C30A40"/>
    <w:rsid w:val="00C30A8F"/>
    <w:rsid w:val="00C30B72"/>
    <w:rsid w:val="00C30F79"/>
    <w:rsid w:val="00C314F6"/>
    <w:rsid w:val="00C3153F"/>
    <w:rsid w:val="00C31610"/>
    <w:rsid w:val="00C31616"/>
    <w:rsid w:val="00C31CB8"/>
    <w:rsid w:val="00C31E15"/>
    <w:rsid w:val="00C32343"/>
    <w:rsid w:val="00C323A2"/>
    <w:rsid w:val="00C32521"/>
    <w:rsid w:val="00C326A8"/>
    <w:rsid w:val="00C32B80"/>
    <w:rsid w:val="00C32DCD"/>
    <w:rsid w:val="00C32E91"/>
    <w:rsid w:val="00C330B5"/>
    <w:rsid w:val="00C3318D"/>
    <w:rsid w:val="00C3336C"/>
    <w:rsid w:val="00C333D4"/>
    <w:rsid w:val="00C337EE"/>
    <w:rsid w:val="00C338E6"/>
    <w:rsid w:val="00C33A49"/>
    <w:rsid w:val="00C33C30"/>
    <w:rsid w:val="00C33EB4"/>
    <w:rsid w:val="00C34149"/>
    <w:rsid w:val="00C34336"/>
    <w:rsid w:val="00C34442"/>
    <w:rsid w:val="00C34692"/>
    <w:rsid w:val="00C3475B"/>
    <w:rsid w:val="00C348D5"/>
    <w:rsid w:val="00C3495D"/>
    <w:rsid w:val="00C34AD4"/>
    <w:rsid w:val="00C34AF4"/>
    <w:rsid w:val="00C351E8"/>
    <w:rsid w:val="00C35495"/>
    <w:rsid w:val="00C35642"/>
    <w:rsid w:val="00C359E0"/>
    <w:rsid w:val="00C35AB5"/>
    <w:rsid w:val="00C35E57"/>
    <w:rsid w:val="00C36620"/>
    <w:rsid w:val="00C36665"/>
    <w:rsid w:val="00C36ACE"/>
    <w:rsid w:val="00C36B74"/>
    <w:rsid w:val="00C3703F"/>
    <w:rsid w:val="00C37073"/>
    <w:rsid w:val="00C37637"/>
    <w:rsid w:val="00C3784C"/>
    <w:rsid w:val="00C37C58"/>
    <w:rsid w:val="00C37EE1"/>
    <w:rsid w:val="00C4000A"/>
    <w:rsid w:val="00C40515"/>
    <w:rsid w:val="00C40A76"/>
    <w:rsid w:val="00C40EA4"/>
    <w:rsid w:val="00C41161"/>
    <w:rsid w:val="00C41335"/>
    <w:rsid w:val="00C41765"/>
    <w:rsid w:val="00C418DB"/>
    <w:rsid w:val="00C41C18"/>
    <w:rsid w:val="00C41D86"/>
    <w:rsid w:val="00C41F41"/>
    <w:rsid w:val="00C42029"/>
    <w:rsid w:val="00C42056"/>
    <w:rsid w:val="00C421BF"/>
    <w:rsid w:val="00C422DF"/>
    <w:rsid w:val="00C42445"/>
    <w:rsid w:val="00C427E3"/>
    <w:rsid w:val="00C429AB"/>
    <w:rsid w:val="00C42BC9"/>
    <w:rsid w:val="00C42E94"/>
    <w:rsid w:val="00C42FA7"/>
    <w:rsid w:val="00C43043"/>
    <w:rsid w:val="00C430B1"/>
    <w:rsid w:val="00C43337"/>
    <w:rsid w:val="00C43C8A"/>
    <w:rsid w:val="00C43CBD"/>
    <w:rsid w:val="00C43DC7"/>
    <w:rsid w:val="00C441A8"/>
    <w:rsid w:val="00C441AA"/>
    <w:rsid w:val="00C441EB"/>
    <w:rsid w:val="00C44276"/>
    <w:rsid w:val="00C44876"/>
    <w:rsid w:val="00C44AAB"/>
    <w:rsid w:val="00C44C04"/>
    <w:rsid w:val="00C44C20"/>
    <w:rsid w:val="00C44C6D"/>
    <w:rsid w:val="00C44E91"/>
    <w:rsid w:val="00C44EFD"/>
    <w:rsid w:val="00C45278"/>
    <w:rsid w:val="00C45282"/>
    <w:rsid w:val="00C452AC"/>
    <w:rsid w:val="00C455ED"/>
    <w:rsid w:val="00C45979"/>
    <w:rsid w:val="00C45AD8"/>
    <w:rsid w:val="00C462AE"/>
    <w:rsid w:val="00C462C2"/>
    <w:rsid w:val="00C46675"/>
    <w:rsid w:val="00C467B2"/>
    <w:rsid w:val="00C469CC"/>
    <w:rsid w:val="00C46D42"/>
    <w:rsid w:val="00C477BC"/>
    <w:rsid w:val="00C47DCF"/>
    <w:rsid w:val="00C47FF7"/>
    <w:rsid w:val="00C50213"/>
    <w:rsid w:val="00C5080B"/>
    <w:rsid w:val="00C50AD3"/>
    <w:rsid w:val="00C50C3B"/>
    <w:rsid w:val="00C50F96"/>
    <w:rsid w:val="00C50F97"/>
    <w:rsid w:val="00C51300"/>
    <w:rsid w:val="00C51452"/>
    <w:rsid w:val="00C5151F"/>
    <w:rsid w:val="00C51677"/>
    <w:rsid w:val="00C51962"/>
    <w:rsid w:val="00C5197C"/>
    <w:rsid w:val="00C51F76"/>
    <w:rsid w:val="00C52220"/>
    <w:rsid w:val="00C5292B"/>
    <w:rsid w:val="00C52B15"/>
    <w:rsid w:val="00C52BD0"/>
    <w:rsid w:val="00C52C4F"/>
    <w:rsid w:val="00C52C78"/>
    <w:rsid w:val="00C52FF2"/>
    <w:rsid w:val="00C53023"/>
    <w:rsid w:val="00C53252"/>
    <w:rsid w:val="00C5345F"/>
    <w:rsid w:val="00C53629"/>
    <w:rsid w:val="00C53CB1"/>
    <w:rsid w:val="00C53CB8"/>
    <w:rsid w:val="00C543EA"/>
    <w:rsid w:val="00C54434"/>
    <w:rsid w:val="00C545E9"/>
    <w:rsid w:val="00C54884"/>
    <w:rsid w:val="00C54B19"/>
    <w:rsid w:val="00C56456"/>
    <w:rsid w:val="00C56461"/>
    <w:rsid w:val="00C56B18"/>
    <w:rsid w:val="00C56B28"/>
    <w:rsid w:val="00C56E07"/>
    <w:rsid w:val="00C56E2F"/>
    <w:rsid w:val="00C570E2"/>
    <w:rsid w:val="00C57654"/>
    <w:rsid w:val="00C577BD"/>
    <w:rsid w:val="00C57973"/>
    <w:rsid w:val="00C57A74"/>
    <w:rsid w:val="00C57D9E"/>
    <w:rsid w:val="00C6004E"/>
    <w:rsid w:val="00C603BA"/>
    <w:rsid w:val="00C60471"/>
    <w:rsid w:val="00C604C2"/>
    <w:rsid w:val="00C6083E"/>
    <w:rsid w:val="00C608A5"/>
    <w:rsid w:val="00C60B4E"/>
    <w:rsid w:val="00C60BA2"/>
    <w:rsid w:val="00C60CE2"/>
    <w:rsid w:val="00C60D76"/>
    <w:rsid w:val="00C61228"/>
    <w:rsid w:val="00C615DF"/>
    <w:rsid w:val="00C61C9C"/>
    <w:rsid w:val="00C61CAC"/>
    <w:rsid w:val="00C61D00"/>
    <w:rsid w:val="00C61D36"/>
    <w:rsid w:val="00C621C0"/>
    <w:rsid w:val="00C6235F"/>
    <w:rsid w:val="00C6238C"/>
    <w:rsid w:val="00C6252D"/>
    <w:rsid w:val="00C627BF"/>
    <w:rsid w:val="00C6293E"/>
    <w:rsid w:val="00C62DDF"/>
    <w:rsid w:val="00C631C7"/>
    <w:rsid w:val="00C63257"/>
    <w:rsid w:val="00C63333"/>
    <w:rsid w:val="00C633B8"/>
    <w:rsid w:val="00C6359E"/>
    <w:rsid w:val="00C63732"/>
    <w:rsid w:val="00C63874"/>
    <w:rsid w:val="00C63C20"/>
    <w:rsid w:val="00C6418F"/>
    <w:rsid w:val="00C64644"/>
    <w:rsid w:val="00C64CC5"/>
    <w:rsid w:val="00C64CF2"/>
    <w:rsid w:val="00C651AD"/>
    <w:rsid w:val="00C651F5"/>
    <w:rsid w:val="00C65523"/>
    <w:rsid w:val="00C6554F"/>
    <w:rsid w:val="00C655FD"/>
    <w:rsid w:val="00C65724"/>
    <w:rsid w:val="00C65913"/>
    <w:rsid w:val="00C65CDF"/>
    <w:rsid w:val="00C6621D"/>
    <w:rsid w:val="00C665D4"/>
    <w:rsid w:val="00C66701"/>
    <w:rsid w:val="00C6682D"/>
    <w:rsid w:val="00C66EC8"/>
    <w:rsid w:val="00C66FF5"/>
    <w:rsid w:val="00C67311"/>
    <w:rsid w:val="00C6744D"/>
    <w:rsid w:val="00C67878"/>
    <w:rsid w:val="00C679F1"/>
    <w:rsid w:val="00C67FA1"/>
    <w:rsid w:val="00C7020E"/>
    <w:rsid w:val="00C7083A"/>
    <w:rsid w:val="00C70AFE"/>
    <w:rsid w:val="00C70C69"/>
    <w:rsid w:val="00C71022"/>
    <w:rsid w:val="00C7155F"/>
    <w:rsid w:val="00C7182C"/>
    <w:rsid w:val="00C719FB"/>
    <w:rsid w:val="00C71D6D"/>
    <w:rsid w:val="00C71EE0"/>
    <w:rsid w:val="00C7223B"/>
    <w:rsid w:val="00C72396"/>
    <w:rsid w:val="00C72D82"/>
    <w:rsid w:val="00C72E3E"/>
    <w:rsid w:val="00C72E45"/>
    <w:rsid w:val="00C72E65"/>
    <w:rsid w:val="00C72EEC"/>
    <w:rsid w:val="00C72FED"/>
    <w:rsid w:val="00C7306D"/>
    <w:rsid w:val="00C7335D"/>
    <w:rsid w:val="00C737C9"/>
    <w:rsid w:val="00C73CA2"/>
    <w:rsid w:val="00C73D52"/>
    <w:rsid w:val="00C73D7D"/>
    <w:rsid w:val="00C74040"/>
    <w:rsid w:val="00C740E6"/>
    <w:rsid w:val="00C742BD"/>
    <w:rsid w:val="00C74486"/>
    <w:rsid w:val="00C747A9"/>
    <w:rsid w:val="00C749BE"/>
    <w:rsid w:val="00C74CA6"/>
    <w:rsid w:val="00C74D7C"/>
    <w:rsid w:val="00C75063"/>
    <w:rsid w:val="00C751F8"/>
    <w:rsid w:val="00C75376"/>
    <w:rsid w:val="00C754D0"/>
    <w:rsid w:val="00C75508"/>
    <w:rsid w:val="00C75571"/>
    <w:rsid w:val="00C75609"/>
    <w:rsid w:val="00C757B6"/>
    <w:rsid w:val="00C757FC"/>
    <w:rsid w:val="00C75A65"/>
    <w:rsid w:val="00C75C41"/>
    <w:rsid w:val="00C75DA2"/>
    <w:rsid w:val="00C75FC3"/>
    <w:rsid w:val="00C7606D"/>
    <w:rsid w:val="00C760FF"/>
    <w:rsid w:val="00C76139"/>
    <w:rsid w:val="00C761C6"/>
    <w:rsid w:val="00C76203"/>
    <w:rsid w:val="00C763A3"/>
    <w:rsid w:val="00C7683A"/>
    <w:rsid w:val="00C768EA"/>
    <w:rsid w:val="00C76954"/>
    <w:rsid w:val="00C76DBA"/>
    <w:rsid w:val="00C772B3"/>
    <w:rsid w:val="00C77422"/>
    <w:rsid w:val="00C7766B"/>
    <w:rsid w:val="00C77708"/>
    <w:rsid w:val="00C77BA0"/>
    <w:rsid w:val="00C77E7A"/>
    <w:rsid w:val="00C77F87"/>
    <w:rsid w:val="00C80468"/>
    <w:rsid w:val="00C809F5"/>
    <w:rsid w:val="00C80A14"/>
    <w:rsid w:val="00C80A77"/>
    <w:rsid w:val="00C80AA5"/>
    <w:rsid w:val="00C80D55"/>
    <w:rsid w:val="00C812B5"/>
    <w:rsid w:val="00C8148C"/>
    <w:rsid w:val="00C815B4"/>
    <w:rsid w:val="00C8171E"/>
    <w:rsid w:val="00C81791"/>
    <w:rsid w:val="00C81B7D"/>
    <w:rsid w:val="00C81C52"/>
    <w:rsid w:val="00C81D34"/>
    <w:rsid w:val="00C81FDF"/>
    <w:rsid w:val="00C82021"/>
    <w:rsid w:val="00C829A6"/>
    <w:rsid w:val="00C82A42"/>
    <w:rsid w:val="00C82B61"/>
    <w:rsid w:val="00C82BF4"/>
    <w:rsid w:val="00C830AD"/>
    <w:rsid w:val="00C83464"/>
    <w:rsid w:val="00C83593"/>
    <w:rsid w:val="00C83A1E"/>
    <w:rsid w:val="00C83C2D"/>
    <w:rsid w:val="00C840EF"/>
    <w:rsid w:val="00C84421"/>
    <w:rsid w:val="00C8459D"/>
    <w:rsid w:val="00C845B5"/>
    <w:rsid w:val="00C84A1E"/>
    <w:rsid w:val="00C84D71"/>
    <w:rsid w:val="00C850E9"/>
    <w:rsid w:val="00C854A9"/>
    <w:rsid w:val="00C85DB0"/>
    <w:rsid w:val="00C863C1"/>
    <w:rsid w:val="00C865CF"/>
    <w:rsid w:val="00C865D8"/>
    <w:rsid w:val="00C866A9"/>
    <w:rsid w:val="00C86CC1"/>
    <w:rsid w:val="00C86F10"/>
    <w:rsid w:val="00C87267"/>
    <w:rsid w:val="00C87631"/>
    <w:rsid w:val="00C8789C"/>
    <w:rsid w:val="00C87FED"/>
    <w:rsid w:val="00C901C1"/>
    <w:rsid w:val="00C902C1"/>
    <w:rsid w:val="00C9072B"/>
    <w:rsid w:val="00C907C8"/>
    <w:rsid w:val="00C90AFD"/>
    <w:rsid w:val="00C90E34"/>
    <w:rsid w:val="00C90F2C"/>
    <w:rsid w:val="00C913BA"/>
    <w:rsid w:val="00C919E8"/>
    <w:rsid w:val="00C91CD8"/>
    <w:rsid w:val="00C91EA9"/>
    <w:rsid w:val="00C91F48"/>
    <w:rsid w:val="00C920AF"/>
    <w:rsid w:val="00C926DA"/>
    <w:rsid w:val="00C92764"/>
    <w:rsid w:val="00C92908"/>
    <w:rsid w:val="00C92A87"/>
    <w:rsid w:val="00C92A92"/>
    <w:rsid w:val="00C92A96"/>
    <w:rsid w:val="00C92CD3"/>
    <w:rsid w:val="00C92D03"/>
    <w:rsid w:val="00C92E53"/>
    <w:rsid w:val="00C93325"/>
    <w:rsid w:val="00C937F5"/>
    <w:rsid w:val="00C93C94"/>
    <w:rsid w:val="00C93CF0"/>
    <w:rsid w:val="00C93E24"/>
    <w:rsid w:val="00C94047"/>
    <w:rsid w:val="00C94709"/>
    <w:rsid w:val="00C94825"/>
    <w:rsid w:val="00C949E4"/>
    <w:rsid w:val="00C94D8F"/>
    <w:rsid w:val="00C94DA0"/>
    <w:rsid w:val="00C950C5"/>
    <w:rsid w:val="00C952E0"/>
    <w:rsid w:val="00C95A50"/>
    <w:rsid w:val="00C95D33"/>
    <w:rsid w:val="00C95F10"/>
    <w:rsid w:val="00C95F45"/>
    <w:rsid w:val="00C963E6"/>
    <w:rsid w:val="00C9672F"/>
    <w:rsid w:val="00C9683C"/>
    <w:rsid w:val="00C96D0C"/>
    <w:rsid w:val="00C96D76"/>
    <w:rsid w:val="00C96EF4"/>
    <w:rsid w:val="00C97149"/>
    <w:rsid w:val="00C97213"/>
    <w:rsid w:val="00C972D2"/>
    <w:rsid w:val="00C9771C"/>
    <w:rsid w:val="00C977B7"/>
    <w:rsid w:val="00C979E1"/>
    <w:rsid w:val="00C97AC6"/>
    <w:rsid w:val="00C97B50"/>
    <w:rsid w:val="00C97D83"/>
    <w:rsid w:val="00C97E47"/>
    <w:rsid w:val="00C97F77"/>
    <w:rsid w:val="00CA03E0"/>
    <w:rsid w:val="00CA05F2"/>
    <w:rsid w:val="00CA06A3"/>
    <w:rsid w:val="00CA0EA1"/>
    <w:rsid w:val="00CA0F5E"/>
    <w:rsid w:val="00CA12D2"/>
    <w:rsid w:val="00CA1599"/>
    <w:rsid w:val="00CA161F"/>
    <w:rsid w:val="00CA1827"/>
    <w:rsid w:val="00CA1892"/>
    <w:rsid w:val="00CA1A5B"/>
    <w:rsid w:val="00CA1CE5"/>
    <w:rsid w:val="00CA1EB7"/>
    <w:rsid w:val="00CA1EEC"/>
    <w:rsid w:val="00CA21E5"/>
    <w:rsid w:val="00CA265B"/>
    <w:rsid w:val="00CA26A1"/>
    <w:rsid w:val="00CA28E2"/>
    <w:rsid w:val="00CA2A62"/>
    <w:rsid w:val="00CA2A7A"/>
    <w:rsid w:val="00CA2BE4"/>
    <w:rsid w:val="00CA2F20"/>
    <w:rsid w:val="00CA32B9"/>
    <w:rsid w:val="00CA32C8"/>
    <w:rsid w:val="00CA32CD"/>
    <w:rsid w:val="00CA34FD"/>
    <w:rsid w:val="00CA366B"/>
    <w:rsid w:val="00CA37EB"/>
    <w:rsid w:val="00CA3854"/>
    <w:rsid w:val="00CA38F4"/>
    <w:rsid w:val="00CA393C"/>
    <w:rsid w:val="00CA3A3B"/>
    <w:rsid w:val="00CA3C57"/>
    <w:rsid w:val="00CA3E5A"/>
    <w:rsid w:val="00CA4341"/>
    <w:rsid w:val="00CA4395"/>
    <w:rsid w:val="00CA43CE"/>
    <w:rsid w:val="00CA469D"/>
    <w:rsid w:val="00CA476A"/>
    <w:rsid w:val="00CA4833"/>
    <w:rsid w:val="00CA49FD"/>
    <w:rsid w:val="00CA4D4A"/>
    <w:rsid w:val="00CA4E4F"/>
    <w:rsid w:val="00CA4EF2"/>
    <w:rsid w:val="00CA50A1"/>
    <w:rsid w:val="00CA50D7"/>
    <w:rsid w:val="00CA52D7"/>
    <w:rsid w:val="00CA53DD"/>
    <w:rsid w:val="00CA5E02"/>
    <w:rsid w:val="00CA622B"/>
    <w:rsid w:val="00CA66CD"/>
    <w:rsid w:val="00CA67C7"/>
    <w:rsid w:val="00CA6813"/>
    <w:rsid w:val="00CA69D2"/>
    <w:rsid w:val="00CA6CE5"/>
    <w:rsid w:val="00CA6F59"/>
    <w:rsid w:val="00CA7066"/>
    <w:rsid w:val="00CA70A3"/>
    <w:rsid w:val="00CA7341"/>
    <w:rsid w:val="00CA7412"/>
    <w:rsid w:val="00CA75CF"/>
    <w:rsid w:val="00CA7742"/>
    <w:rsid w:val="00CA77D6"/>
    <w:rsid w:val="00CA7C2E"/>
    <w:rsid w:val="00CB04FA"/>
    <w:rsid w:val="00CB087A"/>
    <w:rsid w:val="00CB08D5"/>
    <w:rsid w:val="00CB0906"/>
    <w:rsid w:val="00CB0A11"/>
    <w:rsid w:val="00CB0FEC"/>
    <w:rsid w:val="00CB10C9"/>
    <w:rsid w:val="00CB10DE"/>
    <w:rsid w:val="00CB1211"/>
    <w:rsid w:val="00CB138E"/>
    <w:rsid w:val="00CB16DD"/>
    <w:rsid w:val="00CB17DD"/>
    <w:rsid w:val="00CB180F"/>
    <w:rsid w:val="00CB197D"/>
    <w:rsid w:val="00CB1C35"/>
    <w:rsid w:val="00CB1C47"/>
    <w:rsid w:val="00CB1DD4"/>
    <w:rsid w:val="00CB1F60"/>
    <w:rsid w:val="00CB20E1"/>
    <w:rsid w:val="00CB21DD"/>
    <w:rsid w:val="00CB2493"/>
    <w:rsid w:val="00CB253B"/>
    <w:rsid w:val="00CB31CE"/>
    <w:rsid w:val="00CB336C"/>
    <w:rsid w:val="00CB3751"/>
    <w:rsid w:val="00CB3786"/>
    <w:rsid w:val="00CB3B9A"/>
    <w:rsid w:val="00CB3D1E"/>
    <w:rsid w:val="00CB3E9F"/>
    <w:rsid w:val="00CB44DC"/>
    <w:rsid w:val="00CB4528"/>
    <w:rsid w:val="00CB4632"/>
    <w:rsid w:val="00CB46FB"/>
    <w:rsid w:val="00CB4904"/>
    <w:rsid w:val="00CB49DF"/>
    <w:rsid w:val="00CB4A10"/>
    <w:rsid w:val="00CB4BB9"/>
    <w:rsid w:val="00CB4BE7"/>
    <w:rsid w:val="00CB4DA6"/>
    <w:rsid w:val="00CB4EE5"/>
    <w:rsid w:val="00CB4F64"/>
    <w:rsid w:val="00CB5202"/>
    <w:rsid w:val="00CB5349"/>
    <w:rsid w:val="00CB53C3"/>
    <w:rsid w:val="00CB551D"/>
    <w:rsid w:val="00CB5ABF"/>
    <w:rsid w:val="00CB5DE5"/>
    <w:rsid w:val="00CB602E"/>
    <w:rsid w:val="00CB604E"/>
    <w:rsid w:val="00CB617C"/>
    <w:rsid w:val="00CB6781"/>
    <w:rsid w:val="00CB6AF3"/>
    <w:rsid w:val="00CB6EEA"/>
    <w:rsid w:val="00CB7234"/>
    <w:rsid w:val="00CB7686"/>
    <w:rsid w:val="00CB79D8"/>
    <w:rsid w:val="00CB7B36"/>
    <w:rsid w:val="00CC027E"/>
    <w:rsid w:val="00CC029D"/>
    <w:rsid w:val="00CC0365"/>
    <w:rsid w:val="00CC0407"/>
    <w:rsid w:val="00CC07CF"/>
    <w:rsid w:val="00CC0A0B"/>
    <w:rsid w:val="00CC0B96"/>
    <w:rsid w:val="00CC0D8C"/>
    <w:rsid w:val="00CC0FD9"/>
    <w:rsid w:val="00CC11F1"/>
    <w:rsid w:val="00CC14EC"/>
    <w:rsid w:val="00CC1648"/>
    <w:rsid w:val="00CC1BC0"/>
    <w:rsid w:val="00CC1CA4"/>
    <w:rsid w:val="00CC281E"/>
    <w:rsid w:val="00CC2AA6"/>
    <w:rsid w:val="00CC3135"/>
    <w:rsid w:val="00CC354E"/>
    <w:rsid w:val="00CC485E"/>
    <w:rsid w:val="00CC5134"/>
    <w:rsid w:val="00CC686C"/>
    <w:rsid w:val="00CC69AA"/>
    <w:rsid w:val="00CC6D95"/>
    <w:rsid w:val="00CC6FD9"/>
    <w:rsid w:val="00CC7093"/>
    <w:rsid w:val="00CC70C5"/>
    <w:rsid w:val="00CC72D9"/>
    <w:rsid w:val="00CC747B"/>
    <w:rsid w:val="00CC7A27"/>
    <w:rsid w:val="00CC7BC3"/>
    <w:rsid w:val="00CC7F15"/>
    <w:rsid w:val="00CD0B99"/>
    <w:rsid w:val="00CD1114"/>
    <w:rsid w:val="00CD13B3"/>
    <w:rsid w:val="00CD1533"/>
    <w:rsid w:val="00CD16B3"/>
    <w:rsid w:val="00CD16D1"/>
    <w:rsid w:val="00CD179A"/>
    <w:rsid w:val="00CD2023"/>
    <w:rsid w:val="00CD2459"/>
    <w:rsid w:val="00CD2573"/>
    <w:rsid w:val="00CD25E0"/>
    <w:rsid w:val="00CD2D8E"/>
    <w:rsid w:val="00CD2D93"/>
    <w:rsid w:val="00CD2EAD"/>
    <w:rsid w:val="00CD322A"/>
    <w:rsid w:val="00CD324A"/>
    <w:rsid w:val="00CD3361"/>
    <w:rsid w:val="00CD39CF"/>
    <w:rsid w:val="00CD4158"/>
    <w:rsid w:val="00CD438F"/>
    <w:rsid w:val="00CD454E"/>
    <w:rsid w:val="00CD47DA"/>
    <w:rsid w:val="00CD4A7D"/>
    <w:rsid w:val="00CD4BF4"/>
    <w:rsid w:val="00CD4C5F"/>
    <w:rsid w:val="00CD5291"/>
    <w:rsid w:val="00CD52D4"/>
    <w:rsid w:val="00CD53E5"/>
    <w:rsid w:val="00CD53E9"/>
    <w:rsid w:val="00CD576C"/>
    <w:rsid w:val="00CD579E"/>
    <w:rsid w:val="00CD57E9"/>
    <w:rsid w:val="00CD5857"/>
    <w:rsid w:val="00CD5EAF"/>
    <w:rsid w:val="00CD629C"/>
    <w:rsid w:val="00CD632A"/>
    <w:rsid w:val="00CD644D"/>
    <w:rsid w:val="00CD6479"/>
    <w:rsid w:val="00CD6875"/>
    <w:rsid w:val="00CD6A3A"/>
    <w:rsid w:val="00CD7293"/>
    <w:rsid w:val="00CD7519"/>
    <w:rsid w:val="00CD7609"/>
    <w:rsid w:val="00CD7A90"/>
    <w:rsid w:val="00CD7AF0"/>
    <w:rsid w:val="00CD7B74"/>
    <w:rsid w:val="00CD7DE7"/>
    <w:rsid w:val="00CD7F3E"/>
    <w:rsid w:val="00CE0126"/>
    <w:rsid w:val="00CE0381"/>
    <w:rsid w:val="00CE07CC"/>
    <w:rsid w:val="00CE0B97"/>
    <w:rsid w:val="00CE1580"/>
    <w:rsid w:val="00CE18F8"/>
    <w:rsid w:val="00CE2007"/>
    <w:rsid w:val="00CE2079"/>
    <w:rsid w:val="00CE233C"/>
    <w:rsid w:val="00CE24DA"/>
    <w:rsid w:val="00CE29B4"/>
    <w:rsid w:val="00CE2BF4"/>
    <w:rsid w:val="00CE32F9"/>
    <w:rsid w:val="00CE364E"/>
    <w:rsid w:val="00CE37C3"/>
    <w:rsid w:val="00CE3806"/>
    <w:rsid w:val="00CE3A69"/>
    <w:rsid w:val="00CE3C91"/>
    <w:rsid w:val="00CE3D24"/>
    <w:rsid w:val="00CE40A3"/>
    <w:rsid w:val="00CE4582"/>
    <w:rsid w:val="00CE4C19"/>
    <w:rsid w:val="00CE4C4D"/>
    <w:rsid w:val="00CE4C56"/>
    <w:rsid w:val="00CE4E2C"/>
    <w:rsid w:val="00CE4FDC"/>
    <w:rsid w:val="00CE528F"/>
    <w:rsid w:val="00CE542F"/>
    <w:rsid w:val="00CE5947"/>
    <w:rsid w:val="00CE5949"/>
    <w:rsid w:val="00CE5C1E"/>
    <w:rsid w:val="00CE5D50"/>
    <w:rsid w:val="00CE6087"/>
    <w:rsid w:val="00CE61E9"/>
    <w:rsid w:val="00CE644A"/>
    <w:rsid w:val="00CE65FE"/>
    <w:rsid w:val="00CE668F"/>
    <w:rsid w:val="00CE66D4"/>
    <w:rsid w:val="00CE6722"/>
    <w:rsid w:val="00CE6757"/>
    <w:rsid w:val="00CE67B3"/>
    <w:rsid w:val="00CE68AE"/>
    <w:rsid w:val="00CE68EF"/>
    <w:rsid w:val="00CE6BD2"/>
    <w:rsid w:val="00CE6E64"/>
    <w:rsid w:val="00CE6EE0"/>
    <w:rsid w:val="00CE700D"/>
    <w:rsid w:val="00CE74F0"/>
    <w:rsid w:val="00CE7D04"/>
    <w:rsid w:val="00CE7D6C"/>
    <w:rsid w:val="00CF027B"/>
    <w:rsid w:val="00CF0301"/>
    <w:rsid w:val="00CF0373"/>
    <w:rsid w:val="00CF06C7"/>
    <w:rsid w:val="00CF0853"/>
    <w:rsid w:val="00CF0DAE"/>
    <w:rsid w:val="00CF0F09"/>
    <w:rsid w:val="00CF1417"/>
    <w:rsid w:val="00CF175C"/>
    <w:rsid w:val="00CF1834"/>
    <w:rsid w:val="00CF1BF3"/>
    <w:rsid w:val="00CF1D30"/>
    <w:rsid w:val="00CF1DDD"/>
    <w:rsid w:val="00CF206D"/>
    <w:rsid w:val="00CF22E1"/>
    <w:rsid w:val="00CF2339"/>
    <w:rsid w:val="00CF284B"/>
    <w:rsid w:val="00CF28CC"/>
    <w:rsid w:val="00CF295B"/>
    <w:rsid w:val="00CF2BAB"/>
    <w:rsid w:val="00CF2D5A"/>
    <w:rsid w:val="00CF2F3E"/>
    <w:rsid w:val="00CF301E"/>
    <w:rsid w:val="00CF342A"/>
    <w:rsid w:val="00CF34F8"/>
    <w:rsid w:val="00CF3C14"/>
    <w:rsid w:val="00CF3CEF"/>
    <w:rsid w:val="00CF3D85"/>
    <w:rsid w:val="00CF41DF"/>
    <w:rsid w:val="00CF43F0"/>
    <w:rsid w:val="00CF4497"/>
    <w:rsid w:val="00CF457A"/>
    <w:rsid w:val="00CF45AD"/>
    <w:rsid w:val="00CF4769"/>
    <w:rsid w:val="00CF49C8"/>
    <w:rsid w:val="00CF4C3E"/>
    <w:rsid w:val="00CF4C55"/>
    <w:rsid w:val="00CF4C56"/>
    <w:rsid w:val="00CF4D18"/>
    <w:rsid w:val="00CF5312"/>
    <w:rsid w:val="00CF5405"/>
    <w:rsid w:val="00CF5545"/>
    <w:rsid w:val="00CF5BB1"/>
    <w:rsid w:val="00CF5D94"/>
    <w:rsid w:val="00CF64F4"/>
    <w:rsid w:val="00CF65E8"/>
    <w:rsid w:val="00CF66CC"/>
    <w:rsid w:val="00CF6732"/>
    <w:rsid w:val="00CF694E"/>
    <w:rsid w:val="00CF6C5F"/>
    <w:rsid w:val="00CF7068"/>
    <w:rsid w:val="00CF7705"/>
    <w:rsid w:val="00CF7D6C"/>
    <w:rsid w:val="00D0008D"/>
    <w:rsid w:val="00D00221"/>
    <w:rsid w:val="00D005A9"/>
    <w:rsid w:val="00D006F2"/>
    <w:rsid w:val="00D0081B"/>
    <w:rsid w:val="00D00D50"/>
    <w:rsid w:val="00D00FAF"/>
    <w:rsid w:val="00D0114D"/>
    <w:rsid w:val="00D01262"/>
    <w:rsid w:val="00D01265"/>
    <w:rsid w:val="00D015D5"/>
    <w:rsid w:val="00D01C10"/>
    <w:rsid w:val="00D01DC9"/>
    <w:rsid w:val="00D01FCE"/>
    <w:rsid w:val="00D01FF7"/>
    <w:rsid w:val="00D02824"/>
    <w:rsid w:val="00D02AB4"/>
    <w:rsid w:val="00D02E25"/>
    <w:rsid w:val="00D030CA"/>
    <w:rsid w:val="00D032A5"/>
    <w:rsid w:val="00D03765"/>
    <w:rsid w:val="00D03ADF"/>
    <w:rsid w:val="00D03EAF"/>
    <w:rsid w:val="00D04064"/>
    <w:rsid w:val="00D04098"/>
    <w:rsid w:val="00D042C7"/>
    <w:rsid w:val="00D04823"/>
    <w:rsid w:val="00D04C94"/>
    <w:rsid w:val="00D05312"/>
    <w:rsid w:val="00D05448"/>
    <w:rsid w:val="00D054AC"/>
    <w:rsid w:val="00D0573A"/>
    <w:rsid w:val="00D05804"/>
    <w:rsid w:val="00D05862"/>
    <w:rsid w:val="00D05BDF"/>
    <w:rsid w:val="00D05C99"/>
    <w:rsid w:val="00D05CB2"/>
    <w:rsid w:val="00D07058"/>
    <w:rsid w:val="00D07465"/>
    <w:rsid w:val="00D0768A"/>
    <w:rsid w:val="00D0788B"/>
    <w:rsid w:val="00D07A68"/>
    <w:rsid w:val="00D07B27"/>
    <w:rsid w:val="00D07E40"/>
    <w:rsid w:val="00D1018B"/>
    <w:rsid w:val="00D1024C"/>
    <w:rsid w:val="00D1027C"/>
    <w:rsid w:val="00D1035F"/>
    <w:rsid w:val="00D10B71"/>
    <w:rsid w:val="00D1131C"/>
    <w:rsid w:val="00D117D2"/>
    <w:rsid w:val="00D117F7"/>
    <w:rsid w:val="00D11845"/>
    <w:rsid w:val="00D1218E"/>
    <w:rsid w:val="00D122A1"/>
    <w:rsid w:val="00D1258B"/>
    <w:rsid w:val="00D12EA3"/>
    <w:rsid w:val="00D12F24"/>
    <w:rsid w:val="00D13151"/>
    <w:rsid w:val="00D132E3"/>
    <w:rsid w:val="00D13905"/>
    <w:rsid w:val="00D13D7E"/>
    <w:rsid w:val="00D13F1A"/>
    <w:rsid w:val="00D14088"/>
    <w:rsid w:val="00D1478E"/>
    <w:rsid w:val="00D148FD"/>
    <w:rsid w:val="00D14A28"/>
    <w:rsid w:val="00D14B8C"/>
    <w:rsid w:val="00D14BAC"/>
    <w:rsid w:val="00D14F16"/>
    <w:rsid w:val="00D15094"/>
    <w:rsid w:val="00D15379"/>
    <w:rsid w:val="00D15675"/>
    <w:rsid w:val="00D157A2"/>
    <w:rsid w:val="00D158B0"/>
    <w:rsid w:val="00D1620C"/>
    <w:rsid w:val="00D16325"/>
    <w:rsid w:val="00D1637D"/>
    <w:rsid w:val="00D16745"/>
    <w:rsid w:val="00D16B2E"/>
    <w:rsid w:val="00D16F71"/>
    <w:rsid w:val="00D16F7C"/>
    <w:rsid w:val="00D172ED"/>
    <w:rsid w:val="00D172FF"/>
    <w:rsid w:val="00D17502"/>
    <w:rsid w:val="00D17711"/>
    <w:rsid w:val="00D17D4C"/>
    <w:rsid w:val="00D17ED2"/>
    <w:rsid w:val="00D17F7D"/>
    <w:rsid w:val="00D2006C"/>
    <w:rsid w:val="00D203E2"/>
    <w:rsid w:val="00D2053A"/>
    <w:rsid w:val="00D2166F"/>
    <w:rsid w:val="00D21A63"/>
    <w:rsid w:val="00D21AE6"/>
    <w:rsid w:val="00D21D13"/>
    <w:rsid w:val="00D22732"/>
    <w:rsid w:val="00D227DA"/>
    <w:rsid w:val="00D228BB"/>
    <w:rsid w:val="00D22A91"/>
    <w:rsid w:val="00D2349E"/>
    <w:rsid w:val="00D23820"/>
    <w:rsid w:val="00D239DB"/>
    <w:rsid w:val="00D24114"/>
    <w:rsid w:val="00D2419C"/>
    <w:rsid w:val="00D241B6"/>
    <w:rsid w:val="00D246C6"/>
    <w:rsid w:val="00D24770"/>
    <w:rsid w:val="00D24944"/>
    <w:rsid w:val="00D24951"/>
    <w:rsid w:val="00D24B89"/>
    <w:rsid w:val="00D24D7C"/>
    <w:rsid w:val="00D24E87"/>
    <w:rsid w:val="00D24EF5"/>
    <w:rsid w:val="00D24FDD"/>
    <w:rsid w:val="00D25260"/>
    <w:rsid w:val="00D254B3"/>
    <w:rsid w:val="00D25593"/>
    <w:rsid w:val="00D2585F"/>
    <w:rsid w:val="00D25B7C"/>
    <w:rsid w:val="00D25D8F"/>
    <w:rsid w:val="00D25F9E"/>
    <w:rsid w:val="00D260AE"/>
    <w:rsid w:val="00D2638F"/>
    <w:rsid w:val="00D269CB"/>
    <w:rsid w:val="00D2706D"/>
    <w:rsid w:val="00D2736B"/>
    <w:rsid w:val="00D276DF"/>
    <w:rsid w:val="00D277B7"/>
    <w:rsid w:val="00D27B75"/>
    <w:rsid w:val="00D3006D"/>
    <w:rsid w:val="00D301E0"/>
    <w:rsid w:val="00D3053B"/>
    <w:rsid w:val="00D3077F"/>
    <w:rsid w:val="00D30B43"/>
    <w:rsid w:val="00D30B4A"/>
    <w:rsid w:val="00D30E1F"/>
    <w:rsid w:val="00D30EE8"/>
    <w:rsid w:val="00D30FE9"/>
    <w:rsid w:val="00D31047"/>
    <w:rsid w:val="00D3149B"/>
    <w:rsid w:val="00D31715"/>
    <w:rsid w:val="00D31746"/>
    <w:rsid w:val="00D31772"/>
    <w:rsid w:val="00D3195C"/>
    <w:rsid w:val="00D31E1F"/>
    <w:rsid w:val="00D32211"/>
    <w:rsid w:val="00D3265C"/>
    <w:rsid w:val="00D327AB"/>
    <w:rsid w:val="00D329E7"/>
    <w:rsid w:val="00D32BF0"/>
    <w:rsid w:val="00D32FE1"/>
    <w:rsid w:val="00D3305F"/>
    <w:rsid w:val="00D330B0"/>
    <w:rsid w:val="00D330D8"/>
    <w:rsid w:val="00D33A93"/>
    <w:rsid w:val="00D33C13"/>
    <w:rsid w:val="00D34016"/>
    <w:rsid w:val="00D34060"/>
    <w:rsid w:val="00D34210"/>
    <w:rsid w:val="00D342E2"/>
    <w:rsid w:val="00D346A3"/>
    <w:rsid w:val="00D34EB7"/>
    <w:rsid w:val="00D34ECA"/>
    <w:rsid w:val="00D35396"/>
    <w:rsid w:val="00D356A2"/>
    <w:rsid w:val="00D35B3C"/>
    <w:rsid w:val="00D35BD6"/>
    <w:rsid w:val="00D35EAC"/>
    <w:rsid w:val="00D36477"/>
    <w:rsid w:val="00D364BE"/>
    <w:rsid w:val="00D36600"/>
    <w:rsid w:val="00D3685D"/>
    <w:rsid w:val="00D36918"/>
    <w:rsid w:val="00D36BBB"/>
    <w:rsid w:val="00D36BBD"/>
    <w:rsid w:val="00D36EE9"/>
    <w:rsid w:val="00D36F4A"/>
    <w:rsid w:val="00D370AC"/>
    <w:rsid w:val="00D3771A"/>
    <w:rsid w:val="00D37B22"/>
    <w:rsid w:val="00D37B2D"/>
    <w:rsid w:val="00D37FB2"/>
    <w:rsid w:val="00D4010C"/>
    <w:rsid w:val="00D40236"/>
    <w:rsid w:val="00D40428"/>
    <w:rsid w:val="00D41097"/>
    <w:rsid w:val="00D410D5"/>
    <w:rsid w:val="00D4137D"/>
    <w:rsid w:val="00D4183B"/>
    <w:rsid w:val="00D41EB4"/>
    <w:rsid w:val="00D423D5"/>
    <w:rsid w:val="00D42892"/>
    <w:rsid w:val="00D428B3"/>
    <w:rsid w:val="00D42940"/>
    <w:rsid w:val="00D42E5A"/>
    <w:rsid w:val="00D430C1"/>
    <w:rsid w:val="00D4347F"/>
    <w:rsid w:val="00D43600"/>
    <w:rsid w:val="00D43804"/>
    <w:rsid w:val="00D43B3C"/>
    <w:rsid w:val="00D43CE2"/>
    <w:rsid w:val="00D43E1F"/>
    <w:rsid w:val="00D44710"/>
    <w:rsid w:val="00D44978"/>
    <w:rsid w:val="00D44E93"/>
    <w:rsid w:val="00D44F0A"/>
    <w:rsid w:val="00D4526B"/>
    <w:rsid w:val="00D45289"/>
    <w:rsid w:val="00D4528A"/>
    <w:rsid w:val="00D45544"/>
    <w:rsid w:val="00D457A9"/>
    <w:rsid w:val="00D45943"/>
    <w:rsid w:val="00D45E75"/>
    <w:rsid w:val="00D460EC"/>
    <w:rsid w:val="00D4639C"/>
    <w:rsid w:val="00D463B8"/>
    <w:rsid w:val="00D465C1"/>
    <w:rsid w:val="00D46855"/>
    <w:rsid w:val="00D469E1"/>
    <w:rsid w:val="00D46C4D"/>
    <w:rsid w:val="00D47041"/>
    <w:rsid w:val="00D47500"/>
    <w:rsid w:val="00D47612"/>
    <w:rsid w:val="00D476C6"/>
    <w:rsid w:val="00D476DC"/>
    <w:rsid w:val="00D4787D"/>
    <w:rsid w:val="00D4791E"/>
    <w:rsid w:val="00D4797B"/>
    <w:rsid w:val="00D47ADC"/>
    <w:rsid w:val="00D47AE5"/>
    <w:rsid w:val="00D47B4E"/>
    <w:rsid w:val="00D47BDD"/>
    <w:rsid w:val="00D5062A"/>
    <w:rsid w:val="00D50E19"/>
    <w:rsid w:val="00D50EC0"/>
    <w:rsid w:val="00D51068"/>
    <w:rsid w:val="00D51247"/>
    <w:rsid w:val="00D512A7"/>
    <w:rsid w:val="00D516D5"/>
    <w:rsid w:val="00D51BCF"/>
    <w:rsid w:val="00D52099"/>
    <w:rsid w:val="00D521FE"/>
    <w:rsid w:val="00D523C0"/>
    <w:rsid w:val="00D5240A"/>
    <w:rsid w:val="00D52466"/>
    <w:rsid w:val="00D5246C"/>
    <w:rsid w:val="00D5260E"/>
    <w:rsid w:val="00D5266D"/>
    <w:rsid w:val="00D529B5"/>
    <w:rsid w:val="00D52AFB"/>
    <w:rsid w:val="00D52E91"/>
    <w:rsid w:val="00D5309E"/>
    <w:rsid w:val="00D5334E"/>
    <w:rsid w:val="00D53651"/>
    <w:rsid w:val="00D5375E"/>
    <w:rsid w:val="00D53A8E"/>
    <w:rsid w:val="00D53B0E"/>
    <w:rsid w:val="00D53F8D"/>
    <w:rsid w:val="00D5465F"/>
    <w:rsid w:val="00D547BD"/>
    <w:rsid w:val="00D54A50"/>
    <w:rsid w:val="00D54B1D"/>
    <w:rsid w:val="00D54EB2"/>
    <w:rsid w:val="00D5500F"/>
    <w:rsid w:val="00D5501E"/>
    <w:rsid w:val="00D55773"/>
    <w:rsid w:val="00D55875"/>
    <w:rsid w:val="00D561B0"/>
    <w:rsid w:val="00D5650A"/>
    <w:rsid w:val="00D566DC"/>
    <w:rsid w:val="00D5673D"/>
    <w:rsid w:val="00D56EFE"/>
    <w:rsid w:val="00D56F04"/>
    <w:rsid w:val="00D56F1A"/>
    <w:rsid w:val="00D57260"/>
    <w:rsid w:val="00D578EE"/>
    <w:rsid w:val="00D57C15"/>
    <w:rsid w:val="00D57E1F"/>
    <w:rsid w:val="00D60279"/>
    <w:rsid w:val="00D60408"/>
    <w:rsid w:val="00D604BF"/>
    <w:rsid w:val="00D60647"/>
    <w:rsid w:val="00D606BA"/>
    <w:rsid w:val="00D60866"/>
    <w:rsid w:val="00D60876"/>
    <w:rsid w:val="00D609B2"/>
    <w:rsid w:val="00D60D43"/>
    <w:rsid w:val="00D60EF9"/>
    <w:rsid w:val="00D61643"/>
    <w:rsid w:val="00D61925"/>
    <w:rsid w:val="00D61AB0"/>
    <w:rsid w:val="00D61B5B"/>
    <w:rsid w:val="00D61DB1"/>
    <w:rsid w:val="00D627F5"/>
    <w:rsid w:val="00D62A79"/>
    <w:rsid w:val="00D62AB0"/>
    <w:rsid w:val="00D62DDD"/>
    <w:rsid w:val="00D62DEA"/>
    <w:rsid w:val="00D634AA"/>
    <w:rsid w:val="00D6419F"/>
    <w:rsid w:val="00D64230"/>
    <w:rsid w:val="00D646FF"/>
    <w:rsid w:val="00D647DF"/>
    <w:rsid w:val="00D6482B"/>
    <w:rsid w:val="00D648A5"/>
    <w:rsid w:val="00D64B8B"/>
    <w:rsid w:val="00D64DC7"/>
    <w:rsid w:val="00D64DEA"/>
    <w:rsid w:val="00D659D9"/>
    <w:rsid w:val="00D65B4B"/>
    <w:rsid w:val="00D65C06"/>
    <w:rsid w:val="00D66166"/>
    <w:rsid w:val="00D66B67"/>
    <w:rsid w:val="00D66DFE"/>
    <w:rsid w:val="00D67710"/>
    <w:rsid w:val="00D677DA"/>
    <w:rsid w:val="00D67998"/>
    <w:rsid w:val="00D679BE"/>
    <w:rsid w:val="00D67E92"/>
    <w:rsid w:val="00D67F55"/>
    <w:rsid w:val="00D706C1"/>
    <w:rsid w:val="00D70B93"/>
    <w:rsid w:val="00D71179"/>
    <w:rsid w:val="00D711E8"/>
    <w:rsid w:val="00D716E5"/>
    <w:rsid w:val="00D7173D"/>
    <w:rsid w:val="00D71ACB"/>
    <w:rsid w:val="00D71B42"/>
    <w:rsid w:val="00D71EA3"/>
    <w:rsid w:val="00D7253B"/>
    <w:rsid w:val="00D726CC"/>
    <w:rsid w:val="00D72B34"/>
    <w:rsid w:val="00D72D21"/>
    <w:rsid w:val="00D73040"/>
    <w:rsid w:val="00D730BB"/>
    <w:rsid w:val="00D73ACF"/>
    <w:rsid w:val="00D73BEE"/>
    <w:rsid w:val="00D73C40"/>
    <w:rsid w:val="00D7415B"/>
    <w:rsid w:val="00D7417B"/>
    <w:rsid w:val="00D742AB"/>
    <w:rsid w:val="00D742DE"/>
    <w:rsid w:val="00D743F7"/>
    <w:rsid w:val="00D7440D"/>
    <w:rsid w:val="00D7480D"/>
    <w:rsid w:val="00D74991"/>
    <w:rsid w:val="00D74B37"/>
    <w:rsid w:val="00D74D50"/>
    <w:rsid w:val="00D74D80"/>
    <w:rsid w:val="00D74FE3"/>
    <w:rsid w:val="00D7502D"/>
    <w:rsid w:val="00D7513C"/>
    <w:rsid w:val="00D75425"/>
    <w:rsid w:val="00D75564"/>
    <w:rsid w:val="00D755D3"/>
    <w:rsid w:val="00D75667"/>
    <w:rsid w:val="00D75757"/>
    <w:rsid w:val="00D757F5"/>
    <w:rsid w:val="00D75876"/>
    <w:rsid w:val="00D75983"/>
    <w:rsid w:val="00D75B97"/>
    <w:rsid w:val="00D75DB3"/>
    <w:rsid w:val="00D75F69"/>
    <w:rsid w:val="00D7615F"/>
    <w:rsid w:val="00D761D6"/>
    <w:rsid w:val="00D762C5"/>
    <w:rsid w:val="00D76651"/>
    <w:rsid w:val="00D7697E"/>
    <w:rsid w:val="00D76C87"/>
    <w:rsid w:val="00D76D2E"/>
    <w:rsid w:val="00D76DFC"/>
    <w:rsid w:val="00D76E93"/>
    <w:rsid w:val="00D776E4"/>
    <w:rsid w:val="00D77A8A"/>
    <w:rsid w:val="00D77DAF"/>
    <w:rsid w:val="00D77F8A"/>
    <w:rsid w:val="00D801B7"/>
    <w:rsid w:val="00D8059B"/>
    <w:rsid w:val="00D80B7A"/>
    <w:rsid w:val="00D80C01"/>
    <w:rsid w:val="00D80E1D"/>
    <w:rsid w:val="00D81170"/>
    <w:rsid w:val="00D8147D"/>
    <w:rsid w:val="00D81910"/>
    <w:rsid w:val="00D81D7C"/>
    <w:rsid w:val="00D822A4"/>
    <w:rsid w:val="00D82614"/>
    <w:rsid w:val="00D82DA7"/>
    <w:rsid w:val="00D83811"/>
    <w:rsid w:val="00D8386C"/>
    <w:rsid w:val="00D838AD"/>
    <w:rsid w:val="00D83A62"/>
    <w:rsid w:val="00D83BE8"/>
    <w:rsid w:val="00D83C95"/>
    <w:rsid w:val="00D83E5A"/>
    <w:rsid w:val="00D83FE3"/>
    <w:rsid w:val="00D84155"/>
    <w:rsid w:val="00D8451F"/>
    <w:rsid w:val="00D846BD"/>
    <w:rsid w:val="00D847CA"/>
    <w:rsid w:val="00D84B86"/>
    <w:rsid w:val="00D84E06"/>
    <w:rsid w:val="00D850DF"/>
    <w:rsid w:val="00D8556E"/>
    <w:rsid w:val="00D855A8"/>
    <w:rsid w:val="00D85A3F"/>
    <w:rsid w:val="00D86205"/>
    <w:rsid w:val="00D86515"/>
    <w:rsid w:val="00D86665"/>
    <w:rsid w:val="00D867AE"/>
    <w:rsid w:val="00D86A78"/>
    <w:rsid w:val="00D86C1E"/>
    <w:rsid w:val="00D86D13"/>
    <w:rsid w:val="00D86F8E"/>
    <w:rsid w:val="00D87213"/>
    <w:rsid w:val="00D8721F"/>
    <w:rsid w:val="00D8743B"/>
    <w:rsid w:val="00D87D29"/>
    <w:rsid w:val="00D87D5A"/>
    <w:rsid w:val="00D87D5F"/>
    <w:rsid w:val="00D900A3"/>
    <w:rsid w:val="00D9075D"/>
    <w:rsid w:val="00D90A04"/>
    <w:rsid w:val="00D90D3B"/>
    <w:rsid w:val="00D90F23"/>
    <w:rsid w:val="00D91002"/>
    <w:rsid w:val="00D910A8"/>
    <w:rsid w:val="00D910E1"/>
    <w:rsid w:val="00D9176A"/>
    <w:rsid w:val="00D91ACE"/>
    <w:rsid w:val="00D91BAB"/>
    <w:rsid w:val="00D91DB4"/>
    <w:rsid w:val="00D92017"/>
    <w:rsid w:val="00D92AD4"/>
    <w:rsid w:val="00D92E2C"/>
    <w:rsid w:val="00D92E67"/>
    <w:rsid w:val="00D93178"/>
    <w:rsid w:val="00D9320A"/>
    <w:rsid w:val="00D9387E"/>
    <w:rsid w:val="00D93A17"/>
    <w:rsid w:val="00D93B31"/>
    <w:rsid w:val="00D93BF4"/>
    <w:rsid w:val="00D93D1C"/>
    <w:rsid w:val="00D93DA7"/>
    <w:rsid w:val="00D93DF9"/>
    <w:rsid w:val="00D94087"/>
    <w:rsid w:val="00D9412E"/>
    <w:rsid w:val="00D945C7"/>
    <w:rsid w:val="00D94683"/>
    <w:rsid w:val="00D9490F"/>
    <w:rsid w:val="00D94C31"/>
    <w:rsid w:val="00D95399"/>
    <w:rsid w:val="00D95438"/>
    <w:rsid w:val="00D955F2"/>
    <w:rsid w:val="00D95B3E"/>
    <w:rsid w:val="00D95ED0"/>
    <w:rsid w:val="00D963E9"/>
    <w:rsid w:val="00D96433"/>
    <w:rsid w:val="00D96720"/>
    <w:rsid w:val="00D96C96"/>
    <w:rsid w:val="00D96E3A"/>
    <w:rsid w:val="00D96ECF"/>
    <w:rsid w:val="00D96F99"/>
    <w:rsid w:val="00D97018"/>
    <w:rsid w:val="00D970A1"/>
    <w:rsid w:val="00D972D0"/>
    <w:rsid w:val="00D979B8"/>
    <w:rsid w:val="00D97CE9"/>
    <w:rsid w:val="00DA0035"/>
    <w:rsid w:val="00DA016B"/>
    <w:rsid w:val="00DA0336"/>
    <w:rsid w:val="00DA05B7"/>
    <w:rsid w:val="00DA0A1E"/>
    <w:rsid w:val="00DA0B60"/>
    <w:rsid w:val="00DA0B91"/>
    <w:rsid w:val="00DA0EFA"/>
    <w:rsid w:val="00DA129C"/>
    <w:rsid w:val="00DA15DA"/>
    <w:rsid w:val="00DA1761"/>
    <w:rsid w:val="00DA1D5B"/>
    <w:rsid w:val="00DA1E20"/>
    <w:rsid w:val="00DA217E"/>
    <w:rsid w:val="00DA241F"/>
    <w:rsid w:val="00DA250C"/>
    <w:rsid w:val="00DA2524"/>
    <w:rsid w:val="00DA25C9"/>
    <w:rsid w:val="00DA25E3"/>
    <w:rsid w:val="00DA26B6"/>
    <w:rsid w:val="00DA29F6"/>
    <w:rsid w:val="00DA326C"/>
    <w:rsid w:val="00DA3527"/>
    <w:rsid w:val="00DA36FE"/>
    <w:rsid w:val="00DA370E"/>
    <w:rsid w:val="00DA3F65"/>
    <w:rsid w:val="00DA435A"/>
    <w:rsid w:val="00DA4517"/>
    <w:rsid w:val="00DA4BBB"/>
    <w:rsid w:val="00DA4CC3"/>
    <w:rsid w:val="00DA53AA"/>
    <w:rsid w:val="00DA5783"/>
    <w:rsid w:val="00DA578C"/>
    <w:rsid w:val="00DA578E"/>
    <w:rsid w:val="00DA5CF1"/>
    <w:rsid w:val="00DA6023"/>
    <w:rsid w:val="00DA602D"/>
    <w:rsid w:val="00DA616F"/>
    <w:rsid w:val="00DA62E7"/>
    <w:rsid w:val="00DA6329"/>
    <w:rsid w:val="00DA63BB"/>
    <w:rsid w:val="00DA6BD8"/>
    <w:rsid w:val="00DA70D9"/>
    <w:rsid w:val="00DA70FB"/>
    <w:rsid w:val="00DA73BF"/>
    <w:rsid w:val="00DA74C3"/>
    <w:rsid w:val="00DA78B5"/>
    <w:rsid w:val="00DA7E98"/>
    <w:rsid w:val="00DA7F81"/>
    <w:rsid w:val="00DB01E4"/>
    <w:rsid w:val="00DB0434"/>
    <w:rsid w:val="00DB056E"/>
    <w:rsid w:val="00DB0905"/>
    <w:rsid w:val="00DB0C44"/>
    <w:rsid w:val="00DB0CED"/>
    <w:rsid w:val="00DB0D49"/>
    <w:rsid w:val="00DB1064"/>
    <w:rsid w:val="00DB1418"/>
    <w:rsid w:val="00DB1672"/>
    <w:rsid w:val="00DB1A09"/>
    <w:rsid w:val="00DB1ADF"/>
    <w:rsid w:val="00DB1AE9"/>
    <w:rsid w:val="00DB1B42"/>
    <w:rsid w:val="00DB1BE6"/>
    <w:rsid w:val="00DB1E9C"/>
    <w:rsid w:val="00DB2087"/>
    <w:rsid w:val="00DB2098"/>
    <w:rsid w:val="00DB209D"/>
    <w:rsid w:val="00DB20EF"/>
    <w:rsid w:val="00DB2231"/>
    <w:rsid w:val="00DB24DB"/>
    <w:rsid w:val="00DB254F"/>
    <w:rsid w:val="00DB2686"/>
    <w:rsid w:val="00DB2859"/>
    <w:rsid w:val="00DB2CD9"/>
    <w:rsid w:val="00DB2ECE"/>
    <w:rsid w:val="00DB33C9"/>
    <w:rsid w:val="00DB3450"/>
    <w:rsid w:val="00DB350B"/>
    <w:rsid w:val="00DB36C7"/>
    <w:rsid w:val="00DB38E1"/>
    <w:rsid w:val="00DB3BA7"/>
    <w:rsid w:val="00DB3CC5"/>
    <w:rsid w:val="00DB3E0B"/>
    <w:rsid w:val="00DB40D8"/>
    <w:rsid w:val="00DB485A"/>
    <w:rsid w:val="00DB4E1A"/>
    <w:rsid w:val="00DB55B8"/>
    <w:rsid w:val="00DB56F8"/>
    <w:rsid w:val="00DB5847"/>
    <w:rsid w:val="00DB5CA1"/>
    <w:rsid w:val="00DB5D40"/>
    <w:rsid w:val="00DB65FC"/>
    <w:rsid w:val="00DB6650"/>
    <w:rsid w:val="00DB6891"/>
    <w:rsid w:val="00DB68A7"/>
    <w:rsid w:val="00DB69C1"/>
    <w:rsid w:val="00DB6A0E"/>
    <w:rsid w:val="00DB71C6"/>
    <w:rsid w:val="00DB73BF"/>
    <w:rsid w:val="00DB7581"/>
    <w:rsid w:val="00DB758C"/>
    <w:rsid w:val="00DB7CD3"/>
    <w:rsid w:val="00DC021F"/>
    <w:rsid w:val="00DC0286"/>
    <w:rsid w:val="00DC0397"/>
    <w:rsid w:val="00DC03E7"/>
    <w:rsid w:val="00DC08A9"/>
    <w:rsid w:val="00DC0D93"/>
    <w:rsid w:val="00DC178F"/>
    <w:rsid w:val="00DC181B"/>
    <w:rsid w:val="00DC19C8"/>
    <w:rsid w:val="00DC1C37"/>
    <w:rsid w:val="00DC2280"/>
    <w:rsid w:val="00DC254B"/>
    <w:rsid w:val="00DC2945"/>
    <w:rsid w:val="00DC29CE"/>
    <w:rsid w:val="00DC3318"/>
    <w:rsid w:val="00DC383D"/>
    <w:rsid w:val="00DC3A28"/>
    <w:rsid w:val="00DC3BF7"/>
    <w:rsid w:val="00DC42C0"/>
    <w:rsid w:val="00DC4445"/>
    <w:rsid w:val="00DC4781"/>
    <w:rsid w:val="00DC4A5E"/>
    <w:rsid w:val="00DC4AD5"/>
    <w:rsid w:val="00DC50B0"/>
    <w:rsid w:val="00DC5270"/>
    <w:rsid w:val="00DC5471"/>
    <w:rsid w:val="00DC57CB"/>
    <w:rsid w:val="00DC6277"/>
    <w:rsid w:val="00DC63D4"/>
    <w:rsid w:val="00DC6780"/>
    <w:rsid w:val="00DC68AE"/>
    <w:rsid w:val="00DC7389"/>
    <w:rsid w:val="00DC73EC"/>
    <w:rsid w:val="00DC76A0"/>
    <w:rsid w:val="00DC7CC0"/>
    <w:rsid w:val="00DC7FB3"/>
    <w:rsid w:val="00DD00E2"/>
    <w:rsid w:val="00DD0265"/>
    <w:rsid w:val="00DD03A9"/>
    <w:rsid w:val="00DD0473"/>
    <w:rsid w:val="00DD0B21"/>
    <w:rsid w:val="00DD114D"/>
    <w:rsid w:val="00DD1195"/>
    <w:rsid w:val="00DD159D"/>
    <w:rsid w:val="00DD187C"/>
    <w:rsid w:val="00DD1974"/>
    <w:rsid w:val="00DD2371"/>
    <w:rsid w:val="00DD293A"/>
    <w:rsid w:val="00DD2CE7"/>
    <w:rsid w:val="00DD3317"/>
    <w:rsid w:val="00DD3727"/>
    <w:rsid w:val="00DD3E33"/>
    <w:rsid w:val="00DD3F5F"/>
    <w:rsid w:val="00DD4165"/>
    <w:rsid w:val="00DD4181"/>
    <w:rsid w:val="00DD4580"/>
    <w:rsid w:val="00DD4AAF"/>
    <w:rsid w:val="00DD4AD9"/>
    <w:rsid w:val="00DD4C5D"/>
    <w:rsid w:val="00DD4F4C"/>
    <w:rsid w:val="00DD503A"/>
    <w:rsid w:val="00DD50BB"/>
    <w:rsid w:val="00DD547C"/>
    <w:rsid w:val="00DD547D"/>
    <w:rsid w:val="00DD5952"/>
    <w:rsid w:val="00DD597A"/>
    <w:rsid w:val="00DD62B3"/>
    <w:rsid w:val="00DD652A"/>
    <w:rsid w:val="00DD65FB"/>
    <w:rsid w:val="00DD6C5C"/>
    <w:rsid w:val="00DD7256"/>
    <w:rsid w:val="00DD730E"/>
    <w:rsid w:val="00DD7438"/>
    <w:rsid w:val="00DD7621"/>
    <w:rsid w:val="00DD76F2"/>
    <w:rsid w:val="00DD7761"/>
    <w:rsid w:val="00DD7B72"/>
    <w:rsid w:val="00DD7C0C"/>
    <w:rsid w:val="00DE0011"/>
    <w:rsid w:val="00DE00C7"/>
    <w:rsid w:val="00DE02AB"/>
    <w:rsid w:val="00DE05AD"/>
    <w:rsid w:val="00DE0A9D"/>
    <w:rsid w:val="00DE0BD3"/>
    <w:rsid w:val="00DE0D4E"/>
    <w:rsid w:val="00DE0F75"/>
    <w:rsid w:val="00DE10A1"/>
    <w:rsid w:val="00DE1607"/>
    <w:rsid w:val="00DE166F"/>
    <w:rsid w:val="00DE16AB"/>
    <w:rsid w:val="00DE1AA1"/>
    <w:rsid w:val="00DE1C21"/>
    <w:rsid w:val="00DE25DB"/>
    <w:rsid w:val="00DE2631"/>
    <w:rsid w:val="00DE26DA"/>
    <w:rsid w:val="00DE2773"/>
    <w:rsid w:val="00DE3592"/>
    <w:rsid w:val="00DE3982"/>
    <w:rsid w:val="00DE3CD1"/>
    <w:rsid w:val="00DE3CEA"/>
    <w:rsid w:val="00DE3E7F"/>
    <w:rsid w:val="00DE4136"/>
    <w:rsid w:val="00DE41DA"/>
    <w:rsid w:val="00DE42B9"/>
    <w:rsid w:val="00DE44C3"/>
    <w:rsid w:val="00DE48CC"/>
    <w:rsid w:val="00DE4B2F"/>
    <w:rsid w:val="00DE4DEC"/>
    <w:rsid w:val="00DE5191"/>
    <w:rsid w:val="00DE51C8"/>
    <w:rsid w:val="00DE53F1"/>
    <w:rsid w:val="00DE5438"/>
    <w:rsid w:val="00DE57E3"/>
    <w:rsid w:val="00DE5869"/>
    <w:rsid w:val="00DE592A"/>
    <w:rsid w:val="00DE5E0D"/>
    <w:rsid w:val="00DE5E5E"/>
    <w:rsid w:val="00DE5EF1"/>
    <w:rsid w:val="00DE6364"/>
    <w:rsid w:val="00DE63AF"/>
    <w:rsid w:val="00DE6562"/>
    <w:rsid w:val="00DE680A"/>
    <w:rsid w:val="00DE695D"/>
    <w:rsid w:val="00DE6A86"/>
    <w:rsid w:val="00DE6B70"/>
    <w:rsid w:val="00DE6F0F"/>
    <w:rsid w:val="00DE75A9"/>
    <w:rsid w:val="00DE76DD"/>
    <w:rsid w:val="00DE77C6"/>
    <w:rsid w:val="00DE7F9E"/>
    <w:rsid w:val="00DE7FAF"/>
    <w:rsid w:val="00DF080F"/>
    <w:rsid w:val="00DF0A32"/>
    <w:rsid w:val="00DF0AFE"/>
    <w:rsid w:val="00DF0B0C"/>
    <w:rsid w:val="00DF0C64"/>
    <w:rsid w:val="00DF0EA0"/>
    <w:rsid w:val="00DF0EBB"/>
    <w:rsid w:val="00DF10B4"/>
    <w:rsid w:val="00DF120E"/>
    <w:rsid w:val="00DF144C"/>
    <w:rsid w:val="00DF1C34"/>
    <w:rsid w:val="00DF1D9A"/>
    <w:rsid w:val="00DF1F25"/>
    <w:rsid w:val="00DF205C"/>
    <w:rsid w:val="00DF238B"/>
    <w:rsid w:val="00DF23BB"/>
    <w:rsid w:val="00DF2690"/>
    <w:rsid w:val="00DF26A0"/>
    <w:rsid w:val="00DF273B"/>
    <w:rsid w:val="00DF2865"/>
    <w:rsid w:val="00DF2C04"/>
    <w:rsid w:val="00DF334B"/>
    <w:rsid w:val="00DF34E5"/>
    <w:rsid w:val="00DF36A7"/>
    <w:rsid w:val="00DF3ACA"/>
    <w:rsid w:val="00DF3C06"/>
    <w:rsid w:val="00DF3CA7"/>
    <w:rsid w:val="00DF3E71"/>
    <w:rsid w:val="00DF3F60"/>
    <w:rsid w:val="00DF408C"/>
    <w:rsid w:val="00DF41A0"/>
    <w:rsid w:val="00DF4966"/>
    <w:rsid w:val="00DF4B0B"/>
    <w:rsid w:val="00DF4BBA"/>
    <w:rsid w:val="00DF4F9C"/>
    <w:rsid w:val="00DF5142"/>
    <w:rsid w:val="00DF5375"/>
    <w:rsid w:val="00DF57AB"/>
    <w:rsid w:val="00DF5AB5"/>
    <w:rsid w:val="00DF5D46"/>
    <w:rsid w:val="00DF5E40"/>
    <w:rsid w:val="00DF6043"/>
    <w:rsid w:val="00DF60FC"/>
    <w:rsid w:val="00DF6281"/>
    <w:rsid w:val="00DF6542"/>
    <w:rsid w:val="00DF65B3"/>
    <w:rsid w:val="00DF66DC"/>
    <w:rsid w:val="00DF687A"/>
    <w:rsid w:val="00DF69AD"/>
    <w:rsid w:val="00DF6ACB"/>
    <w:rsid w:val="00DF6D4F"/>
    <w:rsid w:val="00DF711E"/>
    <w:rsid w:val="00DF72F7"/>
    <w:rsid w:val="00DF730F"/>
    <w:rsid w:val="00DF7559"/>
    <w:rsid w:val="00DF7F99"/>
    <w:rsid w:val="00E00005"/>
    <w:rsid w:val="00E00206"/>
    <w:rsid w:val="00E0024B"/>
    <w:rsid w:val="00E0041A"/>
    <w:rsid w:val="00E00AAC"/>
    <w:rsid w:val="00E00B82"/>
    <w:rsid w:val="00E00BC5"/>
    <w:rsid w:val="00E00EC0"/>
    <w:rsid w:val="00E00EEB"/>
    <w:rsid w:val="00E01156"/>
    <w:rsid w:val="00E01279"/>
    <w:rsid w:val="00E012F8"/>
    <w:rsid w:val="00E0140B"/>
    <w:rsid w:val="00E01871"/>
    <w:rsid w:val="00E018CF"/>
    <w:rsid w:val="00E019ED"/>
    <w:rsid w:val="00E01B5E"/>
    <w:rsid w:val="00E01D7F"/>
    <w:rsid w:val="00E02513"/>
    <w:rsid w:val="00E02642"/>
    <w:rsid w:val="00E029AE"/>
    <w:rsid w:val="00E02C89"/>
    <w:rsid w:val="00E02D35"/>
    <w:rsid w:val="00E02D6C"/>
    <w:rsid w:val="00E02F73"/>
    <w:rsid w:val="00E030B2"/>
    <w:rsid w:val="00E03299"/>
    <w:rsid w:val="00E035DC"/>
    <w:rsid w:val="00E0363B"/>
    <w:rsid w:val="00E036C1"/>
    <w:rsid w:val="00E03D0F"/>
    <w:rsid w:val="00E03F12"/>
    <w:rsid w:val="00E0430D"/>
    <w:rsid w:val="00E04A09"/>
    <w:rsid w:val="00E04B85"/>
    <w:rsid w:val="00E04C62"/>
    <w:rsid w:val="00E04D9D"/>
    <w:rsid w:val="00E04DC9"/>
    <w:rsid w:val="00E05C9F"/>
    <w:rsid w:val="00E05DBC"/>
    <w:rsid w:val="00E05E86"/>
    <w:rsid w:val="00E05F28"/>
    <w:rsid w:val="00E05FB6"/>
    <w:rsid w:val="00E06408"/>
    <w:rsid w:val="00E06845"/>
    <w:rsid w:val="00E06BD6"/>
    <w:rsid w:val="00E06C01"/>
    <w:rsid w:val="00E07173"/>
    <w:rsid w:val="00E07284"/>
    <w:rsid w:val="00E0754E"/>
    <w:rsid w:val="00E077DE"/>
    <w:rsid w:val="00E07842"/>
    <w:rsid w:val="00E079A2"/>
    <w:rsid w:val="00E079D6"/>
    <w:rsid w:val="00E07F2E"/>
    <w:rsid w:val="00E10125"/>
    <w:rsid w:val="00E102A2"/>
    <w:rsid w:val="00E10D12"/>
    <w:rsid w:val="00E11134"/>
    <w:rsid w:val="00E11208"/>
    <w:rsid w:val="00E11861"/>
    <w:rsid w:val="00E1191F"/>
    <w:rsid w:val="00E12467"/>
    <w:rsid w:val="00E1256D"/>
    <w:rsid w:val="00E1263C"/>
    <w:rsid w:val="00E126C6"/>
    <w:rsid w:val="00E126C8"/>
    <w:rsid w:val="00E12820"/>
    <w:rsid w:val="00E12903"/>
    <w:rsid w:val="00E1293A"/>
    <w:rsid w:val="00E12E4B"/>
    <w:rsid w:val="00E12F07"/>
    <w:rsid w:val="00E13254"/>
    <w:rsid w:val="00E13279"/>
    <w:rsid w:val="00E137C1"/>
    <w:rsid w:val="00E14247"/>
    <w:rsid w:val="00E149E8"/>
    <w:rsid w:val="00E14A28"/>
    <w:rsid w:val="00E1503D"/>
    <w:rsid w:val="00E153B9"/>
    <w:rsid w:val="00E154C5"/>
    <w:rsid w:val="00E157BB"/>
    <w:rsid w:val="00E15924"/>
    <w:rsid w:val="00E15A01"/>
    <w:rsid w:val="00E15DD7"/>
    <w:rsid w:val="00E163FA"/>
    <w:rsid w:val="00E16415"/>
    <w:rsid w:val="00E16479"/>
    <w:rsid w:val="00E16802"/>
    <w:rsid w:val="00E16D6D"/>
    <w:rsid w:val="00E16ED4"/>
    <w:rsid w:val="00E16F33"/>
    <w:rsid w:val="00E17180"/>
    <w:rsid w:val="00E17249"/>
    <w:rsid w:val="00E1767F"/>
    <w:rsid w:val="00E1794A"/>
    <w:rsid w:val="00E17D88"/>
    <w:rsid w:val="00E2004B"/>
    <w:rsid w:val="00E20311"/>
    <w:rsid w:val="00E20688"/>
    <w:rsid w:val="00E2081E"/>
    <w:rsid w:val="00E20B72"/>
    <w:rsid w:val="00E20C08"/>
    <w:rsid w:val="00E20E90"/>
    <w:rsid w:val="00E20FA5"/>
    <w:rsid w:val="00E21197"/>
    <w:rsid w:val="00E2143E"/>
    <w:rsid w:val="00E2162F"/>
    <w:rsid w:val="00E21A90"/>
    <w:rsid w:val="00E21B77"/>
    <w:rsid w:val="00E21F15"/>
    <w:rsid w:val="00E22072"/>
    <w:rsid w:val="00E22196"/>
    <w:rsid w:val="00E222F0"/>
    <w:rsid w:val="00E224FE"/>
    <w:rsid w:val="00E2251D"/>
    <w:rsid w:val="00E22528"/>
    <w:rsid w:val="00E2285C"/>
    <w:rsid w:val="00E2298E"/>
    <w:rsid w:val="00E22AFD"/>
    <w:rsid w:val="00E22CB1"/>
    <w:rsid w:val="00E230C5"/>
    <w:rsid w:val="00E23523"/>
    <w:rsid w:val="00E23949"/>
    <w:rsid w:val="00E23B7C"/>
    <w:rsid w:val="00E23FD1"/>
    <w:rsid w:val="00E24A4B"/>
    <w:rsid w:val="00E24C57"/>
    <w:rsid w:val="00E24C8F"/>
    <w:rsid w:val="00E24CC4"/>
    <w:rsid w:val="00E24CEB"/>
    <w:rsid w:val="00E2604A"/>
    <w:rsid w:val="00E260B2"/>
    <w:rsid w:val="00E26273"/>
    <w:rsid w:val="00E26794"/>
    <w:rsid w:val="00E2688F"/>
    <w:rsid w:val="00E26B6D"/>
    <w:rsid w:val="00E26F5B"/>
    <w:rsid w:val="00E270C2"/>
    <w:rsid w:val="00E27549"/>
    <w:rsid w:val="00E278E8"/>
    <w:rsid w:val="00E27B16"/>
    <w:rsid w:val="00E27E63"/>
    <w:rsid w:val="00E27F75"/>
    <w:rsid w:val="00E3000E"/>
    <w:rsid w:val="00E301B1"/>
    <w:rsid w:val="00E3025F"/>
    <w:rsid w:val="00E30561"/>
    <w:rsid w:val="00E30700"/>
    <w:rsid w:val="00E30A6C"/>
    <w:rsid w:val="00E30DC8"/>
    <w:rsid w:val="00E31237"/>
    <w:rsid w:val="00E3139D"/>
    <w:rsid w:val="00E3152B"/>
    <w:rsid w:val="00E31534"/>
    <w:rsid w:val="00E31659"/>
    <w:rsid w:val="00E31BFC"/>
    <w:rsid w:val="00E31CE3"/>
    <w:rsid w:val="00E320C3"/>
    <w:rsid w:val="00E32443"/>
    <w:rsid w:val="00E324A3"/>
    <w:rsid w:val="00E324E2"/>
    <w:rsid w:val="00E32C44"/>
    <w:rsid w:val="00E32E36"/>
    <w:rsid w:val="00E32E93"/>
    <w:rsid w:val="00E338C5"/>
    <w:rsid w:val="00E34F2F"/>
    <w:rsid w:val="00E350D5"/>
    <w:rsid w:val="00E351BE"/>
    <w:rsid w:val="00E3564F"/>
    <w:rsid w:val="00E35654"/>
    <w:rsid w:val="00E357C1"/>
    <w:rsid w:val="00E3594A"/>
    <w:rsid w:val="00E3638D"/>
    <w:rsid w:val="00E36B89"/>
    <w:rsid w:val="00E36E2C"/>
    <w:rsid w:val="00E3729D"/>
    <w:rsid w:val="00E372A2"/>
    <w:rsid w:val="00E375C8"/>
    <w:rsid w:val="00E376D7"/>
    <w:rsid w:val="00E379CB"/>
    <w:rsid w:val="00E37AB6"/>
    <w:rsid w:val="00E37B42"/>
    <w:rsid w:val="00E4067F"/>
    <w:rsid w:val="00E406F6"/>
    <w:rsid w:val="00E408DC"/>
    <w:rsid w:val="00E40CF8"/>
    <w:rsid w:val="00E412C3"/>
    <w:rsid w:val="00E4175C"/>
    <w:rsid w:val="00E41880"/>
    <w:rsid w:val="00E41A58"/>
    <w:rsid w:val="00E41E7C"/>
    <w:rsid w:val="00E420C5"/>
    <w:rsid w:val="00E4246B"/>
    <w:rsid w:val="00E424C3"/>
    <w:rsid w:val="00E4268F"/>
    <w:rsid w:val="00E42720"/>
    <w:rsid w:val="00E4284D"/>
    <w:rsid w:val="00E42A65"/>
    <w:rsid w:val="00E42AFF"/>
    <w:rsid w:val="00E42B01"/>
    <w:rsid w:val="00E42BAD"/>
    <w:rsid w:val="00E42C7C"/>
    <w:rsid w:val="00E42F75"/>
    <w:rsid w:val="00E43292"/>
    <w:rsid w:val="00E43357"/>
    <w:rsid w:val="00E435F0"/>
    <w:rsid w:val="00E43720"/>
    <w:rsid w:val="00E438EE"/>
    <w:rsid w:val="00E44085"/>
    <w:rsid w:val="00E44349"/>
    <w:rsid w:val="00E4437C"/>
    <w:rsid w:val="00E44400"/>
    <w:rsid w:val="00E444CB"/>
    <w:rsid w:val="00E44965"/>
    <w:rsid w:val="00E44D25"/>
    <w:rsid w:val="00E44F0C"/>
    <w:rsid w:val="00E44FDE"/>
    <w:rsid w:val="00E45029"/>
    <w:rsid w:val="00E4517B"/>
    <w:rsid w:val="00E452F7"/>
    <w:rsid w:val="00E45449"/>
    <w:rsid w:val="00E45590"/>
    <w:rsid w:val="00E4562E"/>
    <w:rsid w:val="00E457EE"/>
    <w:rsid w:val="00E45A0C"/>
    <w:rsid w:val="00E45AE5"/>
    <w:rsid w:val="00E45C61"/>
    <w:rsid w:val="00E46419"/>
    <w:rsid w:val="00E46464"/>
    <w:rsid w:val="00E464DC"/>
    <w:rsid w:val="00E4660F"/>
    <w:rsid w:val="00E46856"/>
    <w:rsid w:val="00E46B44"/>
    <w:rsid w:val="00E46B5B"/>
    <w:rsid w:val="00E46F6D"/>
    <w:rsid w:val="00E475BD"/>
    <w:rsid w:val="00E479B5"/>
    <w:rsid w:val="00E47A26"/>
    <w:rsid w:val="00E47D2A"/>
    <w:rsid w:val="00E5018B"/>
    <w:rsid w:val="00E501D2"/>
    <w:rsid w:val="00E501FB"/>
    <w:rsid w:val="00E5058D"/>
    <w:rsid w:val="00E50B51"/>
    <w:rsid w:val="00E50DAD"/>
    <w:rsid w:val="00E50FCF"/>
    <w:rsid w:val="00E51248"/>
    <w:rsid w:val="00E51295"/>
    <w:rsid w:val="00E513AA"/>
    <w:rsid w:val="00E51571"/>
    <w:rsid w:val="00E5162B"/>
    <w:rsid w:val="00E5196F"/>
    <w:rsid w:val="00E519C6"/>
    <w:rsid w:val="00E51BBE"/>
    <w:rsid w:val="00E51D3F"/>
    <w:rsid w:val="00E52083"/>
    <w:rsid w:val="00E5212F"/>
    <w:rsid w:val="00E5221C"/>
    <w:rsid w:val="00E524A4"/>
    <w:rsid w:val="00E52849"/>
    <w:rsid w:val="00E52AC6"/>
    <w:rsid w:val="00E52CB4"/>
    <w:rsid w:val="00E52F11"/>
    <w:rsid w:val="00E52F13"/>
    <w:rsid w:val="00E52F43"/>
    <w:rsid w:val="00E535C5"/>
    <w:rsid w:val="00E53B09"/>
    <w:rsid w:val="00E53DDC"/>
    <w:rsid w:val="00E53E08"/>
    <w:rsid w:val="00E542EE"/>
    <w:rsid w:val="00E546B0"/>
    <w:rsid w:val="00E54767"/>
    <w:rsid w:val="00E549C2"/>
    <w:rsid w:val="00E54A7C"/>
    <w:rsid w:val="00E54F72"/>
    <w:rsid w:val="00E55836"/>
    <w:rsid w:val="00E5596D"/>
    <w:rsid w:val="00E55984"/>
    <w:rsid w:val="00E55CAE"/>
    <w:rsid w:val="00E56293"/>
    <w:rsid w:val="00E564A5"/>
    <w:rsid w:val="00E56A48"/>
    <w:rsid w:val="00E56A93"/>
    <w:rsid w:val="00E56E5E"/>
    <w:rsid w:val="00E56FA9"/>
    <w:rsid w:val="00E57122"/>
    <w:rsid w:val="00E57130"/>
    <w:rsid w:val="00E571E0"/>
    <w:rsid w:val="00E57318"/>
    <w:rsid w:val="00E577B7"/>
    <w:rsid w:val="00E57970"/>
    <w:rsid w:val="00E57F60"/>
    <w:rsid w:val="00E60531"/>
    <w:rsid w:val="00E609AD"/>
    <w:rsid w:val="00E60D0A"/>
    <w:rsid w:val="00E60E45"/>
    <w:rsid w:val="00E60EFC"/>
    <w:rsid w:val="00E60F17"/>
    <w:rsid w:val="00E60FCD"/>
    <w:rsid w:val="00E612A0"/>
    <w:rsid w:val="00E614BE"/>
    <w:rsid w:val="00E61554"/>
    <w:rsid w:val="00E617D7"/>
    <w:rsid w:val="00E61A17"/>
    <w:rsid w:val="00E61B1C"/>
    <w:rsid w:val="00E61F66"/>
    <w:rsid w:val="00E62104"/>
    <w:rsid w:val="00E625B2"/>
    <w:rsid w:val="00E6262A"/>
    <w:rsid w:val="00E628E7"/>
    <w:rsid w:val="00E62B55"/>
    <w:rsid w:val="00E62B9D"/>
    <w:rsid w:val="00E62D59"/>
    <w:rsid w:val="00E63165"/>
    <w:rsid w:val="00E636FC"/>
    <w:rsid w:val="00E6386F"/>
    <w:rsid w:val="00E63C4E"/>
    <w:rsid w:val="00E63DBB"/>
    <w:rsid w:val="00E63E19"/>
    <w:rsid w:val="00E64023"/>
    <w:rsid w:val="00E647FD"/>
    <w:rsid w:val="00E64946"/>
    <w:rsid w:val="00E649C2"/>
    <w:rsid w:val="00E65613"/>
    <w:rsid w:val="00E659FC"/>
    <w:rsid w:val="00E65B79"/>
    <w:rsid w:val="00E6666B"/>
    <w:rsid w:val="00E6670F"/>
    <w:rsid w:val="00E669C1"/>
    <w:rsid w:val="00E6700D"/>
    <w:rsid w:val="00E6711B"/>
    <w:rsid w:val="00E67387"/>
    <w:rsid w:val="00E674BA"/>
    <w:rsid w:val="00E6758F"/>
    <w:rsid w:val="00E6789C"/>
    <w:rsid w:val="00E67A49"/>
    <w:rsid w:val="00E67AB5"/>
    <w:rsid w:val="00E67AC6"/>
    <w:rsid w:val="00E7001A"/>
    <w:rsid w:val="00E701F0"/>
    <w:rsid w:val="00E70246"/>
    <w:rsid w:val="00E702FF"/>
    <w:rsid w:val="00E704FA"/>
    <w:rsid w:val="00E7060A"/>
    <w:rsid w:val="00E708B0"/>
    <w:rsid w:val="00E708E2"/>
    <w:rsid w:val="00E70A6A"/>
    <w:rsid w:val="00E70C16"/>
    <w:rsid w:val="00E70D48"/>
    <w:rsid w:val="00E711C7"/>
    <w:rsid w:val="00E71262"/>
    <w:rsid w:val="00E7129A"/>
    <w:rsid w:val="00E71385"/>
    <w:rsid w:val="00E71588"/>
    <w:rsid w:val="00E7168E"/>
    <w:rsid w:val="00E717D0"/>
    <w:rsid w:val="00E71A94"/>
    <w:rsid w:val="00E71B2D"/>
    <w:rsid w:val="00E71CEA"/>
    <w:rsid w:val="00E7249E"/>
    <w:rsid w:val="00E724BB"/>
    <w:rsid w:val="00E72BB6"/>
    <w:rsid w:val="00E730A1"/>
    <w:rsid w:val="00E733A5"/>
    <w:rsid w:val="00E73899"/>
    <w:rsid w:val="00E738D9"/>
    <w:rsid w:val="00E73A40"/>
    <w:rsid w:val="00E73AA0"/>
    <w:rsid w:val="00E7536B"/>
    <w:rsid w:val="00E75594"/>
    <w:rsid w:val="00E75E75"/>
    <w:rsid w:val="00E75F5F"/>
    <w:rsid w:val="00E7602D"/>
    <w:rsid w:val="00E76AF2"/>
    <w:rsid w:val="00E76DE9"/>
    <w:rsid w:val="00E76E1C"/>
    <w:rsid w:val="00E77016"/>
    <w:rsid w:val="00E770F0"/>
    <w:rsid w:val="00E77450"/>
    <w:rsid w:val="00E77593"/>
    <w:rsid w:val="00E77651"/>
    <w:rsid w:val="00E77B1B"/>
    <w:rsid w:val="00E77E2D"/>
    <w:rsid w:val="00E77F46"/>
    <w:rsid w:val="00E8006B"/>
    <w:rsid w:val="00E802DE"/>
    <w:rsid w:val="00E8031B"/>
    <w:rsid w:val="00E80766"/>
    <w:rsid w:val="00E8078D"/>
    <w:rsid w:val="00E807BD"/>
    <w:rsid w:val="00E81260"/>
    <w:rsid w:val="00E81262"/>
    <w:rsid w:val="00E81329"/>
    <w:rsid w:val="00E8145E"/>
    <w:rsid w:val="00E814BC"/>
    <w:rsid w:val="00E814BD"/>
    <w:rsid w:val="00E81581"/>
    <w:rsid w:val="00E82302"/>
    <w:rsid w:val="00E8261C"/>
    <w:rsid w:val="00E826A2"/>
    <w:rsid w:val="00E82CBB"/>
    <w:rsid w:val="00E832A0"/>
    <w:rsid w:val="00E832F6"/>
    <w:rsid w:val="00E83386"/>
    <w:rsid w:val="00E83960"/>
    <w:rsid w:val="00E839BB"/>
    <w:rsid w:val="00E83A11"/>
    <w:rsid w:val="00E83AAE"/>
    <w:rsid w:val="00E83ABA"/>
    <w:rsid w:val="00E83B12"/>
    <w:rsid w:val="00E83B2C"/>
    <w:rsid w:val="00E83CA6"/>
    <w:rsid w:val="00E842F6"/>
    <w:rsid w:val="00E84D62"/>
    <w:rsid w:val="00E84EBE"/>
    <w:rsid w:val="00E84F81"/>
    <w:rsid w:val="00E850A4"/>
    <w:rsid w:val="00E85231"/>
    <w:rsid w:val="00E854AE"/>
    <w:rsid w:val="00E85503"/>
    <w:rsid w:val="00E85521"/>
    <w:rsid w:val="00E85556"/>
    <w:rsid w:val="00E857B8"/>
    <w:rsid w:val="00E858D7"/>
    <w:rsid w:val="00E85CF4"/>
    <w:rsid w:val="00E86254"/>
    <w:rsid w:val="00E864E8"/>
    <w:rsid w:val="00E869BC"/>
    <w:rsid w:val="00E86BBF"/>
    <w:rsid w:val="00E86E6D"/>
    <w:rsid w:val="00E870F1"/>
    <w:rsid w:val="00E87299"/>
    <w:rsid w:val="00E87695"/>
    <w:rsid w:val="00E87714"/>
    <w:rsid w:val="00E87E3F"/>
    <w:rsid w:val="00E90038"/>
    <w:rsid w:val="00E90328"/>
    <w:rsid w:val="00E9052A"/>
    <w:rsid w:val="00E909A4"/>
    <w:rsid w:val="00E90A98"/>
    <w:rsid w:val="00E90F3B"/>
    <w:rsid w:val="00E90F64"/>
    <w:rsid w:val="00E91103"/>
    <w:rsid w:val="00E91158"/>
    <w:rsid w:val="00E9141E"/>
    <w:rsid w:val="00E91BFA"/>
    <w:rsid w:val="00E91D53"/>
    <w:rsid w:val="00E91DB0"/>
    <w:rsid w:val="00E91F10"/>
    <w:rsid w:val="00E927B5"/>
    <w:rsid w:val="00E92BAA"/>
    <w:rsid w:val="00E92C9A"/>
    <w:rsid w:val="00E92E86"/>
    <w:rsid w:val="00E93779"/>
    <w:rsid w:val="00E93ACC"/>
    <w:rsid w:val="00E93E59"/>
    <w:rsid w:val="00E93F0C"/>
    <w:rsid w:val="00E94182"/>
    <w:rsid w:val="00E94497"/>
    <w:rsid w:val="00E9464C"/>
    <w:rsid w:val="00E95333"/>
    <w:rsid w:val="00E954AB"/>
    <w:rsid w:val="00E956D3"/>
    <w:rsid w:val="00E957F6"/>
    <w:rsid w:val="00E95897"/>
    <w:rsid w:val="00E95A07"/>
    <w:rsid w:val="00E95B6F"/>
    <w:rsid w:val="00E95C42"/>
    <w:rsid w:val="00E95F02"/>
    <w:rsid w:val="00E965E2"/>
    <w:rsid w:val="00E96ABE"/>
    <w:rsid w:val="00E96BC0"/>
    <w:rsid w:val="00E96DAB"/>
    <w:rsid w:val="00E9721E"/>
    <w:rsid w:val="00E97271"/>
    <w:rsid w:val="00E97945"/>
    <w:rsid w:val="00E97C49"/>
    <w:rsid w:val="00E97C6B"/>
    <w:rsid w:val="00EA0162"/>
    <w:rsid w:val="00EA0358"/>
    <w:rsid w:val="00EA0724"/>
    <w:rsid w:val="00EA0ABD"/>
    <w:rsid w:val="00EA0F43"/>
    <w:rsid w:val="00EA14B4"/>
    <w:rsid w:val="00EA166A"/>
    <w:rsid w:val="00EA19C2"/>
    <w:rsid w:val="00EA1A69"/>
    <w:rsid w:val="00EA1AA7"/>
    <w:rsid w:val="00EA1AE2"/>
    <w:rsid w:val="00EA1B09"/>
    <w:rsid w:val="00EA1E11"/>
    <w:rsid w:val="00EA1F07"/>
    <w:rsid w:val="00EA1FFB"/>
    <w:rsid w:val="00EA207C"/>
    <w:rsid w:val="00EA21AE"/>
    <w:rsid w:val="00EA265D"/>
    <w:rsid w:val="00EA2D19"/>
    <w:rsid w:val="00EA3055"/>
    <w:rsid w:val="00EA361C"/>
    <w:rsid w:val="00EA3A7D"/>
    <w:rsid w:val="00EA3C67"/>
    <w:rsid w:val="00EA3E68"/>
    <w:rsid w:val="00EA429C"/>
    <w:rsid w:val="00EA4442"/>
    <w:rsid w:val="00EA476B"/>
    <w:rsid w:val="00EA480B"/>
    <w:rsid w:val="00EA4A24"/>
    <w:rsid w:val="00EA4C57"/>
    <w:rsid w:val="00EA4DB2"/>
    <w:rsid w:val="00EA4EED"/>
    <w:rsid w:val="00EA50BB"/>
    <w:rsid w:val="00EA530E"/>
    <w:rsid w:val="00EA582F"/>
    <w:rsid w:val="00EA5844"/>
    <w:rsid w:val="00EA5877"/>
    <w:rsid w:val="00EA5A14"/>
    <w:rsid w:val="00EA5A9E"/>
    <w:rsid w:val="00EA5E00"/>
    <w:rsid w:val="00EA60ED"/>
    <w:rsid w:val="00EA614A"/>
    <w:rsid w:val="00EA68DE"/>
    <w:rsid w:val="00EA6A40"/>
    <w:rsid w:val="00EA6A60"/>
    <w:rsid w:val="00EA6D0A"/>
    <w:rsid w:val="00EA70EF"/>
    <w:rsid w:val="00EA716D"/>
    <w:rsid w:val="00EA73CB"/>
    <w:rsid w:val="00EA759F"/>
    <w:rsid w:val="00EA79D7"/>
    <w:rsid w:val="00EA7C3B"/>
    <w:rsid w:val="00EA7CC9"/>
    <w:rsid w:val="00EA7CF4"/>
    <w:rsid w:val="00EA7D57"/>
    <w:rsid w:val="00EA7EA0"/>
    <w:rsid w:val="00EA7EBB"/>
    <w:rsid w:val="00EB094B"/>
    <w:rsid w:val="00EB0D2E"/>
    <w:rsid w:val="00EB0DAE"/>
    <w:rsid w:val="00EB0E3D"/>
    <w:rsid w:val="00EB0FBA"/>
    <w:rsid w:val="00EB0FF8"/>
    <w:rsid w:val="00EB1318"/>
    <w:rsid w:val="00EB15D9"/>
    <w:rsid w:val="00EB16B7"/>
    <w:rsid w:val="00EB191F"/>
    <w:rsid w:val="00EB200E"/>
    <w:rsid w:val="00EB21E6"/>
    <w:rsid w:val="00EB22B4"/>
    <w:rsid w:val="00EB23BB"/>
    <w:rsid w:val="00EB262D"/>
    <w:rsid w:val="00EB274A"/>
    <w:rsid w:val="00EB27CB"/>
    <w:rsid w:val="00EB2F0B"/>
    <w:rsid w:val="00EB2F94"/>
    <w:rsid w:val="00EB33C2"/>
    <w:rsid w:val="00EB36EA"/>
    <w:rsid w:val="00EB37CA"/>
    <w:rsid w:val="00EB3A71"/>
    <w:rsid w:val="00EB3B16"/>
    <w:rsid w:val="00EB3F4D"/>
    <w:rsid w:val="00EB3FDB"/>
    <w:rsid w:val="00EB4482"/>
    <w:rsid w:val="00EB4600"/>
    <w:rsid w:val="00EB46F6"/>
    <w:rsid w:val="00EB4702"/>
    <w:rsid w:val="00EB4B57"/>
    <w:rsid w:val="00EB4C5A"/>
    <w:rsid w:val="00EB4E3C"/>
    <w:rsid w:val="00EB50BD"/>
    <w:rsid w:val="00EB540A"/>
    <w:rsid w:val="00EB55B5"/>
    <w:rsid w:val="00EB5604"/>
    <w:rsid w:val="00EB56C1"/>
    <w:rsid w:val="00EB594F"/>
    <w:rsid w:val="00EB5B51"/>
    <w:rsid w:val="00EB6036"/>
    <w:rsid w:val="00EB61CC"/>
    <w:rsid w:val="00EB64E0"/>
    <w:rsid w:val="00EB685B"/>
    <w:rsid w:val="00EB72A9"/>
    <w:rsid w:val="00EB7636"/>
    <w:rsid w:val="00EB77EB"/>
    <w:rsid w:val="00EB785D"/>
    <w:rsid w:val="00EB79B5"/>
    <w:rsid w:val="00EB7FA8"/>
    <w:rsid w:val="00EC00FD"/>
    <w:rsid w:val="00EC02DA"/>
    <w:rsid w:val="00EC04E1"/>
    <w:rsid w:val="00EC06B5"/>
    <w:rsid w:val="00EC08CF"/>
    <w:rsid w:val="00EC0955"/>
    <w:rsid w:val="00EC0A25"/>
    <w:rsid w:val="00EC0A9B"/>
    <w:rsid w:val="00EC0C7A"/>
    <w:rsid w:val="00EC0C97"/>
    <w:rsid w:val="00EC125B"/>
    <w:rsid w:val="00EC169B"/>
    <w:rsid w:val="00EC185C"/>
    <w:rsid w:val="00EC1A3C"/>
    <w:rsid w:val="00EC1AE1"/>
    <w:rsid w:val="00EC1C6A"/>
    <w:rsid w:val="00EC1E04"/>
    <w:rsid w:val="00EC21DF"/>
    <w:rsid w:val="00EC2487"/>
    <w:rsid w:val="00EC2743"/>
    <w:rsid w:val="00EC39A0"/>
    <w:rsid w:val="00EC3BCF"/>
    <w:rsid w:val="00EC3D68"/>
    <w:rsid w:val="00EC3E2F"/>
    <w:rsid w:val="00EC3EF3"/>
    <w:rsid w:val="00EC43E7"/>
    <w:rsid w:val="00EC4DCC"/>
    <w:rsid w:val="00EC52EF"/>
    <w:rsid w:val="00EC550F"/>
    <w:rsid w:val="00EC5824"/>
    <w:rsid w:val="00EC5CFF"/>
    <w:rsid w:val="00EC6005"/>
    <w:rsid w:val="00EC6721"/>
    <w:rsid w:val="00EC67F6"/>
    <w:rsid w:val="00EC6856"/>
    <w:rsid w:val="00EC6C88"/>
    <w:rsid w:val="00EC7009"/>
    <w:rsid w:val="00EC70D2"/>
    <w:rsid w:val="00EC7230"/>
    <w:rsid w:val="00EC726B"/>
    <w:rsid w:val="00EC73CF"/>
    <w:rsid w:val="00EC7409"/>
    <w:rsid w:val="00EC754D"/>
    <w:rsid w:val="00EC77A2"/>
    <w:rsid w:val="00EC7942"/>
    <w:rsid w:val="00EC798E"/>
    <w:rsid w:val="00EC7A6B"/>
    <w:rsid w:val="00EC7E5F"/>
    <w:rsid w:val="00EC7EE2"/>
    <w:rsid w:val="00ED00E4"/>
    <w:rsid w:val="00ED0100"/>
    <w:rsid w:val="00ED0282"/>
    <w:rsid w:val="00ED0383"/>
    <w:rsid w:val="00ED03D4"/>
    <w:rsid w:val="00ED05A3"/>
    <w:rsid w:val="00ED0751"/>
    <w:rsid w:val="00ED08CC"/>
    <w:rsid w:val="00ED0A26"/>
    <w:rsid w:val="00ED10F8"/>
    <w:rsid w:val="00ED12E0"/>
    <w:rsid w:val="00ED184A"/>
    <w:rsid w:val="00ED18CC"/>
    <w:rsid w:val="00ED1AA9"/>
    <w:rsid w:val="00ED1CF1"/>
    <w:rsid w:val="00ED20C8"/>
    <w:rsid w:val="00ED21BA"/>
    <w:rsid w:val="00ED246F"/>
    <w:rsid w:val="00ED2624"/>
    <w:rsid w:val="00ED297B"/>
    <w:rsid w:val="00ED2D4D"/>
    <w:rsid w:val="00ED2DA8"/>
    <w:rsid w:val="00ED2F34"/>
    <w:rsid w:val="00ED3239"/>
    <w:rsid w:val="00ED326C"/>
    <w:rsid w:val="00ED3C0C"/>
    <w:rsid w:val="00ED3C92"/>
    <w:rsid w:val="00ED3E2B"/>
    <w:rsid w:val="00ED4018"/>
    <w:rsid w:val="00ED405C"/>
    <w:rsid w:val="00ED40AC"/>
    <w:rsid w:val="00ED43B2"/>
    <w:rsid w:val="00ED477B"/>
    <w:rsid w:val="00ED4896"/>
    <w:rsid w:val="00ED4B14"/>
    <w:rsid w:val="00ED5651"/>
    <w:rsid w:val="00ED5A0F"/>
    <w:rsid w:val="00ED5C66"/>
    <w:rsid w:val="00ED5C76"/>
    <w:rsid w:val="00ED5CAA"/>
    <w:rsid w:val="00ED5D62"/>
    <w:rsid w:val="00ED5E71"/>
    <w:rsid w:val="00ED6068"/>
    <w:rsid w:val="00ED6081"/>
    <w:rsid w:val="00ED61A4"/>
    <w:rsid w:val="00ED644F"/>
    <w:rsid w:val="00ED6582"/>
    <w:rsid w:val="00ED661B"/>
    <w:rsid w:val="00ED6854"/>
    <w:rsid w:val="00ED6D88"/>
    <w:rsid w:val="00ED6F28"/>
    <w:rsid w:val="00ED705A"/>
    <w:rsid w:val="00ED7452"/>
    <w:rsid w:val="00ED7626"/>
    <w:rsid w:val="00ED7729"/>
    <w:rsid w:val="00ED78C3"/>
    <w:rsid w:val="00ED7903"/>
    <w:rsid w:val="00ED7923"/>
    <w:rsid w:val="00ED7F98"/>
    <w:rsid w:val="00ED7FBA"/>
    <w:rsid w:val="00ED7FF4"/>
    <w:rsid w:val="00EE00C3"/>
    <w:rsid w:val="00EE0135"/>
    <w:rsid w:val="00EE0303"/>
    <w:rsid w:val="00EE0391"/>
    <w:rsid w:val="00EE04DA"/>
    <w:rsid w:val="00EE086E"/>
    <w:rsid w:val="00EE09D7"/>
    <w:rsid w:val="00EE1009"/>
    <w:rsid w:val="00EE1A7B"/>
    <w:rsid w:val="00EE1B95"/>
    <w:rsid w:val="00EE1D63"/>
    <w:rsid w:val="00EE2128"/>
    <w:rsid w:val="00EE221D"/>
    <w:rsid w:val="00EE2253"/>
    <w:rsid w:val="00EE236C"/>
    <w:rsid w:val="00EE26F4"/>
    <w:rsid w:val="00EE2769"/>
    <w:rsid w:val="00EE29A8"/>
    <w:rsid w:val="00EE2A38"/>
    <w:rsid w:val="00EE3094"/>
    <w:rsid w:val="00EE32C6"/>
    <w:rsid w:val="00EE337B"/>
    <w:rsid w:val="00EE3407"/>
    <w:rsid w:val="00EE3574"/>
    <w:rsid w:val="00EE371B"/>
    <w:rsid w:val="00EE3761"/>
    <w:rsid w:val="00EE3B32"/>
    <w:rsid w:val="00EE3B68"/>
    <w:rsid w:val="00EE3D34"/>
    <w:rsid w:val="00EE3F77"/>
    <w:rsid w:val="00EE4081"/>
    <w:rsid w:val="00EE43F6"/>
    <w:rsid w:val="00EE448D"/>
    <w:rsid w:val="00EE4809"/>
    <w:rsid w:val="00EE4868"/>
    <w:rsid w:val="00EE4925"/>
    <w:rsid w:val="00EE495C"/>
    <w:rsid w:val="00EE5138"/>
    <w:rsid w:val="00EE5441"/>
    <w:rsid w:val="00EE55E3"/>
    <w:rsid w:val="00EE571E"/>
    <w:rsid w:val="00EE58EA"/>
    <w:rsid w:val="00EE5C02"/>
    <w:rsid w:val="00EE5EAC"/>
    <w:rsid w:val="00EE5FC3"/>
    <w:rsid w:val="00EE6411"/>
    <w:rsid w:val="00EE65FC"/>
    <w:rsid w:val="00EE67A9"/>
    <w:rsid w:val="00EE6C43"/>
    <w:rsid w:val="00EE6C88"/>
    <w:rsid w:val="00EE6E54"/>
    <w:rsid w:val="00EE7468"/>
    <w:rsid w:val="00EE775C"/>
    <w:rsid w:val="00EE7799"/>
    <w:rsid w:val="00EE786C"/>
    <w:rsid w:val="00EE7CD6"/>
    <w:rsid w:val="00EE7FB6"/>
    <w:rsid w:val="00EF0194"/>
    <w:rsid w:val="00EF01C6"/>
    <w:rsid w:val="00EF03FD"/>
    <w:rsid w:val="00EF0705"/>
    <w:rsid w:val="00EF087E"/>
    <w:rsid w:val="00EF0895"/>
    <w:rsid w:val="00EF0A3F"/>
    <w:rsid w:val="00EF0A81"/>
    <w:rsid w:val="00EF0AD2"/>
    <w:rsid w:val="00EF0AFA"/>
    <w:rsid w:val="00EF132C"/>
    <w:rsid w:val="00EF13CC"/>
    <w:rsid w:val="00EF1820"/>
    <w:rsid w:val="00EF1BF5"/>
    <w:rsid w:val="00EF1C26"/>
    <w:rsid w:val="00EF1CA6"/>
    <w:rsid w:val="00EF1E1B"/>
    <w:rsid w:val="00EF1E9A"/>
    <w:rsid w:val="00EF2468"/>
    <w:rsid w:val="00EF26E0"/>
    <w:rsid w:val="00EF28C7"/>
    <w:rsid w:val="00EF2AF2"/>
    <w:rsid w:val="00EF2F40"/>
    <w:rsid w:val="00EF2FF6"/>
    <w:rsid w:val="00EF3012"/>
    <w:rsid w:val="00EF379F"/>
    <w:rsid w:val="00EF3827"/>
    <w:rsid w:val="00EF3A65"/>
    <w:rsid w:val="00EF3D87"/>
    <w:rsid w:val="00EF3F9F"/>
    <w:rsid w:val="00EF4141"/>
    <w:rsid w:val="00EF496E"/>
    <w:rsid w:val="00EF4B12"/>
    <w:rsid w:val="00EF4CC4"/>
    <w:rsid w:val="00EF4EAA"/>
    <w:rsid w:val="00EF5031"/>
    <w:rsid w:val="00EF515D"/>
    <w:rsid w:val="00EF55B0"/>
    <w:rsid w:val="00EF55FD"/>
    <w:rsid w:val="00EF5CDE"/>
    <w:rsid w:val="00EF676A"/>
    <w:rsid w:val="00EF67C6"/>
    <w:rsid w:val="00EF6927"/>
    <w:rsid w:val="00EF6A2C"/>
    <w:rsid w:val="00EF6BE5"/>
    <w:rsid w:val="00EF6C9A"/>
    <w:rsid w:val="00EF70B5"/>
    <w:rsid w:val="00EF7195"/>
    <w:rsid w:val="00EF7571"/>
    <w:rsid w:val="00EF7755"/>
    <w:rsid w:val="00EF79DC"/>
    <w:rsid w:val="00EF7BE9"/>
    <w:rsid w:val="00EF7CFC"/>
    <w:rsid w:val="00EF7DCB"/>
    <w:rsid w:val="00F00176"/>
    <w:rsid w:val="00F002B8"/>
    <w:rsid w:val="00F003BF"/>
    <w:rsid w:val="00F003D1"/>
    <w:rsid w:val="00F011E3"/>
    <w:rsid w:val="00F01827"/>
    <w:rsid w:val="00F01CAD"/>
    <w:rsid w:val="00F01DA5"/>
    <w:rsid w:val="00F01DFD"/>
    <w:rsid w:val="00F01E6F"/>
    <w:rsid w:val="00F01E95"/>
    <w:rsid w:val="00F01FFB"/>
    <w:rsid w:val="00F021B8"/>
    <w:rsid w:val="00F028A7"/>
    <w:rsid w:val="00F02905"/>
    <w:rsid w:val="00F029C9"/>
    <w:rsid w:val="00F02A4F"/>
    <w:rsid w:val="00F02A8D"/>
    <w:rsid w:val="00F037C4"/>
    <w:rsid w:val="00F0394D"/>
    <w:rsid w:val="00F03ADD"/>
    <w:rsid w:val="00F03DD1"/>
    <w:rsid w:val="00F03E36"/>
    <w:rsid w:val="00F03ED4"/>
    <w:rsid w:val="00F04050"/>
    <w:rsid w:val="00F0407E"/>
    <w:rsid w:val="00F04121"/>
    <w:rsid w:val="00F045A4"/>
    <w:rsid w:val="00F045A6"/>
    <w:rsid w:val="00F045A7"/>
    <w:rsid w:val="00F047B1"/>
    <w:rsid w:val="00F0499A"/>
    <w:rsid w:val="00F0523D"/>
    <w:rsid w:val="00F056A9"/>
    <w:rsid w:val="00F05AD3"/>
    <w:rsid w:val="00F05CE4"/>
    <w:rsid w:val="00F06054"/>
    <w:rsid w:val="00F06130"/>
    <w:rsid w:val="00F067F5"/>
    <w:rsid w:val="00F06843"/>
    <w:rsid w:val="00F06941"/>
    <w:rsid w:val="00F06C7E"/>
    <w:rsid w:val="00F06D76"/>
    <w:rsid w:val="00F070A7"/>
    <w:rsid w:val="00F0712F"/>
    <w:rsid w:val="00F0734F"/>
    <w:rsid w:val="00F07510"/>
    <w:rsid w:val="00F0755A"/>
    <w:rsid w:val="00F078BE"/>
    <w:rsid w:val="00F07A15"/>
    <w:rsid w:val="00F07BE2"/>
    <w:rsid w:val="00F1050E"/>
    <w:rsid w:val="00F10774"/>
    <w:rsid w:val="00F10978"/>
    <w:rsid w:val="00F10B29"/>
    <w:rsid w:val="00F10BA2"/>
    <w:rsid w:val="00F10CC2"/>
    <w:rsid w:val="00F10DB3"/>
    <w:rsid w:val="00F10E24"/>
    <w:rsid w:val="00F10EDC"/>
    <w:rsid w:val="00F10F20"/>
    <w:rsid w:val="00F11CC5"/>
    <w:rsid w:val="00F11E2E"/>
    <w:rsid w:val="00F11ED8"/>
    <w:rsid w:val="00F1240B"/>
    <w:rsid w:val="00F124B3"/>
    <w:rsid w:val="00F128FA"/>
    <w:rsid w:val="00F1296B"/>
    <w:rsid w:val="00F12985"/>
    <w:rsid w:val="00F12A47"/>
    <w:rsid w:val="00F12A80"/>
    <w:rsid w:val="00F12D1C"/>
    <w:rsid w:val="00F12D4B"/>
    <w:rsid w:val="00F13055"/>
    <w:rsid w:val="00F1312B"/>
    <w:rsid w:val="00F131AD"/>
    <w:rsid w:val="00F131AE"/>
    <w:rsid w:val="00F13A70"/>
    <w:rsid w:val="00F13BC2"/>
    <w:rsid w:val="00F13C12"/>
    <w:rsid w:val="00F13CBD"/>
    <w:rsid w:val="00F13FEE"/>
    <w:rsid w:val="00F1413D"/>
    <w:rsid w:val="00F14193"/>
    <w:rsid w:val="00F14844"/>
    <w:rsid w:val="00F1486D"/>
    <w:rsid w:val="00F148CB"/>
    <w:rsid w:val="00F1490D"/>
    <w:rsid w:val="00F149C4"/>
    <w:rsid w:val="00F14A8E"/>
    <w:rsid w:val="00F14CD3"/>
    <w:rsid w:val="00F15260"/>
    <w:rsid w:val="00F15472"/>
    <w:rsid w:val="00F15819"/>
    <w:rsid w:val="00F15BD3"/>
    <w:rsid w:val="00F15CAD"/>
    <w:rsid w:val="00F15D92"/>
    <w:rsid w:val="00F15DB5"/>
    <w:rsid w:val="00F169E0"/>
    <w:rsid w:val="00F16C0C"/>
    <w:rsid w:val="00F16E75"/>
    <w:rsid w:val="00F1714F"/>
    <w:rsid w:val="00F17407"/>
    <w:rsid w:val="00F17650"/>
    <w:rsid w:val="00F17684"/>
    <w:rsid w:val="00F176E6"/>
    <w:rsid w:val="00F17801"/>
    <w:rsid w:val="00F17C00"/>
    <w:rsid w:val="00F200B1"/>
    <w:rsid w:val="00F20265"/>
    <w:rsid w:val="00F20389"/>
    <w:rsid w:val="00F203BE"/>
    <w:rsid w:val="00F203DA"/>
    <w:rsid w:val="00F203EF"/>
    <w:rsid w:val="00F20B1E"/>
    <w:rsid w:val="00F20E23"/>
    <w:rsid w:val="00F211C9"/>
    <w:rsid w:val="00F212F6"/>
    <w:rsid w:val="00F2195A"/>
    <w:rsid w:val="00F21E72"/>
    <w:rsid w:val="00F2263B"/>
    <w:rsid w:val="00F22831"/>
    <w:rsid w:val="00F2297E"/>
    <w:rsid w:val="00F22E3C"/>
    <w:rsid w:val="00F233F5"/>
    <w:rsid w:val="00F23948"/>
    <w:rsid w:val="00F23A69"/>
    <w:rsid w:val="00F24013"/>
    <w:rsid w:val="00F24168"/>
    <w:rsid w:val="00F243FD"/>
    <w:rsid w:val="00F245EA"/>
    <w:rsid w:val="00F2474D"/>
    <w:rsid w:val="00F24AB2"/>
    <w:rsid w:val="00F24BF4"/>
    <w:rsid w:val="00F250A4"/>
    <w:rsid w:val="00F252AA"/>
    <w:rsid w:val="00F25772"/>
    <w:rsid w:val="00F259A4"/>
    <w:rsid w:val="00F25E06"/>
    <w:rsid w:val="00F25F04"/>
    <w:rsid w:val="00F26117"/>
    <w:rsid w:val="00F272CB"/>
    <w:rsid w:val="00F272EB"/>
    <w:rsid w:val="00F27BBD"/>
    <w:rsid w:val="00F300CA"/>
    <w:rsid w:val="00F301BA"/>
    <w:rsid w:val="00F3026D"/>
    <w:rsid w:val="00F30787"/>
    <w:rsid w:val="00F30942"/>
    <w:rsid w:val="00F30CE5"/>
    <w:rsid w:val="00F30CF6"/>
    <w:rsid w:val="00F30D5F"/>
    <w:rsid w:val="00F30E11"/>
    <w:rsid w:val="00F31145"/>
    <w:rsid w:val="00F31372"/>
    <w:rsid w:val="00F315A5"/>
    <w:rsid w:val="00F316B9"/>
    <w:rsid w:val="00F316E7"/>
    <w:rsid w:val="00F31808"/>
    <w:rsid w:val="00F31813"/>
    <w:rsid w:val="00F31D1C"/>
    <w:rsid w:val="00F31F5A"/>
    <w:rsid w:val="00F320C0"/>
    <w:rsid w:val="00F320C6"/>
    <w:rsid w:val="00F3237D"/>
    <w:rsid w:val="00F324F5"/>
    <w:rsid w:val="00F324FC"/>
    <w:rsid w:val="00F32F4F"/>
    <w:rsid w:val="00F32FF2"/>
    <w:rsid w:val="00F33190"/>
    <w:rsid w:val="00F332D4"/>
    <w:rsid w:val="00F33487"/>
    <w:rsid w:val="00F3354A"/>
    <w:rsid w:val="00F3364B"/>
    <w:rsid w:val="00F33898"/>
    <w:rsid w:val="00F33A01"/>
    <w:rsid w:val="00F33C1C"/>
    <w:rsid w:val="00F33C94"/>
    <w:rsid w:val="00F343D6"/>
    <w:rsid w:val="00F345FE"/>
    <w:rsid w:val="00F34708"/>
    <w:rsid w:val="00F34766"/>
    <w:rsid w:val="00F34969"/>
    <w:rsid w:val="00F349B6"/>
    <w:rsid w:val="00F34A09"/>
    <w:rsid w:val="00F34CF8"/>
    <w:rsid w:val="00F34D82"/>
    <w:rsid w:val="00F34E2F"/>
    <w:rsid w:val="00F34EF4"/>
    <w:rsid w:val="00F35110"/>
    <w:rsid w:val="00F351F9"/>
    <w:rsid w:val="00F357E8"/>
    <w:rsid w:val="00F35B25"/>
    <w:rsid w:val="00F35CA4"/>
    <w:rsid w:val="00F35F21"/>
    <w:rsid w:val="00F36261"/>
    <w:rsid w:val="00F364BF"/>
    <w:rsid w:val="00F36B5D"/>
    <w:rsid w:val="00F36C9C"/>
    <w:rsid w:val="00F36D52"/>
    <w:rsid w:val="00F36D9B"/>
    <w:rsid w:val="00F36DCC"/>
    <w:rsid w:val="00F36E55"/>
    <w:rsid w:val="00F37177"/>
    <w:rsid w:val="00F375DB"/>
    <w:rsid w:val="00F37738"/>
    <w:rsid w:val="00F379D5"/>
    <w:rsid w:val="00F37B1E"/>
    <w:rsid w:val="00F37DBB"/>
    <w:rsid w:val="00F40450"/>
    <w:rsid w:val="00F40705"/>
    <w:rsid w:val="00F408BF"/>
    <w:rsid w:val="00F409F8"/>
    <w:rsid w:val="00F40AD9"/>
    <w:rsid w:val="00F40B55"/>
    <w:rsid w:val="00F40ECE"/>
    <w:rsid w:val="00F40F17"/>
    <w:rsid w:val="00F41700"/>
    <w:rsid w:val="00F417D0"/>
    <w:rsid w:val="00F41951"/>
    <w:rsid w:val="00F41FE9"/>
    <w:rsid w:val="00F4229F"/>
    <w:rsid w:val="00F42705"/>
    <w:rsid w:val="00F42963"/>
    <w:rsid w:val="00F429DF"/>
    <w:rsid w:val="00F43067"/>
    <w:rsid w:val="00F43BED"/>
    <w:rsid w:val="00F43E7A"/>
    <w:rsid w:val="00F43FED"/>
    <w:rsid w:val="00F44094"/>
    <w:rsid w:val="00F442A1"/>
    <w:rsid w:val="00F4461E"/>
    <w:rsid w:val="00F44653"/>
    <w:rsid w:val="00F44708"/>
    <w:rsid w:val="00F44A3F"/>
    <w:rsid w:val="00F44C7B"/>
    <w:rsid w:val="00F44FCE"/>
    <w:rsid w:val="00F45139"/>
    <w:rsid w:val="00F454AF"/>
    <w:rsid w:val="00F45B9B"/>
    <w:rsid w:val="00F45BD2"/>
    <w:rsid w:val="00F45C86"/>
    <w:rsid w:val="00F45F74"/>
    <w:rsid w:val="00F46431"/>
    <w:rsid w:val="00F464F0"/>
    <w:rsid w:val="00F468A0"/>
    <w:rsid w:val="00F46B9F"/>
    <w:rsid w:val="00F46FF4"/>
    <w:rsid w:val="00F47078"/>
    <w:rsid w:val="00F470CF"/>
    <w:rsid w:val="00F47506"/>
    <w:rsid w:val="00F475EB"/>
    <w:rsid w:val="00F478B8"/>
    <w:rsid w:val="00F47D76"/>
    <w:rsid w:val="00F500BB"/>
    <w:rsid w:val="00F5011E"/>
    <w:rsid w:val="00F501AB"/>
    <w:rsid w:val="00F5035E"/>
    <w:rsid w:val="00F50462"/>
    <w:rsid w:val="00F5052E"/>
    <w:rsid w:val="00F505C1"/>
    <w:rsid w:val="00F50745"/>
    <w:rsid w:val="00F5081D"/>
    <w:rsid w:val="00F509B2"/>
    <w:rsid w:val="00F50A05"/>
    <w:rsid w:val="00F50AC7"/>
    <w:rsid w:val="00F50CAA"/>
    <w:rsid w:val="00F50FC2"/>
    <w:rsid w:val="00F51237"/>
    <w:rsid w:val="00F5153E"/>
    <w:rsid w:val="00F5192F"/>
    <w:rsid w:val="00F519C9"/>
    <w:rsid w:val="00F51A9C"/>
    <w:rsid w:val="00F51C25"/>
    <w:rsid w:val="00F51E79"/>
    <w:rsid w:val="00F5249B"/>
    <w:rsid w:val="00F524EC"/>
    <w:rsid w:val="00F52842"/>
    <w:rsid w:val="00F5290D"/>
    <w:rsid w:val="00F52C7C"/>
    <w:rsid w:val="00F52CFF"/>
    <w:rsid w:val="00F531ED"/>
    <w:rsid w:val="00F5337D"/>
    <w:rsid w:val="00F53B3B"/>
    <w:rsid w:val="00F54A4F"/>
    <w:rsid w:val="00F54C52"/>
    <w:rsid w:val="00F54E66"/>
    <w:rsid w:val="00F552DD"/>
    <w:rsid w:val="00F55373"/>
    <w:rsid w:val="00F553E3"/>
    <w:rsid w:val="00F55E0C"/>
    <w:rsid w:val="00F55E9C"/>
    <w:rsid w:val="00F55F2F"/>
    <w:rsid w:val="00F567AC"/>
    <w:rsid w:val="00F56CBF"/>
    <w:rsid w:val="00F56EAD"/>
    <w:rsid w:val="00F570C5"/>
    <w:rsid w:val="00F5711B"/>
    <w:rsid w:val="00F57144"/>
    <w:rsid w:val="00F5732C"/>
    <w:rsid w:val="00F578F2"/>
    <w:rsid w:val="00F57AB1"/>
    <w:rsid w:val="00F6026B"/>
    <w:rsid w:val="00F603FE"/>
    <w:rsid w:val="00F60E19"/>
    <w:rsid w:val="00F61067"/>
    <w:rsid w:val="00F61391"/>
    <w:rsid w:val="00F61A10"/>
    <w:rsid w:val="00F61A3E"/>
    <w:rsid w:val="00F61B01"/>
    <w:rsid w:val="00F61C5F"/>
    <w:rsid w:val="00F61E9E"/>
    <w:rsid w:val="00F61FAE"/>
    <w:rsid w:val="00F6224F"/>
    <w:rsid w:val="00F6240E"/>
    <w:rsid w:val="00F624AE"/>
    <w:rsid w:val="00F626E6"/>
    <w:rsid w:val="00F62A1D"/>
    <w:rsid w:val="00F632FE"/>
    <w:rsid w:val="00F6336C"/>
    <w:rsid w:val="00F636DF"/>
    <w:rsid w:val="00F6375C"/>
    <w:rsid w:val="00F63803"/>
    <w:rsid w:val="00F638DE"/>
    <w:rsid w:val="00F639C5"/>
    <w:rsid w:val="00F63B71"/>
    <w:rsid w:val="00F63BBB"/>
    <w:rsid w:val="00F63C1B"/>
    <w:rsid w:val="00F63CA8"/>
    <w:rsid w:val="00F64765"/>
    <w:rsid w:val="00F64B6C"/>
    <w:rsid w:val="00F64C04"/>
    <w:rsid w:val="00F64DBC"/>
    <w:rsid w:val="00F65180"/>
    <w:rsid w:val="00F651F9"/>
    <w:rsid w:val="00F652D7"/>
    <w:rsid w:val="00F658A1"/>
    <w:rsid w:val="00F659AF"/>
    <w:rsid w:val="00F659FC"/>
    <w:rsid w:val="00F65A31"/>
    <w:rsid w:val="00F65BB2"/>
    <w:rsid w:val="00F65CB5"/>
    <w:rsid w:val="00F65CFF"/>
    <w:rsid w:val="00F65D5C"/>
    <w:rsid w:val="00F65D98"/>
    <w:rsid w:val="00F66044"/>
    <w:rsid w:val="00F66690"/>
    <w:rsid w:val="00F6686D"/>
    <w:rsid w:val="00F668C4"/>
    <w:rsid w:val="00F66C27"/>
    <w:rsid w:val="00F66F1C"/>
    <w:rsid w:val="00F676B7"/>
    <w:rsid w:val="00F67A4D"/>
    <w:rsid w:val="00F70126"/>
    <w:rsid w:val="00F70167"/>
    <w:rsid w:val="00F703ED"/>
    <w:rsid w:val="00F703F9"/>
    <w:rsid w:val="00F708A2"/>
    <w:rsid w:val="00F70A3B"/>
    <w:rsid w:val="00F70F44"/>
    <w:rsid w:val="00F70FCF"/>
    <w:rsid w:val="00F711CB"/>
    <w:rsid w:val="00F71556"/>
    <w:rsid w:val="00F71945"/>
    <w:rsid w:val="00F71DEC"/>
    <w:rsid w:val="00F71FB3"/>
    <w:rsid w:val="00F7201E"/>
    <w:rsid w:val="00F72154"/>
    <w:rsid w:val="00F7231F"/>
    <w:rsid w:val="00F7263A"/>
    <w:rsid w:val="00F7334D"/>
    <w:rsid w:val="00F73583"/>
    <w:rsid w:val="00F73601"/>
    <w:rsid w:val="00F7389B"/>
    <w:rsid w:val="00F73BA9"/>
    <w:rsid w:val="00F73C16"/>
    <w:rsid w:val="00F73C8B"/>
    <w:rsid w:val="00F743D1"/>
    <w:rsid w:val="00F74928"/>
    <w:rsid w:val="00F749BD"/>
    <w:rsid w:val="00F74CB4"/>
    <w:rsid w:val="00F75321"/>
    <w:rsid w:val="00F75A5E"/>
    <w:rsid w:val="00F75D60"/>
    <w:rsid w:val="00F763A3"/>
    <w:rsid w:val="00F764DB"/>
    <w:rsid w:val="00F76814"/>
    <w:rsid w:val="00F76B3D"/>
    <w:rsid w:val="00F76B5F"/>
    <w:rsid w:val="00F76C36"/>
    <w:rsid w:val="00F76CF9"/>
    <w:rsid w:val="00F76DA9"/>
    <w:rsid w:val="00F76DC9"/>
    <w:rsid w:val="00F76DF7"/>
    <w:rsid w:val="00F774F2"/>
    <w:rsid w:val="00F774FD"/>
    <w:rsid w:val="00F775A9"/>
    <w:rsid w:val="00F7771F"/>
    <w:rsid w:val="00F77C33"/>
    <w:rsid w:val="00F77D4E"/>
    <w:rsid w:val="00F77F32"/>
    <w:rsid w:val="00F77F60"/>
    <w:rsid w:val="00F77F71"/>
    <w:rsid w:val="00F80315"/>
    <w:rsid w:val="00F805D4"/>
    <w:rsid w:val="00F8090E"/>
    <w:rsid w:val="00F81069"/>
    <w:rsid w:val="00F810C6"/>
    <w:rsid w:val="00F812CC"/>
    <w:rsid w:val="00F8133D"/>
    <w:rsid w:val="00F814AB"/>
    <w:rsid w:val="00F81560"/>
    <w:rsid w:val="00F815A3"/>
    <w:rsid w:val="00F81E26"/>
    <w:rsid w:val="00F81ED0"/>
    <w:rsid w:val="00F82008"/>
    <w:rsid w:val="00F821E2"/>
    <w:rsid w:val="00F82404"/>
    <w:rsid w:val="00F825AE"/>
    <w:rsid w:val="00F82612"/>
    <w:rsid w:val="00F8280E"/>
    <w:rsid w:val="00F82969"/>
    <w:rsid w:val="00F82B9E"/>
    <w:rsid w:val="00F82F23"/>
    <w:rsid w:val="00F83002"/>
    <w:rsid w:val="00F83007"/>
    <w:rsid w:val="00F8300B"/>
    <w:rsid w:val="00F83320"/>
    <w:rsid w:val="00F83490"/>
    <w:rsid w:val="00F838BE"/>
    <w:rsid w:val="00F83A9F"/>
    <w:rsid w:val="00F83D4E"/>
    <w:rsid w:val="00F83E44"/>
    <w:rsid w:val="00F8402A"/>
    <w:rsid w:val="00F84072"/>
    <w:rsid w:val="00F84161"/>
    <w:rsid w:val="00F84705"/>
    <w:rsid w:val="00F8470F"/>
    <w:rsid w:val="00F8482C"/>
    <w:rsid w:val="00F84B42"/>
    <w:rsid w:val="00F84E77"/>
    <w:rsid w:val="00F84EBB"/>
    <w:rsid w:val="00F850D5"/>
    <w:rsid w:val="00F85479"/>
    <w:rsid w:val="00F854B7"/>
    <w:rsid w:val="00F8556F"/>
    <w:rsid w:val="00F857DE"/>
    <w:rsid w:val="00F8599C"/>
    <w:rsid w:val="00F8602B"/>
    <w:rsid w:val="00F863E5"/>
    <w:rsid w:val="00F8646B"/>
    <w:rsid w:val="00F865A6"/>
    <w:rsid w:val="00F8666C"/>
    <w:rsid w:val="00F86BFF"/>
    <w:rsid w:val="00F86CDD"/>
    <w:rsid w:val="00F87294"/>
    <w:rsid w:val="00F872E0"/>
    <w:rsid w:val="00F87A8A"/>
    <w:rsid w:val="00F87F4E"/>
    <w:rsid w:val="00F90009"/>
    <w:rsid w:val="00F902B4"/>
    <w:rsid w:val="00F90433"/>
    <w:rsid w:val="00F9048D"/>
    <w:rsid w:val="00F90558"/>
    <w:rsid w:val="00F907FE"/>
    <w:rsid w:val="00F909DA"/>
    <w:rsid w:val="00F90AC0"/>
    <w:rsid w:val="00F90B12"/>
    <w:rsid w:val="00F90DEF"/>
    <w:rsid w:val="00F911D0"/>
    <w:rsid w:val="00F91274"/>
    <w:rsid w:val="00F91513"/>
    <w:rsid w:val="00F915C7"/>
    <w:rsid w:val="00F9178B"/>
    <w:rsid w:val="00F9186C"/>
    <w:rsid w:val="00F91ABD"/>
    <w:rsid w:val="00F92180"/>
    <w:rsid w:val="00F92244"/>
    <w:rsid w:val="00F92419"/>
    <w:rsid w:val="00F92464"/>
    <w:rsid w:val="00F92655"/>
    <w:rsid w:val="00F92682"/>
    <w:rsid w:val="00F92BFA"/>
    <w:rsid w:val="00F93198"/>
    <w:rsid w:val="00F933C0"/>
    <w:rsid w:val="00F93489"/>
    <w:rsid w:val="00F9353D"/>
    <w:rsid w:val="00F935AB"/>
    <w:rsid w:val="00F94380"/>
    <w:rsid w:val="00F943E4"/>
    <w:rsid w:val="00F94677"/>
    <w:rsid w:val="00F948AE"/>
    <w:rsid w:val="00F94D1E"/>
    <w:rsid w:val="00F94EB2"/>
    <w:rsid w:val="00F94F67"/>
    <w:rsid w:val="00F95252"/>
    <w:rsid w:val="00F952BE"/>
    <w:rsid w:val="00F9567A"/>
    <w:rsid w:val="00F957FE"/>
    <w:rsid w:val="00F95D19"/>
    <w:rsid w:val="00F95D33"/>
    <w:rsid w:val="00F96165"/>
    <w:rsid w:val="00F967FF"/>
    <w:rsid w:val="00F96B2F"/>
    <w:rsid w:val="00F96D75"/>
    <w:rsid w:val="00F96FAC"/>
    <w:rsid w:val="00F97309"/>
    <w:rsid w:val="00F974CC"/>
    <w:rsid w:val="00F97651"/>
    <w:rsid w:val="00F97D78"/>
    <w:rsid w:val="00F97FE4"/>
    <w:rsid w:val="00FA01F8"/>
    <w:rsid w:val="00FA08A8"/>
    <w:rsid w:val="00FA0AF5"/>
    <w:rsid w:val="00FA0EDB"/>
    <w:rsid w:val="00FA0F6B"/>
    <w:rsid w:val="00FA107D"/>
    <w:rsid w:val="00FA15D2"/>
    <w:rsid w:val="00FA1853"/>
    <w:rsid w:val="00FA1BFB"/>
    <w:rsid w:val="00FA203D"/>
    <w:rsid w:val="00FA222A"/>
    <w:rsid w:val="00FA25BE"/>
    <w:rsid w:val="00FA290D"/>
    <w:rsid w:val="00FA2C19"/>
    <w:rsid w:val="00FA2DA0"/>
    <w:rsid w:val="00FA2E8B"/>
    <w:rsid w:val="00FA341B"/>
    <w:rsid w:val="00FA353D"/>
    <w:rsid w:val="00FA37DC"/>
    <w:rsid w:val="00FA3821"/>
    <w:rsid w:val="00FA3A0F"/>
    <w:rsid w:val="00FA3FA9"/>
    <w:rsid w:val="00FA3FAD"/>
    <w:rsid w:val="00FA40AF"/>
    <w:rsid w:val="00FA445D"/>
    <w:rsid w:val="00FA473B"/>
    <w:rsid w:val="00FA4BE7"/>
    <w:rsid w:val="00FA4C63"/>
    <w:rsid w:val="00FA5724"/>
    <w:rsid w:val="00FA5938"/>
    <w:rsid w:val="00FA5AA1"/>
    <w:rsid w:val="00FA5E5F"/>
    <w:rsid w:val="00FA5EE9"/>
    <w:rsid w:val="00FA5FF8"/>
    <w:rsid w:val="00FA61BB"/>
    <w:rsid w:val="00FA64C4"/>
    <w:rsid w:val="00FA66DE"/>
    <w:rsid w:val="00FA66EF"/>
    <w:rsid w:val="00FA68B4"/>
    <w:rsid w:val="00FA691E"/>
    <w:rsid w:val="00FA6E79"/>
    <w:rsid w:val="00FA6ECC"/>
    <w:rsid w:val="00FA775E"/>
    <w:rsid w:val="00FA77D7"/>
    <w:rsid w:val="00FA7CD6"/>
    <w:rsid w:val="00FA7D4E"/>
    <w:rsid w:val="00FB0359"/>
    <w:rsid w:val="00FB04C4"/>
    <w:rsid w:val="00FB0A4F"/>
    <w:rsid w:val="00FB0CF7"/>
    <w:rsid w:val="00FB0F0C"/>
    <w:rsid w:val="00FB10BC"/>
    <w:rsid w:val="00FB112A"/>
    <w:rsid w:val="00FB1339"/>
    <w:rsid w:val="00FB158F"/>
    <w:rsid w:val="00FB1729"/>
    <w:rsid w:val="00FB1E34"/>
    <w:rsid w:val="00FB1E97"/>
    <w:rsid w:val="00FB1F1E"/>
    <w:rsid w:val="00FB247B"/>
    <w:rsid w:val="00FB2B22"/>
    <w:rsid w:val="00FB2CE9"/>
    <w:rsid w:val="00FB2EE0"/>
    <w:rsid w:val="00FB2FAC"/>
    <w:rsid w:val="00FB2FBE"/>
    <w:rsid w:val="00FB30DE"/>
    <w:rsid w:val="00FB39DF"/>
    <w:rsid w:val="00FB3AC6"/>
    <w:rsid w:val="00FB3D56"/>
    <w:rsid w:val="00FB3D93"/>
    <w:rsid w:val="00FB3E0F"/>
    <w:rsid w:val="00FB3FA4"/>
    <w:rsid w:val="00FB428A"/>
    <w:rsid w:val="00FB476A"/>
    <w:rsid w:val="00FB4C08"/>
    <w:rsid w:val="00FB4E1F"/>
    <w:rsid w:val="00FB5329"/>
    <w:rsid w:val="00FB539C"/>
    <w:rsid w:val="00FB60B7"/>
    <w:rsid w:val="00FB61C0"/>
    <w:rsid w:val="00FB62C3"/>
    <w:rsid w:val="00FB64B2"/>
    <w:rsid w:val="00FB67A6"/>
    <w:rsid w:val="00FB6895"/>
    <w:rsid w:val="00FB6B69"/>
    <w:rsid w:val="00FB6D1A"/>
    <w:rsid w:val="00FB724B"/>
    <w:rsid w:val="00FB732B"/>
    <w:rsid w:val="00FB7436"/>
    <w:rsid w:val="00FB7463"/>
    <w:rsid w:val="00FB7524"/>
    <w:rsid w:val="00FB765E"/>
    <w:rsid w:val="00FB7C47"/>
    <w:rsid w:val="00FC049B"/>
    <w:rsid w:val="00FC083E"/>
    <w:rsid w:val="00FC0BDB"/>
    <w:rsid w:val="00FC0F46"/>
    <w:rsid w:val="00FC0F84"/>
    <w:rsid w:val="00FC1016"/>
    <w:rsid w:val="00FC1195"/>
    <w:rsid w:val="00FC1305"/>
    <w:rsid w:val="00FC1502"/>
    <w:rsid w:val="00FC176F"/>
    <w:rsid w:val="00FC1E2D"/>
    <w:rsid w:val="00FC1E74"/>
    <w:rsid w:val="00FC1ED7"/>
    <w:rsid w:val="00FC2188"/>
    <w:rsid w:val="00FC21CD"/>
    <w:rsid w:val="00FC2339"/>
    <w:rsid w:val="00FC2356"/>
    <w:rsid w:val="00FC2483"/>
    <w:rsid w:val="00FC26D0"/>
    <w:rsid w:val="00FC2A9B"/>
    <w:rsid w:val="00FC2C7E"/>
    <w:rsid w:val="00FC2EA4"/>
    <w:rsid w:val="00FC3186"/>
    <w:rsid w:val="00FC31F9"/>
    <w:rsid w:val="00FC3387"/>
    <w:rsid w:val="00FC350A"/>
    <w:rsid w:val="00FC3811"/>
    <w:rsid w:val="00FC3812"/>
    <w:rsid w:val="00FC3978"/>
    <w:rsid w:val="00FC3CAF"/>
    <w:rsid w:val="00FC45C6"/>
    <w:rsid w:val="00FC4620"/>
    <w:rsid w:val="00FC4D81"/>
    <w:rsid w:val="00FC4E4F"/>
    <w:rsid w:val="00FC4E68"/>
    <w:rsid w:val="00FC5018"/>
    <w:rsid w:val="00FC522A"/>
    <w:rsid w:val="00FC5516"/>
    <w:rsid w:val="00FC5572"/>
    <w:rsid w:val="00FC5B6D"/>
    <w:rsid w:val="00FC5D98"/>
    <w:rsid w:val="00FC5DF4"/>
    <w:rsid w:val="00FC6072"/>
    <w:rsid w:val="00FC619F"/>
    <w:rsid w:val="00FC61FA"/>
    <w:rsid w:val="00FC62AC"/>
    <w:rsid w:val="00FC65FB"/>
    <w:rsid w:val="00FC68A3"/>
    <w:rsid w:val="00FC6CE3"/>
    <w:rsid w:val="00FC6CFF"/>
    <w:rsid w:val="00FC72AE"/>
    <w:rsid w:val="00FC72C0"/>
    <w:rsid w:val="00FC72C7"/>
    <w:rsid w:val="00FC7787"/>
    <w:rsid w:val="00FC7954"/>
    <w:rsid w:val="00FD0769"/>
    <w:rsid w:val="00FD097C"/>
    <w:rsid w:val="00FD0C64"/>
    <w:rsid w:val="00FD0DFB"/>
    <w:rsid w:val="00FD1454"/>
    <w:rsid w:val="00FD1595"/>
    <w:rsid w:val="00FD1730"/>
    <w:rsid w:val="00FD1787"/>
    <w:rsid w:val="00FD1BAD"/>
    <w:rsid w:val="00FD1FAC"/>
    <w:rsid w:val="00FD2017"/>
    <w:rsid w:val="00FD25FA"/>
    <w:rsid w:val="00FD28E5"/>
    <w:rsid w:val="00FD3162"/>
    <w:rsid w:val="00FD3837"/>
    <w:rsid w:val="00FD409B"/>
    <w:rsid w:val="00FD4199"/>
    <w:rsid w:val="00FD435C"/>
    <w:rsid w:val="00FD4517"/>
    <w:rsid w:val="00FD458B"/>
    <w:rsid w:val="00FD4803"/>
    <w:rsid w:val="00FD4818"/>
    <w:rsid w:val="00FD4FE3"/>
    <w:rsid w:val="00FD5231"/>
    <w:rsid w:val="00FD558E"/>
    <w:rsid w:val="00FD5716"/>
    <w:rsid w:val="00FD5B07"/>
    <w:rsid w:val="00FD5FBB"/>
    <w:rsid w:val="00FD66F2"/>
    <w:rsid w:val="00FD6716"/>
    <w:rsid w:val="00FD673B"/>
    <w:rsid w:val="00FD68E4"/>
    <w:rsid w:val="00FD6BE2"/>
    <w:rsid w:val="00FD6BF5"/>
    <w:rsid w:val="00FD6D78"/>
    <w:rsid w:val="00FD72B2"/>
    <w:rsid w:val="00FD7361"/>
    <w:rsid w:val="00FD7492"/>
    <w:rsid w:val="00FD7D19"/>
    <w:rsid w:val="00FD7E53"/>
    <w:rsid w:val="00FE008D"/>
    <w:rsid w:val="00FE00E1"/>
    <w:rsid w:val="00FE0653"/>
    <w:rsid w:val="00FE0658"/>
    <w:rsid w:val="00FE07AB"/>
    <w:rsid w:val="00FE08CD"/>
    <w:rsid w:val="00FE10F5"/>
    <w:rsid w:val="00FE11B8"/>
    <w:rsid w:val="00FE128B"/>
    <w:rsid w:val="00FE15CE"/>
    <w:rsid w:val="00FE167A"/>
    <w:rsid w:val="00FE1685"/>
    <w:rsid w:val="00FE1793"/>
    <w:rsid w:val="00FE18F5"/>
    <w:rsid w:val="00FE1A1D"/>
    <w:rsid w:val="00FE1C26"/>
    <w:rsid w:val="00FE2373"/>
    <w:rsid w:val="00FE25DF"/>
    <w:rsid w:val="00FE275B"/>
    <w:rsid w:val="00FE276F"/>
    <w:rsid w:val="00FE2860"/>
    <w:rsid w:val="00FE2CCE"/>
    <w:rsid w:val="00FE2D0E"/>
    <w:rsid w:val="00FE2D50"/>
    <w:rsid w:val="00FE2D81"/>
    <w:rsid w:val="00FE2F15"/>
    <w:rsid w:val="00FE30B4"/>
    <w:rsid w:val="00FE3496"/>
    <w:rsid w:val="00FE3938"/>
    <w:rsid w:val="00FE3A5D"/>
    <w:rsid w:val="00FE3BC8"/>
    <w:rsid w:val="00FE3D7E"/>
    <w:rsid w:val="00FE3DF4"/>
    <w:rsid w:val="00FE3E4B"/>
    <w:rsid w:val="00FE3EB9"/>
    <w:rsid w:val="00FE41EC"/>
    <w:rsid w:val="00FE46C5"/>
    <w:rsid w:val="00FE483B"/>
    <w:rsid w:val="00FE49A4"/>
    <w:rsid w:val="00FE4C66"/>
    <w:rsid w:val="00FE4CA2"/>
    <w:rsid w:val="00FE4D7F"/>
    <w:rsid w:val="00FE51F0"/>
    <w:rsid w:val="00FE5439"/>
    <w:rsid w:val="00FE5BD5"/>
    <w:rsid w:val="00FE5D11"/>
    <w:rsid w:val="00FE5E7F"/>
    <w:rsid w:val="00FE5FF8"/>
    <w:rsid w:val="00FE642C"/>
    <w:rsid w:val="00FE64AE"/>
    <w:rsid w:val="00FE656B"/>
    <w:rsid w:val="00FE686D"/>
    <w:rsid w:val="00FE68BF"/>
    <w:rsid w:val="00FE6AF6"/>
    <w:rsid w:val="00FE6D3E"/>
    <w:rsid w:val="00FE6E41"/>
    <w:rsid w:val="00FE70B1"/>
    <w:rsid w:val="00FE75FC"/>
    <w:rsid w:val="00FE76B5"/>
    <w:rsid w:val="00FE76CD"/>
    <w:rsid w:val="00FE79FD"/>
    <w:rsid w:val="00FE7B41"/>
    <w:rsid w:val="00FE7DA2"/>
    <w:rsid w:val="00FE7F59"/>
    <w:rsid w:val="00FE7FF1"/>
    <w:rsid w:val="00FF0090"/>
    <w:rsid w:val="00FF0499"/>
    <w:rsid w:val="00FF054D"/>
    <w:rsid w:val="00FF0948"/>
    <w:rsid w:val="00FF0C91"/>
    <w:rsid w:val="00FF1057"/>
    <w:rsid w:val="00FF1312"/>
    <w:rsid w:val="00FF155E"/>
    <w:rsid w:val="00FF15B3"/>
    <w:rsid w:val="00FF15ED"/>
    <w:rsid w:val="00FF1EA3"/>
    <w:rsid w:val="00FF1F88"/>
    <w:rsid w:val="00FF207B"/>
    <w:rsid w:val="00FF2398"/>
    <w:rsid w:val="00FF245B"/>
    <w:rsid w:val="00FF25AA"/>
    <w:rsid w:val="00FF25E1"/>
    <w:rsid w:val="00FF2B56"/>
    <w:rsid w:val="00FF2F16"/>
    <w:rsid w:val="00FF30AF"/>
    <w:rsid w:val="00FF3185"/>
    <w:rsid w:val="00FF3936"/>
    <w:rsid w:val="00FF47DB"/>
    <w:rsid w:val="00FF4A00"/>
    <w:rsid w:val="00FF4B1C"/>
    <w:rsid w:val="00FF4F09"/>
    <w:rsid w:val="00FF574F"/>
    <w:rsid w:val="00FF57E8"/>
    <w:rsid w:val="00FF581D"/>
    <w:rsid w:val="00FF5A03"/>
    <w:rsid w:val="00FF5FF3"/>
    <w:rsid w:val="00FF6316"/>
    <w:rsid w:val="00FF6C2A"/>
    <w:rsid w:val="00FF6E33"/>
    <w:rsid w:val="00FF6F99"/>
    <w:rsid w:val="00FF6FFB"/>
    <w:rsid w:val="00FF7251"/>
    <w:rsid w:val="00FF75B6"/>
    <w:rsid w:val="00FF75F4"/>
    <w:rsid w:val="00FF762C"/>
    <w:rsid w:val="00FF77D5"/>
    <w:rsid w:val="00FF7BA6"/>
    <w:rsid w:val="00FF7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D1DFF"/>
  <w15:chartTrackingRefBased/>
  <w15:docId w15:val="{40094198-18E3-4690-AF6D-2550FAEF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8"/>
        <w:szCs w:val="24"/>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42B"/>
    <w:pPr>
      <w:spacing w:after="0" w:line="240" w:lineRule="auto"/>
    </w:pPr>
    <w:rPr>
      <w:rFonts w:eastAsia="宋体"/>
      <w:lang w:val="en-GB" w:eastAsia="en-US"/>
    </w:rPr>
  </w:style>
  <w:style w:type="paragraph" w:styleId="Heading1">
    <w:name w:val="heading 1"/>
    <w:basedOn w:val="Normal"/>
    <w:next w:val="Normal"/>
    <w:link w:val="Heading1Char"/>
    <w:uiPriority w:val="9"/>
    <w:qFormat/>
    <w:rsid w:val="00BA2DC0"/>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semiHidden/>
    <w:unhideWhenUsed/>
    <w:qFormat/>
    <w:rsid w:val="0097202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67D4E"/>
    <w:pPr>
      <w:keepNext/>
      <w:spacing w:before="240" w:after="60"/>
      <w:outlineLvl w:val="2"/>
    </w:pPr>
    <w:rPr>
      <w:rFonts w:ascii="Cambria" w:hAnsi="Cambria"/>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tty">
    <w:name w:val="Kitty"/>
    <w:link w:val="KittyChar"/>
    <w:qFormat/>
    <w:rsid w:val="00BA2DC0"/>
    <w:pPr>
      <w:kinsoku w:val="0"/>
      <w:autoSpaceDE w:val="0"/>
      <w:autoSpaceDN w:val="0"/>
      <w:snapToGrid w:val="0"/>
      <w:spacing w:after="240" w:line="360" w:lineRule="auto"/>
    </w:pPr>
    <w:rPr>
      <w:lang w:val="en-GB"/>
    </w:rPr>
  </w:style>
  <w:style w:type="character" w:customStyle="1" w:styleId="KittyChar">
    <w:name w:val="Kitty Char"/>
    <w:basedOn w:val="DefaultParagraphFont"/>
    <w:link w:val="Kitty"/>
    <w:rsid w:val="00BA2DC0"/>
    <w:rPr>
      <w:rFonts w:ascii="Times New Roman" w:eastAsia="宋体" w:hAnsi="Times New Roman" w:cs="Times New Roman"/>
      <w:sz w:val="28"/>
      <w:szCs w:val="24"/>
      <w:lang w:val="en-GB" w:eastAsia="zh-CN"/>
    </w:rPr>
  </w:style>
  <w:style w:type="paragraph" w:customStyle="1" w:styleId="Bob1">
    <w:name w:val="Bob 1"/>
    <w:link w:val="Bob1Char"/>
    <w:qFormat/>
    <w:rsid w:val="00226373"/>
    <w:pPr>
      <w:numPr>
        <w:numId w:val="11"/>
      </w:numPr>
      <w:kinsoku w:val="0"/>
      <w:autoSpaceDE w:val="0"/>
      <w:autoSpaceDN w:val="0"/>
      <w:snapToGrid w:val="0"/>
      <w:spacing w:after="240" w:line="360" w:lineRule="auto"/>
    </w:pPr>
    <w:rPr>
      <w:lang w:val="en-GB"/>
    </w:rPr>
  </w:style>
  <w:style w:type="character" w:customStyle="1" w:styleId="Bob1Char">
    <w:name w:val="Bob 1 Char"/>
    <w:basedOn w:val="DefaultParagraphFont"/>
    <w:link w:val="Bob1"/>
    <w:rsid w:val="00226373"/>
    <w:rPr>
      <w:lang w:val="en-GB"/>
    </w:rPr>
  </w:style>
  <w:style w:type="paragraph" w:customStyle="1" w:styleId="judge">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ind w:left="720" w:right="69" w:hanging="720"/>
      <w:textAlignment w:val="baseline"/>
    </w:pPr>
    <w:rPr>
      <w:rFonts w:ascii="Times New Roman" w:eastAsia="PMingLiU" w:hAnsi="Times New Roman" w:cs="Times New Roman"/>
      <w:snapToGrid w:val="0"/>
      <w:color w:val="auto"/>
    </w:rPr>
  </w:style>
  <w:style w:type="character" w:customStyle="1" w:styleId="Heading1Char">
    <w:name w:val="Heading 1 Char"/>
    <w:basedOn w:val="DefaultParagraphFont"/>
    <w:link w:val="Heading1"/>
    <w:uiPriority w:val="9"/>
    <w:rsid w:val="00BA2DC0"/>
    <w:rPr>
      <w:rFonts w:asciiTheme="majorHAnsi" w:eastAsiaTheme="majorEastAsia" w:hAnsiTheme="majorHAnsi" w:cstheme="majorBidi"/>
      <w:b/>
      <w:bCs/>
      <w:color w:val="365F91" w:themeColor="accent1" w:themeShade="BF"/>
      <w:sz w:val="28"/>
      <w:szCs w:val="28"/>
    </w:rPr>
  </w:style>
  <w:style w:type="paragraph" w:customStyle="1" w:styleId="Judge0">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ind w:left="720" w:right="69" w:hanging="720"/>
      <w:textAlignment w:val="baseline"/>
    </w:pPr>
    <w:rPr>
      <w:rFonts w:ascii="Times New Roman" w:eastAsia="PMingLiU" w:hAnsi="Times New Roman" w:cs="Times New Roman"/>
      <w:snapToGrid w:val="0"/>
      <w:color w:val="auto"/>
    </w:rPr>
  </w:style>
  <w:style w:type="paragraph" w:customStyle="1" w:styleId="Draft">
    <w:name w:val="Draft"/>
    <w:basedOn w:val="Normal"/>
    <w:rsid w:val="00BA2DC0"/>
    <w:pPr>
      <w:numPr>
        <w:numId w:val="7"/>
      </w:numPr>
      <w:tabs>
        <w:tab w:val="left" w:pos="1440"/>
      </w:tabs>
      <w:snapToGrid w:val="0"/>
      <w:spacing w:before="360" w:line="360" w:lineRule="auto"/>
    </w:pPr>
    <w:rPr>
      <w:rFonts w:eastAsia="MingLiU"/>
    </w:rPr>
  </w:style>
  <w:style w:type="paragraph" w:customStyle="1" w:styleId="docmapheading">
    <w:name w:val="doc map heading"/>
    <w:basedOn w:val="DocumentMap"/>
    <w:link w:val="docmapheadingChar"/>
    <w:autoRedefine/>
    <w:qFormat/>
    <w:rsid w:val="00525C4D"/>
    <w:pPr>
      <w:spacing w:before="120" w:after="360" w:line="276" w:lineRule="auto"/>
      <w:outlineLvl w:val="1"/>
    </w:pPr>
    <w:rPr>
      <w:rFonts w:ascii="Times New Roman" w:eastAsia="PMingLiU" w:hAnsi="Times New Roman"/>
      <w:b/>
      <w:i/>
      <w:spacing w:val="15"/>
      <w:sz w:val="28"/>
      <w:szCs w:val="28"/>
    </w:rPr>
  </w:style>
  <w:style w:type="paragraph" w:styleId="Subtitle">
    <w:name w:val="Subtitle"/>
    <w:basedOn w:val="Normal"/>
    <w:next w:val="Normal"/>
    <w:link w:val="SubtitleChar"/>
    <w:uiPriority w:val="11"/>
    <w:qFormat/>
    <w:rsid w:val="00AB0343"/>
    <w:pPr>
      <w:numPr>
        <w:ilvl w:val="1"/>
      </w:numPr>
    </w:pPr>
    <w:rPr>
      <w:rFonts w:asciiTheme="majorHAnsi" w:eastAsiaTheme="majorEastAsia" w:hAnsiTheme="majorHAnsi" w:cstheme="majorBidi"/>
      <w:color w:val="4F81BD" w:themeColor="accent1"/>
      <w:spacing w:val="15"/>
    </w:rPr>
  </w:style>
  <w:style w:type="character" w:customStyle="1" w:styleId="SubtitleChar">
    <w:name w:val="Subtitle Char"/>
    <w:basedOn w:val="DefaultParagraphFont"/>
    <w:link w:val="Subtitle"/>
    <w:uiPriority w:val="11"/>
    <w:rsid w:val="00AB0343"/>
    <w:rPr>
      <w:rFonts w:asciiTheme="majorHAnsi" w:eastAsiaTheme="majorEastAsia" w:hAnsiTheme="majorHAnsi" w:cstheme="majorBidi"/>
      <w:i/>
      <w:iCs/>
      <w:color w:val="4F81BD" w:themeColor="accent1"/>
      <w:spacing w:val="15"/>
      <w:sz w:val="24"/>
      <w:szCs w:val="24"/>
      <w:lang w:val="en-GB"/>
    </w:rPr>
  </w:style>
  <w:style w:type="character" w:customStyle="1" w:styleId="docmapheadingChar">
    <w:name w:val="doc map heading Char"/>
    <w:basedOn w:val="SubtitleChar"/>
    <w:link w:val="docmapheading"/>
    <w:rsid w:val="00525C4D"/>
    <w:rPr>
      <w:rFonts w:asciiTheme="majorHAnsi" w:eastAsia="PMingLiU" w:hAnsiTheme="majorHAnsi" w:cstheme="majorBidi"/>
      <w:b/>
      <w:i/>
      <w:iCs w:val="0"/>
      <w:color w:val="4F81BD" w:themeColor="accent1"/>
      <w:spacing w:val="15"/>
      <w:sz w:val="24"/>
      <w:szCs w:val="28"/>
      <w:lang w:val="en-GB" w:eastAsia="en-US"/>
    </w:rPr>
  </w:style>
  <w:style w:type="paragraph" w:styleId="DocumentMap">
    <w:name w:val="Document Map"/>
    <w:basedOn w:val="Normal"/>
    <w:link w:val="DocumentMapChar"/>
    <w:uiPriority w:val="99"/>
    <w:semiHidden/>
    <w:unhideWhenUsed/>
    <w:rsid w:val="00501FE1"/>
    <w:rPr>
      <w:rFonts w:ascii="Tahoma" w:hAnsi="Tahoma"/>
      <w:sz w:val="16"/>
      <w:szCs w:val="16"/>
    </w:rPr>
  </w:style>
  <w:style w:type="character" w:customStyle="1" w:styleId="DocumentMapChar">
    <w:name w:val="Document Map Char"/>
    <w:basedOn w:val="DefaultParagraphFont"/>
    <w:link w:val="DocumentMap"/>
    <w:uiPriority w:val="99"/>
    <w:semiHidden/>
    <w:rsid w:val="00501FE1"/>
    <w:rPr>
      <w:rFonts w:ascii="Tahoma" w:hAnsi="Tahoma" w:cs="Tahoma"/>
      <w:sz w:val="16"/>
      <w:szCs w:val="16"/>
      <w:lang w:val="en-GB"/>
    </w:rPr>
  </w:style>
  <w:style w:type="paragraph" w:styleId="Header">
    <w:name w:val="header"/>
    <w:basedOn w:val="Normal"/>
    <w:link w:val="HeaderChar"/>
    <w:uiPriority w:val="99"/>
    <w:unhideWhenUsed/>
    <w:rsid w:val="00CC0407"/>
    <w:pPr>
      <w:tabs>
        <w:tab w:val="center" w:pos="4680"/>
        <w:tab w:val="right" w:pos="9360"/>
      </w:tabs>
    </w:pPr>
  </w:style>
  <w:style w:type="character" w:customStyle="1" w:styleId="HeaderChar">
    <w:name w:val="Header Char"/>
    <w:basedOn w:val="DefaultParagraphFont"/>
    <w:link w:val="Header"/>
    <w:uiPriority w:val="99"/>
    <w:rsid w:val="00CC0407"/>
    <w:rPr>
      <w:lang w:val="en-GB"/>
    </w:rPr>
  </w:style>
  <w:style w:type="paragraph" w:styleId="Footer">
    <w:name w:val="footer"/>
    <w:basedOn w:val="Normal"/>
    <w:link w:val="FooterChar"/>
    <w:uiPriority w:val="99"/>
    <w:unhideWhenUsed/>
    <w:rsid w:val="00CC0407"/>
    <w:pPr>
      <w:tabs>
        <w:tab w:val="center" w:pos="4680"/>
        <w:tab w:val="right" w:pos="9360"/>
      </w:tabs>
    </w:pPr>
  </w:style>
  <w:style w:type="character" w:customStyle="1" w:styleId="FooterChar">
    <w:name w:val="Footer Char"/>
    <w:basedOn w:val="DefaultParagraphFont"/>
    <w:link w:val="Footer"/>
    <w:uiPriority w:val="99"/>
    <w:rsid w:val="00CC0407"/>
    <w:rPr>
      <w:lang w:val="en-GB"/>
    </w:rPr>
  </w:style>
  <w:style w:type="paragraph" w:styleId="FootnoteText">
    <w:name w:val="footnote text"/>
    <w:basedOn w:val="Normal"/>
    <w:link w:val="FootnoteTextChar"/>
    <w:uiPriority w:val="99"/>
    <w:semiHidden/>
    <w:unhideWhenUsed/>
    <w:rsid w:val="00197DEE"/>
    <w:pPr>
      <w:widowControl w:val="0"/>
      <w:autoSpaceDE w:val="0"/>
      <w:autoSpaceDN w:val="0"/>
      <w:adjustRightInd w:val="0"/>
      <w:spacing w:after="120"/>
    </w:pPr>
    <w:rPr>
      <w:rFonts w:cstheme="minorBidi"/>
      <w:sz w:val="24"/>
      <w:szCs w:val="20"/>
    </w:rPr>
  </w:style>
  <w:style w:type="character" w:customStyle="1" w:styleId="FootnoteTextChar">
    <w:name w:val="Footnote Text Char"/>
    <w:basedOn w:val="DefaultParagraphFont"/>
    <w:link w:val="FootnoteText"/>
    <w:uiPriority w:val="99"/>
    <w:semiHidden/>
    <w:rsid w:val="00197DEE"/>
    <w:rPr>
      <w:rFonts w:cstheme="minorBidi"/>
      <w:sz w:val="24"/>
      <w:szCs w:val="20"/>
      <w:lang w:val="en-GB"/>
    </w:rPr>
  </w:style>
  <w:style w:type="character" w:styleId="FootnoteReference">
    <w:name w:val="footnote reference"/>
    <w:basedOn w:val="DefaultParagraphFont"/>
    <w:uiPriority w:val="99"/>
    <w:semiHidden/>
    <w:unhideWhenUsed/>
    <w:rsid w:val="00CE0B97"/>
    <w:rPr>
      <w:vertAlign w:val="superscript"/>
    </w:rPr>
  </w:style>
  <w:style w:type="character" w:customStyle="1" w:styleId="Heading2Char">
    <w:name w:val="Heading 2 Char"/>
    <w:basedOn w:val="DefaultParagraphFont"/>
    <w:link w:val="Heading2"/>
    <w:rsid w:val="00972025"/>
    <w:rPr>
      <w:rFonts w:asciiTheme="majorHAnsi" w:eastAsiaTheme="majorEastAsia" w:hAnsiTheme="majorHAnsi" w:cstheme="majorBidi"/>
      <w:color w:val="365F91" w:themeColor="accent1" w:themeShade="BF"/>
      <w:sz w:val="26"/>
      <w:szCs w:val="26"/>
      <w:lang w:eastAsia="en-US"/>
    </w:rPr>
  </w:style>
  <w:style w:type="paragraph" w:styleId="NormalWeb">
    <w:name w:val="Normal (Web)"/>
    <w:basedOn w:val="Normal"/>
    <w:semiHidden/>
    <w:rsid w:val="00972025"/>
    <w:pPr>
      <w:spacing w:before="84" w:after="84"/>
    </w:pPr>
    <w:rPr>
      <w:rFonts w:ascii="Arial" w:eastAsia="Arial Unicode MS" w:hAnsi="Arial" w:cs="Arial"/>
      <w:color w:val="000000"/>
      <w:sz w:val="10"/>
      <w:szCs w:val="10"/>
    </w:rPr>
  </w:style>
  <w:style w:type="paragraph" w:styleId="NormalIndent">
    <w:name w:val="Normal Indent"/>
    <w:basedOn w:val="BodyText"/>
    <w:next w:val="BodyText"/>
    <w:autoRedefine/>
    <w:semiHidden/>
    <w:rsid w:val="00055A03"/>
    <w:pPr>
      <w:tabs>
        <w:tab w:val="right" w:pos="9000"/>
      </w:tabs>
      <w:overflowPunct w:val="0"/>
      <w:autoSpaceDE w:val="0"/>
      <w:autoSpaceDN w:val="0"/>
      <w:adjustRightInd w:val="0"/>
      <w:snapToGrid w:val="0"/>
      <w:spacing w:after="360"/>
      <w:ind w:left="720"/>
      <w:jc w:val="both"/>
      <w:textAlignment w:val="baseline"/>
    </w:pPr>
    <w:rPr>
      <w:rFonts w:eastAsia="MingLiU"/>
      <w:szCs w:val="28"/>
      <w:lang w:eastAsia="zh-TW"/>
    </w:rPr>
  </w:style>
  <w:style w:type="paragraph" w:styleId="BodyText">
    <w:name w:val="Body Text"/>
    <w:basedOn w:val="Normal"/>
    <w:link w:val="BodyTextChar"/>
    <w:uiPriority w:val="99"/>
    <w:semiHidden/>
    <w:unhideWhenUsed/>
    <w:rsid w:val="004B314F"/>
    <w:pPr>
      <w:spacing w:after="120"/>
    </w:pPr>
  </w:style>
  <w:style w:type="character" w:customStyle="1" w:styleId="BodyTextChar">
    <w:name w:val="Body Text Char"/>
    <w:basedOn w:val="DefaultParagraphFont"/>
    <w:link w:val="BodyText"/>
    <w:uiPriority w:val="99"/>
    <w:semiHidden/>
    <w:rsid w:val="004B314F"/>
    <w:rPr>
      <w:rFonts w:eastAsia="宋体"/>
      <w:lang w:val="en-GB" w:eastAsia="en-US"/>
    </w:rPr>
  </w:style>
  <w:style w:type="paragraph" w:styleId="BalloonText">
    <w:name w:val="Balloon Text"/>
    <w:basedOn w:val="Normal"/>
    <w:link w:val="BalloonTextChar"/>
    <w:uiPriority w:val="99"/>
    <w:semiHidden/>
    <w:unhideWhenUsed/>
    <w:rsid w:val="00525C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C4D"/>
    <w:rPr>
      <w:rFonts w:ascii="Segoe UI" w:eastAsia="宋体" w:hAnsi="Segoe UI" w:cs="Segoe UI"/>
      <w:sz w:val="18"/>
      <w:szCs w:val="18"/>
      <w:lang w:val="en-GB" w:eastAsia="en-US"/>
    </w:rPr>
  </w:style>
  <w:style w:type="paragraph" w:customStyle="1" w:styleId="Bob10">
    <w:name w:val="Bob1"/>
    <w:autoRedefine/>
    <w:qFormat/>
    <w:rsid w:val="00525C4D"/>
    <w:pPr>
      <w:kinsoku w:val="0"/>
      <w:autoSpaceDE w:val="0"/>
      <w:autoSpaceDN w:val="0"/>
      <w:snapToGrid w:val="0"/>
      <w:spacing w:after="360" w:line="360" w:lineRule="auto"/>
      <w:jc w:val="center"/>
    </w:pPr>
    <w:rPr>
      <w:rFonts w:eastAsia="MingLiU"/>
      <w:color w:val="000000"/>
      <w:lang w:val="en-GB"/>
    </w:rPr>
  </w:style>
  <w:style w:type="paragraph" w:customStyle="1" w:styleId="Normal4">
    <w:name w:val="Normal 4"/>
    <w:basedOn w:val="Normal"/>
    <w:rsid w:val="00525C4D"/>
    <w:pPr>
      <w:overflowPunct w:val="0"/>
      <w:autoSpaceDE w:val="0"/>
      <w:autoSpaceDN w:val="0"/>
      <w:adjustRightInd w:val="0"/>
      <w:snapToGrid w:val="0"/>
      <w:jc w:val="center"/>
      <w:textAlignment w:val="baseline"/>
    </w:pPr>
    <w:rPr>
      <w:rFonts w:eastAsia="MingLiU"/>
      <w:b/>
      <w:szCs w:val="20"/>
      <w:lang w:eastAsia="zh-TW"/>
    </w:rPr>
  </w:style>
  <w:style w:type="paragraph" w:styleId="BodyTextIndent">
    <w:name w:val="Body Text Indent"/>
    <w:basedOn w:val="Normal"/>
    <w:link w:val="BodyTextIndentChar"/>
    <w:uiPriority w:val="99"/>
    <w:unhideWhenUsed/>
    <w:rsid w:val="00525C4D"/>
    <w:pPr>
      <w:spacing w:after="120"/>
      <w:ind w:left="360"/>
    </w:pPr>
  </w:style>
  <w:style w:type="character" w:customStyle="1" w:styleId="BodyTextIndentChar">
    <w:name w:val="Body Text Indent Char"/>
    <w:basedOn w:val="DefaultParagraphFont"/>
    <w:link w:val="BodyTextIndent"/>
    <w:uiPriority w:val="99"/>
    <w:rsid w:val="00525C4D"/>
    <w:rPr>
      <w:rFonts w:eastAsia="宋体"/>
      <w:lang w:val="en-GB" w:eastAsia="en-US"/>
    </w:rPr>
  </w:style>
  <w:style w:type="character" w:customStyle="1" w:styleId="Heading3Char">
    <w:name w:val="Heading 3 Char"/>
    <w:basedOn w:val="DefaultParagraphFont"/>
    <w:link w:val="Heading3"/>
    <w:uiPriority w:val="9"/>
    <w:semiHidden/>
    <w:rsid w:val="00667D4E"/>
    <w:rPr>
      <w:rFonts w:ascii="Cambria" w:eastAsia="宋体" w:hAnsi="Cambria"/>
      <w:b/>
      <w:bCs/>
      <w:sz w:val="26"/>
      <w:szCs w:val="26"/>
      <w:lang w:eastAsia="en-US"/>
    </w:rPr>
  </w:style>
  <w:style w:type="paragraph" w:customStyle="1" w:styleId="coram">
    <w:name w:val="coram"/>
    <w:basedOn w:val="Signature"/>
    <w:rsid w:val="00667D4E"/>
    <w:pPr>
      <w:tabs>
        <w:tab w:val="left" w:pos="2880"/>
      </w:tabs>
      <w:overflowPunct w:val="0"/>
      <w:autoSpaceDE w:val="0"/>
      <w:autoSpaceDN w:val="0"/>
      <w:adjustRightInd w:val="0"/>
      <w:snapToGrid w:val="0"/>
      <w:spacing w:after="240"/>
      <w:ind w:left="2880" w:hanging="2880"/>
      <w:textAlignment w:val="baseline"/>
    </w:pPr>
    <w:rPr>
      <w:rFonts w:eastAsia="MingLiU"/>
      <w:szCs w:val="20"/>
      <w:lang w:eastAsia="zh-TW"/>
    </w:rPr>
  </w:style>
  <w:style w:type="paragraph" w:customStyle="1" w:styleId="Normal3">
    <w:name w:val="Normal 3"/>
    <w:basedOn w:val="Signature"/>
    <w:rsid w:val="00667D4E"/>
    <w:pPr>
      <w:tabs>
        <w:tab w:val="left" w:pos="3168"/>
        <w:tab w:val="right" w:pos="8280"/>
      </w:tabs>
      <w:overflowPunct w:val="0"/>
      <w:autoSpaceDE w:val="0"/>
      <w:autoSpaceDN w:val="0"/>
      <w:adjustRightInd w:val="0"/>
      <w:snapToGrid w:val="0"/>
      <w:ind w:left="0"/>
      <w:jc w:val="right"/>
      <w:textAlignment w:val="baseline"/>
    </w:pPr>
    <w:rPr>
      <w:rFonts w:eastAsia="MingLiU"/>
      <w:szCs w:val="20"/>
      <w:lang w:eastAsia="zh-CN"/>
    </w:rPr>
  </w:style>
  <w:style w:type="paragraph" w:customStyle="1" w:styleId="Normal2">
    <w:name w:val="Normal 2"/>
    <w:basedOn w:val="Signature"/>
    <w:rsid w:val="00667D4E"/>
    <w:pPr>
      <w:tabs>
        <w:tab w:val="center" w:pos="4320"/>
        <w:tab w:val="right" w:pos="9000"/>
      </w:tabs>
      <w:overflowPunct w:val="0"/>
      <w:autoSpaceDE w:val="0"/>
      <w:autoSpaceDN w:val="0"/>
      <w:adjustRightInd w:val="0"/>
      <w:snapToGrid w:val="0"/>
      <w:ind w:left="0"/>
      <w:jc w:val="both"/>
      <w:textAlignment w:val="baseline"/>
    </w:pPr>
    <w:rPr>
      <w:rFonts w:eastAsia="MingLiU"/>
      <w:b/>
      <w:szCs w:val="20"/>
      <w:lang w:eastAsia="zh-CN"/>
    </w:rPr>
  </w:style>
  <w:style w:type="paragraph" w:customStyle="1" w:styleId="Normal1">
    <w:name w:val="Normal 1"/>
    <w:basedOn w:val="Signature"/>
    <w:rsid w:val="00667D4E"/>
    <w:pPr>
      <w:tabs>
        <w:tab w:val="left" w:pos="3168"/>
        <w:tab w:val="center" w:pos="4018"/>
        <w:tab w:val="right" w:pos="8280"/>
      </w:tabs>
      <w:overflowPunct w:val="0"/>
      <w:autoSpaceDE w:val="0"/>
      <w:autoSpaceDN w:val="0"/>
      <w:adjustRightInd w:val="0"/>
      <w:snapToGrid w:val="0"/>
      <w:ind w:left="0"/>
      <w:textAlignment w:val="baseline"/>
    </w:pPr>
    <w:rPr>
      <w:rFonts w:eastAsia="MingLiU"/>
      <w:szCs w:val="20"/>
      <w:lang w:eastAsia="zh-CN"/>
    </w:rPr>
  </w:style>
  <w:style w:type="paragraph" w:customStyle="1" w:styleId="NormalMF">
    <w:name w:val="NormalMF"/>
    <w:basedOn w:val="Normal2"/>
    <w:rsid w:val="00667D4E"/>
    <w:pPr>
      <w:tabs>
        <w:tab w:val="left" w:pos="1440"/>
        <w:tab w:val="right" w:pos="8280"/>
      </w:tabs>
      <w:jc w:val="center"/>
    </w:pPr>
    <w:rPr>
      <w:caps/>
      <w:sz w:val="32"/>
    </w:rPr>
  </w:style>
  <w:style w:type="paragraph" w:customStyle="1" w:styleId="MF">
    <w:name w:val="MF"/>
    <w:basedOn w:val="NormalMF"/>
    <w:rsid w:val="00667D4E"/>
    <w:rPr>
      <w:b w:val="0"/>
      <w:sz w:val="28"/>
    </w:rPr>
  </w:style>
  <w:style w:type="paragraph" w:styleId="BlockText">
    <w:name w:val="Block Text"/>
    <w:basedOn w:val="Normal"/>
    <w:semiHidden/>
    <w:rsid w:val="00667D4E"/>
    <w:pPr>
      <w:overflowPunct w:val="0"/>
      <w:autoSpaceDE w:val="0"/>
      <w:autoSpaceDN w:val="0"/>
      <w:adjustRightInd w:val="0"/>
      <w:snapToGrid w:val="0"/>
      <w:spacing w:after="240"/>
      <w:ind w:left="980" w:right="452" w:hanging="560"/>
      <w:jc w:val="both"/>
    </w:pPr>
    <w:rPr>
      <w:rFonts w:eastAsia="MS Mincho"/>
      <w:b/>
      <w:szCs w:val="28"/>
      <w:lang w:eastAsia="zh-CN"/>
    </w:rPr>
  </w:style>
  <w:style w:type="paragraph" w:styleId="Signature">
    <w:name w:val="Signature"/>
    <w:basedOn w:val="Normal"/>
    <w:link w:val="SignatureChar"/>
    <w:uiPriority w:val="99"/>
    <w:semiHidden/>
    <w:unhideWhenUsed/>
    <w:rsid w:val="00667D4E"/>
    <w:pPr>
      <w:ind w:left="4320"/>
    </w:pPr>
  </w:style>
  <w:style w:type="character" w:customStyle="1" w:styleId="SignatureChar">
    <w:name w:val="Signature Char"/>
    <w:basedOn w:val="DefaultParagraphFont"/>
    <w:link w:val="Signature"/>
    <w:uiPriority w:val="99"/>
    <w:semiHidden/>
    <w:rsid w:val="00667D4E"/>
    <w:rPr>
      <w:rFonts w:eastAsia="宋体"/>
      <w:lang w:val="en-GB" w:eastAsia="en-US"/>
    </w:rPr>
  </w:style>
  <w:style w:type="paragraph" w:customStyle="1" w:styleId="Final">
    <w:name w:val="Final"/>
    <w:basedOn w:val="Normal"/>
    <w:qFormat/>
    <w:rsid w:val="00667D4E"/>
    <w:pPr>
      <w:numPr>
        <w:numId w:val="16"/>
      </w:numPr>
      <w:tabs>
        <w:tab w:val="left" w:pos="720"/>
      </w:tabs>
      <w:snapToGrid w:val="0"/>
      <w:spacing w:after="440" w:line="360" w:lineRule="auto"/>
    </w:pPr>
  </w:style>
  <w:style w:type="paragraph" w:styleId="ListParagraph">
    <w:name w:val="List Paragraph"/>
    <w:basedOn w:val="Normal"/>
    <w:uiPriority w:val="34"/>
    <w:qFormat/>
    <w:rsid w:val="00816445"/>
    <w:pPr>
      <w:ind w:left="720"/>
      <w:contextualSpacing/>
      <w:jc w:val="both"/>
    </w:pPr>
    <w:rPr>
      <w:sz w:val="26"/>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419724">
      <w:bodyDiv w:val="1"/>
      <w:marLeft w:val="0"/>
      <w:marRight w:val="0"/>
      <w:marTop w:val="0"/>
      <w:marBottom w:val="0"/>
      <w:divBdr>
        <w:top w:val="none" w:sz="0" w:space="0" w:color="auto"/>
        <w:left w:val="none" w:sz="0" w:space="0" w:color="auto"/>
        <w:bottom w:val="none" w:sz="0" w:space="0" w:color="auto"/>
        <w:right w:val="none" w:sz="0" w:space="0" w:color="auto"/>
      </w:divBdr>
    </w:div>
    <w:div w:id="947272516">
      <w:bodyDiv w:val="1"/>
      <w:marLeft w:val="0"/>
      <w:marRight w:val="0"/>
      <w:marTop w:val="0"/>
      <w:marBottom w:val="0"/>
      <w:divBdr>
        <w:top w:val="none" w:sz="0" w:space="0" w:color="auto"/>
        <w:left w:val="none" w:sz="0" w:space="0" w:color="auto"/>
        <w:bottom w:val="none" w:sz="0" w:space="0" w:color="auto"/>
        <w:right w:val="none" w:sz="0" w:space="0" w:color="auto"/>
      </w:divBdr>
    </w:div>
    <w:div w:id="190343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C21F2-5878-4BE6-A294-DB62A89CF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54</Pages>
  <Words>14407</Words>
  <Characters>82125</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Ribeiro</dc:creator>
  <cp:keywords/>
  <dc:description/>
  <cp:lastModifiedBy>Phemie WF Chan</cp:lastModifiedBy>
  <cp:revision>2</cp:revision>
  <cp:lastPrinted>2017-03-13T02:05:00Z</cp:lastPrinted>
  <dcterms:created xsi:type="dcterms:W3CDTF">2017-03-13T02:20:00Z</dcterms:created>
  <dcterms:modified xsi:type="dcterms:W3CDTF">2017-03-13T02:20:00Z</dcterms:modified>
</cp:coreProperties>
</file>