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D2F" w:rsidRPr="005B2D2F" w:rsidRDefault="005B2D2F" w:rsidP="005B2D2F">
      <w:pPr>
        <w:pStyle w:val="Heading1"/>
        <w:spacing w:before="0" w:line="240" w:lineRule="auto"/>
        <w:ind w:right="-138"/>
        <w:jc w:val="right"/>
        <w:rPr>
          <w:rFonts w:ascii="Times New Roman" w:hAnsi="Times New Roman" w:cs="Times New Roman"/>
          <w:b w:val="0"/>
          <w:color w:val="000000" w:themeColor="text1"/>
          <w:lang w:eastAsia="zh-CN"/>
        </w:rPr>
      </w:pPr>
      <w:bookmarkStart w:id="0" w:name="_GoBack"/>
      <w:bookmarkEnd w:id="0"/>
      <w:r w:rsidRPr="005B2D2F">
        <w:rPr>
          <w:rFonts w:ascii="Times New Roman" w:hAnsi="Times New Roman" w:cs="Times New Roman"/>
          <w:b w:val="0"/>
          <w:color w:val="000000" w:themeColor="text1"/>
        </w:rPr>
        <w:t>FA</w:t>
      </w:r>
      <w:r w:rsidRPr="005B2D2F">
        <w:rPr>
          <w:rFonts w:ascii="Times New Roman" w:hAnsi="Times New Roman" w:cs="Times New Roman"/>
          <w:b w:val="0"/>
          <w:color w:val="000000" w:themeColor="text1"/>
          <w:lang w:eastAsia="zh-CN"/>
        </w:rPr>
        <w:t>CC</w:t>
      </w:r>
      <w:r w:rsidRPr="005B2D2F">
        <w:rPr>
          <w:rFonts w:ascii="Times New Roman" w:hAnsi="Times New Roman" w:cs="Times New Roman"/>
          <w:b w:val="0"/>
          <w:color w:val="000000" w:themeColor="text1"/>
        </w:rPr>
        <w:t xml:space="preserve"> No</w:t>
      </w:r>
      <w:r w:rsidRPr="005B2D2F">
        <w:rPr>
          <w:rFonts w:ascii="Times New Roman" w:hAnsi="Times New Roman" w:cs="Times New Roman"/>
          <w:b w:val="0"/>
          <w:color w:val="000000" w:themeColor="text1"/>
          <w:lang w:eastAsia="zh-CN"/>
        </w:rPr>
        <w:t>.</w:t>
      </w:r>
      <w:r w:rsidRPr="005B2D2F">
        <w:rPr>
          <w:rFonts w:ascii="Times New Roman" w:hAnsi="Times New Roman" w:cs="Times New Roman"/>
          <w:b w:val="0"/>
          <w:color w:val="000000" w:themeColor="text1"/>
        </w:rPr>
        <w:t xml:space="preserve"> </w:t>
      </w:r>
      <w:r w:rsidRPr="005B2D2F">
        <w:rPr>
          <w:rFonts w:ascii="Times New Roman" w:hAnsi="Times New Roman" w:cs="Times New Roman"/>
          <w:b w:val="0"/>
          <w:color w:val="000000" w:themeColor="text1"/>
          <w:lang w:eastAsia="zh-CN"/>
        </w:rPr>
        <w:t xml:space="preserve">11 </w:t>
      </w:r>
      <w:r w:rsidRPr="005B2D2F">
        <w:rPr>
          <w:rFonts w:ascii="Times New Roman" w:hAnsi="Times New Roman" w:cs="Times New Roman"/>
          <w:b w:val="0"/>
          <w:color w:val="000000" w:themeColor="text1"/>
        </w:rPr>
        <w:t>of 20</w:t>
      </w:r>
      <w:r w:rsidRPr="005B2D2F">
        <w:rPr>
          <w:rFonts w:ascii="Times New Roman" w:hAnsi="Times New Roman" w:cs="Times New Roman"/>
          <w:b w:val="0"/>
          <w:color w:val="000000" w:themeColor="text1"/>
          <w:lang w:eastAsia="zh-CN"/>
        </w:rPr>
        <w:t>17</w:t>
      </w:r>
    </w:p>
    <w:p w:rsidR="005B2D2F" w:rsidRPr="00C40C61" w:rsidRDefault="005B2D2F" w:rsidP="001B3B41">
      <w:pPr>
        <w:spacing w:after="0" w:line="240" w:lineRule="auto"/>
        <w:ind w:right="-63"/>
        <w:jc w:val="right"/>
        <w:rPr>
          <w:color w:val="000000" w:themeColor="text1"/>
          <w:lang w:eastAsia="zh-CN"/>
        </w:rPr>
      </w:pPr>
      <w:r w:rsidRPr="005B2D2F">
        <w:rPr>
          <w:color w:val="000000" w:themeColor="text1"/>
          <w:lang w:eastAsia="zh-CN"/>
        </w:rPr>
        <w:tab/>
      </w:r>
      <w:r w:rsidRPr="005B2D2F">
        <w:rPr>
          <w:color w:val="000000" w:themeColor="text1"/>
          <w:lang w:eastAsia="zh-CN"/>
        </w:rPr>
        <w:tab/>
      </w:r>
      <w:r w:rsidRPr="005B2D2F">
        <w:rPr>
          <w:color w:val="000000" w:themeColor="text1"/>
          <w:lang w:eastAsia="zh-CN"/>
        </w:rPr>
        <w:tab/>
      </w:r>
      <w:r w:rsidRPr="005B2D2F">
        <w:rPr>
          <w:color w:val="000000" w:themeColor="text1"/>
          <w:lang w:eastAsia="zh-CN"/>
        </w:rPr>
        <w:tab/>
      </w:r>
      <w:r w:rsidRPr="005B2D2F">
        <w:rPr>
          <w:color w:val="000000" w:themeColor="text1"/>
          <w:lang w:eastAsia="zh-CN"/>
        </w:rPr>
        <w:tab/>
      </w:r>
      <w:r w:rsidRPr="005B2D2F">
        <w:rPr>
          <w:color w:val="000000" w:themeColor="text1"/>
          <w:lang w:eastAsia="zh-CN"/>
        </w:rPr>
        <w:tab/>
      </w:r>
      <w:r w:rsidRPr="005B2D2F">
        <w:rPr>
          <w:color w:val="000000" w:themeColor="text1"/>
          <w:lang w:eastAsia="zh-CN"/>
        </w:rPr>
        <w:tab/>
      </w:r>
      <w:r w:rsidRPr="005B2D2F">
        <w:rPr>
          <w:color w:val="000000" w:themeColor="text1"/>
          <w:lang w:eastAsia="zh-CN"/>
        </w:rPr>
        <w:tab/>
      </w:r>
      <w:r w:rsidRPr="00C40C61">
        <w:rPr>
          <w:color w:val="000000" w:themeColor="text1"/>
          <w:lang w:eastAsia="zh-CN"/>
        </w:rPr>
        <w:tab/>
        <w:t xml:space="preserve">  </w:t>
      </w:r>
      <w:r w:rsidR="001B3B41" w:rsidRPr="00C40C61">
        <w:rPr>
          <w:color w:val="000000" w:themeColor="text1"/>
          <w:lang w:eastAsia="zh-CN"/>
        </w:rPr>
        <w:t xml:space="preserve"> </w:t>
      </w:r>
      <w:r w:rsidRPr="00C40C61">
        <w:rPr>
          <w:color w:val="000000" w:themeColor="text1"/>
          <w:lang w:eastAsia="zh-CN"/>
        </w:rPr>
        <w:t xml:space="preserve"> </w:t>
      </w:r>
      <w:r w:rsidR="00C40C61" w:rsidRPr="00C40C61">
        <w:rPr>
          <w:color w:val="000000" w:themeColor="text1"/>
          <w:lang w:eastAsia="zh-CN"/>
        </w:rPr>
        <w:t xml:space="preserve">[2018] HKCFA </w:t>
      </w:r>
      <w:r w:rsidR="00C40C61" w:rsidRPr="00C40C61">
        <w:rPr>
          <w:rFonts w:eastAsia="PMingLiU"/>
          <w:color w:val="000000" w:themeColor="text1"/>
          <w:lang w:eastAsia="zh-TW"/>
        </w:rPr>
        <w:t>18</w:t>
      </w:r>
      <w:r w:rsidRPr="00C40C61">
        <w:rPr>
          <w:color w:val="000000" w:themeColor="text1"/>
          <w:lang w:eastAsia="zh-CN"/>
        </w:rPr>
        <w:tab/>
      </w:r>
    </w:p>
    <w:p w:rsidR="005B2D2F" w:rsidRPr="005B2D2F" w:rsidRDefault="005B2D2F" w:rsidP="005B2D2F">
      <w:pPr>
        <w:spacing w:after="0" w:line="240" w:lineRule="auto"/>
        <w:rPr>
          <w:color w:val="000000" w:themeColor="text1"/>
          <w:szCs w:val="28"/>
          <w:lang w:eastAsia="zh-CN"/>
        </w:rPr>
      </w:pPr>
    </w:p>
    <w:p w:rsidR="005B2D2F" w:rsidRPr="005B2D2F" w:rsidRDefault="005B2D2F" w:rsidP="005B2D2F">
      <w:pPr>
        <w:spacing w:after="0" w:line="240" w:lineRule="auto"/>
        <w:jc w:val="center"/>
        <w:rPr>
          <w:b/>
          <w:bCs/>
          <w:color w:val="000000" w:themeColor="text1"/>
          <w:szCs w:val="28"/>
        </w:rPr>
      </w:pPr>
      <w:r w:rsidRPr="005B2D2F">
        <w:rPr>
          <w:b/>
          <w:bCs/>
          <w:color w:val="000000" w:themeColor="text1"/>
          <w:szCs w:val="28"/>
        </w:rPr>
        <w:t>IN THE COURT OF FINAL APPEAL OF THE</w:t>
      </w:r>
    </w:p>
    <w:p w:rsidR="005B2D2F" w:rsidRPr="005B2D2F" w:rsidRDefault="005B2D2F" w:rsidP="005B2D2F">
      <w:pPr>
        <w:spacing w:after="0" w:line="240" w:lineRule="auto"/>
        <w:jc w:val="center"/>
        <w:rPr>
          <w:color w:val="000000" w:themeColor="text1"/>
          <w:szCs w:val="28"/>
        </w:rPr>
      </w:pPr>
      <w:r w:rsidRPr="005B2D2F">
        <w:rPr>
          <w:b/>
          <w:bCs/>
          <w:color w:val="000000" w:themeColor="text1"/>
          <w:szCs w:val="28"/>
        </w:rPr>
        <w:t>HONG KONG SPECIAL ADMINISTRATIVE REGION</w:t>
      </w:r>
    </w:p>
    <w:p w:rsidR="005B2D2F" w:rsidRPr="005B2D2F" w:rsidRDefault="005B2D2F" w:rsidP="005B2D2F">
      <w:pPr>
        <w:spacing w:after="0" w:line="240" w:lineRule="auto"/>
        <w:jc w:val="center"/>
        <w:rPr>
          <w:b/>
          <w:bCs/>
          <w:color w:val="000000" w:themeColor="text1"/>
          <w:szCs w:val="28"/>
          <w:lang w:eastAsia="zh-CN"/>
        </w:rPr>
      </w:pPr>
    </w:p>
    <w:p w:rsidR="005B2D2F" w:rsidRPr="005B2D2F" w:rsidRDefault="005B2D2F" w:rsidP="005B2D2F">
      <w:pPr>
        <w:spacing w:after="0" w:line="240" w:lineRule="auto"/>
        <w:jc w:val="center"/>
        <w:rPr>
          <w:b/>
          <w:bCs/>
          <w:color w:val="000000" w:themeColor="text1"/>
          <w:szCs w:val="28"/>
        </w:rPr>
      </w:pPr>
      <w:r w:rsidRPr="005B2D2F">
        <w:rPr>
          <w:b/>
          <w:bCs/>
          <w:color w:val="000000" w:themeColor="text1"/>
          <w:szCs w:val="28"/>
          <w:lang w:eastAsia="zh-CN"/>
        </w:rPr>
        <w:t>FINAL APPEAL</w:t>
      </w:r>
      <w:r w:rsidRPr="005B2D2F">
        <w:rPr>
          <w:b/>
          <w:bCs/>
          <w:color w:val="000000" w:themeColor="text1"/>
          <w:szCs w:val="28"/>
        </w:rPr>
        <w:t xml:space="preserve"> NO</w:t>
      </w:r>
      <w:r w:rsidRPr="005B2D2F">
        <w:rPr>
          <w:b/>
          <w:bCs/>
          <w:color w:val="000000" w:themeColor="text1"/>
          <w:szCs w:val="28"/>
          <w:lang w:eastAsia="zh-CN"/>
        </w:rPr>
        <w:t>.</w:t>
      </w:r>
      <w:r w:rsidRPr="005B2D2F">
        <w:rPr>
          <w:b/>
          <w:bCs/>
          <w:color w:val="000000" w:themeColor="text1"/>
          <w:szCs w:val="28"/>
        </w:rPr>
        <w:t xml:space="preserve"> </w:t>
      </w:r>
      <w:r w:rsidRPr="005B2D2F">
        <w:rPr>
          <w:b/>
          <w:bCs/>
          <w:color w:val="000000" w:themeColor="text1"/>
          <w:szCs w:val="28"/>
          <w:lang w:eastAsia="zh-CN"/>
        </w:rPr>
        <w:t>11</w:t>
      </w:r>
      <w:r w:rsidRPr="005B2D2F">
        <w:rPr>
          <w:b/>
          <w:bCs/>
          <w:color w:val="000000" w:themeColor="text1"/>
          <w:szCs w:val="28"/>
        </w:rPr>
        <w:t xml:space="preserve"> OF </w:t>
      </w:r>
      <w:r w:rsidRPr="005B2D2F">
        <w:rPr>
          <w:b/>
          <w:bCs/>
          <w:color w:val="000000" w:themeColor="text1"/>
          <w:szCs w:val="28"/>
          <w:lang w:eastAsia="zh-CN"/>
        </w:rPr>
        <w:t>2017</w:t>
      </w:r>
      <w:r w:rsidRPr="005B2D2F">
        <w:rPr>
          <w:b/>
          <w:bCs/>
          <w:color w:val="000000" w:themeColor="text1"/>
          <w:szCs w:val="28"/>
        </w:rPr>
        <w:t xml:space="preserve"> </w:t>
      </w:r>
      <w:r w:rsidRPr="005B2D2F">
        <w:rPr>
          <w:b/>
          <w:color w:val="000000" w:themeColor="text1"/>
          <w:szCs w:val="28"/>
        </w:rPr>
        <w:t>(CRIMINAL)</w:t>
      </w:r>
    </w:p>
    <w:p w:rsidR="005B2D2F" w:rsidRPr="005B2D2F" w:rsidRDefault="005B2D2F" w:rsidP="005B2D2F">
      <w:pPr>
        <w:spacing w:after="0" w:line="240" w:lineRule="auto"/>
        <w:ind w:right="-138"/>
        <w:jc w:val="center"/>
        <w:rPr>
          <w:color w:val="000000" w:themeColor="text1"/>
          <w:szCs w:val="28"/>
          <w:lang w:eastAsia="zh-CN"/>
        </w:rPr>
      </w:pPr>
      <w:r w:rsidRPr="005B2D2F">
        <w:rPr>
          <w:color w:val="000000" w:themeColor="text1"/>
          <w:szCs w:val="28"/>
        </w:rPr>
        <w:t>(ON APPEAL</w:t>
      </w:r>
      <w:r w:rsidRPr="005B2D2F">
        <w:rPr>
          <w:color w:val="000000" w:themeColor="text1"/>
          <w:szCs w:val="28"/>
          <w:lang w:eastAsia="zh-CN"/>
        </w:rPr>
        <w:t xml:space="preserve"> </w:t>
      </w:r>
      <w:r w:rsidRPr="005B2D2F">
        <w:rPr>
          <w:color w:val="000000" w:themeColor="text1"/>
          <w:szCs w:val="28"/>
        </w:rPr>
        <w:t xml:space="preserve">FROM </w:t>
      </w:r>
      <w:r w:rsidRPr="005B2D2F">
        <w:rPr>
          <w:color w:val="000000" w:themeColor="text1"/>
          <w:szCs w:val="28"/>
          <w:lang w:eastAsia="zh-CN"/>
        </w:rPr>
        <w:t>HCMA</w:t>
      </w:r>
      <w:r w:rsidRPr="005B2D2F">
        <w:rPr>
          <w:color w:val="000000" w:themeColor="text1"/>
          <w:szCs w:val="28"/>
        </w:rPr>
        <w:t xml:space="preserve"> NO</w:t>
      </w:r>
      <w:r w:rsidR="00C04774">
        <w:rPr>
          <w:color w:val="000000" w:themeColor="text1"/>
          <w:szCs w:val="28"/>
        </w:rPr>
        <w:t>.</w:t>
      </w:r>
      <w:r w:rsidRPr="005B2D2F">
        <w:rPr>
          <w:color w:val="000000" w:themeColor="text1"/>
          <w:szCs w:val="28"/>
        </w:rPr>
        <w:t xml:space="preserve"> 620</w:t>
      </w:r>
      <w:r w:rsidRPr="005B2D2F">
        <w:rPr>
          <w:color w:val="000000" w:themeColor="text1"/>
          <w:szCs w:val="28"/>
          <w:lang w:eastAsia="zh-CN"/>
        </w:rPr>
        <w:t xml:space="preserve"> </w:t>
      </w:r>
      <w:r w:rsidRPr="005B2D2F">
        <w:rPr>
          <w:color w:val="000000" w:themeColor="text1"/>
          <w:szCs w:val="28"/>
        </w:rPr>
        <w:t>OF</w:t>
      </w:r>
      <w:r w:rsidRPr="005B2D2F">
        <w:rPr>
          <w:color w:val="000000" w:themeColor="text1"/>
          <w:szCs w:val="28"/>
          <w:lang w:eastAsia="zh-CN"/>
        </w:rPr>
        <w:t xml:space="preserve"> 2016</w:t>
      </w:r>
      <w:r w:rsidRPr="005B2D2F">
        <w:rPr>
          <w:color w:val="000000" w:themeColor="text1"/>
          <w:szCs w:val="28"/>
        </w:rPr>
        <w:t>)</w:t>
      </w:r>
    </w:p>
    <w:p w:rsidR="005B2D2F" w:rsidRPr="005B2D2F" w:rsidRDefault="005B2D2F" w:rsidP="005B2D2F">
      <w:pPr>
        <w:pStyle w:val="Header"/>
        <w:rPr>
          <w:color w:val="000000" w:themeColor="text1"/>
          <w:szCs w:val="28"/>
        </w:rPr>
      </w:pPr>
    </w:p>
    <w:p w:rsidR="005B2D2F" w:rsidRPr="005B2D2F" w:rsidRDefault="005B2D2F" w:rsidP="005B2D2F">
      <w:pPr>
        <w:spacing w:after="0" w:line="240" w:lineRule="auto"/>
        <w:jc w:val="center"/>
        <w:rPr>
          <w:color w:val="000000" w:themeColor="text1"/>
        </w:rPr>
      </w:pPr>
      <w:r w:rsidRPr="005B2D2F">
        <w:rPr>
          <w:color w:val="000000" w:themeColor="text1"/>
        </w:rPr>
        <w:t>____________________</w:t>
      </w:r>
    </w:p>
    <w:p w:rsidR="005B2D2F" w:rsidRPr="005B2D2F" w:rsidRDefault="005B2D2F" w:rsidP="005B2D2F">
      <w:pPr>
        <w:spacing w:after="0" w:line="240" w:lineRule="auto"/>
        <w:rPr>
          <w:color w:val="000000" w:themeColor="text1"/>
          <w:lang w:eastAsia="zh-CN"/>
        </w:rPr>
      </w:pPr>
    </w:p>
    <w:p w:rsidR="005B2D2F" w:rsidRPr="005B2D2F" w:rsidRDefault="005B2D2F" w:rsidP="005B2D2F">
      <w:pPr>
        <w:snapToGrid w:val="0"/>
        <w:spacing w:after="0" w:line="240" w:lineRule="auto"/>
        <w:rPr>
          <w:color w:val="000000" w:themeColor="text1"/>
          <w:lang w:eastAsia="zh-CN"/>
        </w:rPr>
      </w:pPr>
      <w:r w:rsidRPr="005B2D2F">
        <w:rPr>
          <w:color w:val="000000" w:themeColor="text1"/>
        </w:rPr>
        <w:t>BETWEEN</w:t>
      </w:r>
    </w:p>
    <w:p w:rsidR="005B2D2F" w:rsidRPr="005B2D2F" w:rsidRDefault="005B2D2F" w:rsidP="005B2D2F">
      <w:pPr>
        <w:snapToGrid w:val="0"/>
        <w:spacing w:after="0" w:line="240" w:lineRule="auto"/>
        <w:rPr>
          <w:color w:val="000000" w:themeColor="text1"/>
        </w:rPr>
      </w:pPr>
    </w:p>
    <w:tbl>
      <w:tblPr>
        <w:tblW w:w="9596" w:type="dxa"/>
        <w:tblInd w:w="108" w:type="dxa"/>
        <w:tblLayout w:type="fixed"/>
        <w:tblLook w:val="0000" w:firstRow="0" w:lastRow="0" w:firstColumn="0" w:lastColumn="0" w:noHBand="0" w:noVBand="0"/>
      </w:tblPr>
      <w:tblGrid>
        <w:gridCol w:w="7200"/>
        <w:gridCol w:w="2396"/>
      </w:tblGrid>
      <w:tr w:rsidR="005B2D2F" w:rsidRPr="005B2D2F" w:rsidTr="00B8244F">
        <w:trPr>
          <w:cantSplit/>
          <w:trHeight w:val="846"/>
        </w:trPr>
        <w:tc>
          <w:tcPr>
            <w:tcW w:w="7200" w:type="dxa"/>
          </w:tcPr>
          <w:p w:rsidR="005B2D2F" w:rsidRPr="005B2D2F" w:rsidRDefault="005B2D2F" w:rsidP="005B2D2F">
            <w:pPr>
              <w:snapToGrid w:val="0"/>
              <w:spacing w:after="0" w:line="240" w:lineRule="auto"/>
              <w:jc w:val="center"/>
              <w:rPr>
                <w:b/>
                <w:bCs/>
                <w:caps/>
                <w:color w:val="000000" w:themeColor="text1"/>
              </w:rPr>
            </w:pPr>
            <w:r w:rsidRPr="005B2D2F">
              <w:rPr>
                <w:b/>
                <w:bCs/>
                <w:caps/>
                <w:color w:val="000000" w:themeColor="text1"/>
              </w:rPr>
              <w:t>HKSAR</w:t>
            </w:r>
          </w:p>
          <w:p w:rsidR="005B2D2F" w:rsidRPr="005B2D2F" w:rsidRDefault="005B2D2F" w:rsidP="005B2D2F">
            <w:pPr>
              <w:snapToGrid w:val="0"/>
              <w:spacing w:after="0" w:line="240" w:lineRule="auto"/>
              <w:jc w:val="center"/>
              <w:rPr>
                <w:b/>
                <w:bCs/>
                <w:color w:val="000000" w:themeColor="text1"/>
              </w:rPr>
            </w:pPr>
          </w:p>
        </w:tc>
        <w:tc>
          <w:tcPr>
            <w:tcW w:w="2396" w:type="dxa"/>
          </w:tcPr>
          <w:p w:rsidR="005B2D2F" w:rsidRPr="005B2D2F" w:rsidRDefault="005B2D2F" w:rsidP="005B2D2F">
            <w:pPr>
              <w:snapToGrid w:val="0"/>
              <w:spacing w:after="0" w:line="240" w:lineRule="auto"/>
              <w:rPr>
                <w:rFonts w:eastAsia="PMingLiU"/>
                <w:b/>
                <w:color w:val="000000" w:themeColor="text1"/>
                <w:lang w:eastAsia="zh-TW"/>
              </w:rPr>
            </w:pPr>
            <w:r w:rsidRPr="005B2D2F">
              <w:rPr>
                <w:b/>
                <w:color w:val="000000" w:themeColor="text1"/>
              </w:rPr>
              <w:t>Respondent</w:t>
            </w:r>
          </w:p>
          <w:p w:rsidR="005B2D2F" w:rsidRPr="005B2D2F" w:rsidRDefault="005B2D2F" w:rsidP="005B2D2F">
            <w:pPr>
              <w:snapToGrid w:val="0"/>
              <w:spacing w:after="0" w:line="240" w:lineRule="auto"/>
              <w:rPr>
                <w:b/>
                <w:color w:val="000000" w:themeColor="text1"/>
                <w:lang w:eastAsia="zh-CN"/>
              </w:rPr>
            </w:pPr>
          </w:p>
        </w:tc>
      </w:tr>
      <w:tr w:rsidR="005B2D2F" w:rsidRPr="005B2D2F" w:rsidTr="00B8244F">
        <w:trPr>
          <w:cantSplit/>
        </w:trPr>
        <w:tc>
          <w:tcPr>
            <w:tcW w:w="7200" w:type="dxa"/>
          </w:tcPr>
          <w:p w:rsidR="005B2D2F" w:rsidRPr="005B2D2F" w:rsidRDefault="005B2D2F" w:rsidP="005B2D2F">
            <w:pPr>
              <w:snapToGrid w:val="0"/>
              <w:spacing w:after="0" w:line="240" w:lineRule="auto"/>
              <w:jc w:val="center"/>
              <w:rPr>
                <w:rFonts w:eastAsia="PMingLiU"/>
                <w:b/>
                <w:color w:val="000000" w:themeColor="text1"/>
                <w:lang w:eastAsia="zh-TW"/>
              </w:rPr>
            </w:pPr>
            <w:r w:rsidRPr="005B2D2F">
              <w:rPr>
                <w:b/>
                <w:color w:val="000000" w:themeColor="text1"/>
              </w:rPr>
              <w:t>and</w:t>
            </w:r>
          </w:p>
          <w:p w:rsidR="005B2D2F" w:rsidRPr="005B2D2F" w:rsidRDefault="005B2D2F" w:rsidP="005B2D2F">
            <w:pPr>
              <w:snapToGrid w:val="0"/>
              <w:spacing w:after="0" w:line="240" w:lineRule="auto"/>
              <w:jc w:val="center"/>
              <w:rPr>
                <w:b/>
                <w:color w:val="000000" w:themeColor="text1"/>
              </w:rPr>
            </w:pPr>
          </w:p>
        </w:tc>
        <w:tc>
          <w:tcPr>
            <w:tcW w:w="2396" w:type="dxa"/>
          </w:tcPr>
          <w:p w:rsidR="005B2D2F" w:rsidRPr="005B2D2F" w:rsidRDefault="005B2D2F" w:rsidP="005B2D2F">
            <w:pPr>
              <w:snapToGrid w:val="0"/>
              <w:spacing w:after="0" w:line="240" w:lineRule="auto"/>
              <w:rPr>
                <w:b/>
                <w:color w:val="000000" w:themeColor="text1"/>
              </w:rPr>
            </w:pPr>
          </w:p>
        </w:tc>
      </w:tr>
      <w:tr w:rsidR="005B2D2F" w:rsidRPr="005B2D2F" w:rsidTr="00B8244F">
        <w:trPr>
          <w:cantSplit/>
        </w:trPr>
        <w:tc>
          <w:tcPr>
            <w:tcW w:w="7200" w:type="dxa"/>
          </w:tcPr>
          <w:p w:rsidR="005B2D2F" w:rsidRPr="005B2D2F" w:rsidRDefault="005B2D2F" w:rsidP="005B2D2F">
            <w:pPr>
              <w:snapToGrid w:val="0"/>
              <w:spacing w:after="0" w:line="240" w:lineRule="auto"/>
              <w:jc w:val="center"/>
              <w:rPr>
                <w:b/>
                <w:bCs/>
                <w:caps/>
                <w:color w:val="000000" w:themeColor="text1"/>
              </w:rPr>
            </w:pPr>
            <w:r w:rsidRPr="005B2D2F">
              <w:rPr>
                <w:b/>
                <w:color w:val="000000" w:themeColor="text1"/>
              </w:rPr>
              <w:t>CHOI WAI LUN</w:t>
            </w:r>
            <w:r w:rsidRPr="005B2D2F">
              <w:rPr>
                <w:rFonts w:hint="eastAsia"/>
                <w:b/>
                <w:color w:val="000000" w:themeColor="text1"/>
              </w:rPr>
              <w:t xml:space="preserve"> (</w:t>
            </w:r>
            <w:r w:rsidRPr="005B2D2F">
              <w:rPr>
                <w:rFonts w:hint="eastAsia"/>
                <w:b/>
                <w:color w:val="000000" w:themeColor="text1"/>
              </w:rPr>
              <w:t>蔡偉麟</w:t>
            </w:r>
            <w:r w:rsidRPr="005B2D2F">
              <w:rPr>
                <w:rFonts w:hint="eastAsia"/>
                <w:b/>
                <w:color w:val="000000" w:themeColor="text1"/>
              </w:rPr>
              <w:t>)</w:t>
            </w:r>
          </w:p>
        </w:tc>
        <w:tc>
          <w:tcPr>
            <w:tcW w:w="2396" w:type="dxa"/>
          </w:tcPr>
          <w:p w:rsidR="005B2D2F" w:rsidRPr="005B2D2F" w:rsidRDefault="005B2D2F" w:rsidP="005B2D2F">
            <w:pPr>
              <w:snapToGrid w:val="0"/>
              <w:spacing w:after="0" w:line="240" w:lineRule="auto"/>
              <w:rPr>
                <w:b/>
                <w:color w:val="000000" w:themeColor="text1"/>
              </w:rPr>
            </w:pPr>
            <w:r w:rsidRPr="005B2D2F">
              <w:rPr>
                <w:rFonts w:hint="eastAsia"/>
                <w:b/>
                <w:color w:val="000000" w:themeColor="text1"/>
              </w:rPr>
              <w:t>App</w:t>
            </w:r>
            <w:r w:rsidRPr="005B2D2F">
              <w:rPr>
                <w:rFonts w:hint="eastAsia"/>
                <w:b/>
                <w:color w:val="000000" w:themeColor="text1"/>
                <w:lang w:eastAsia="zh-CN"/>
              </w:rPr>
              <w:t>ellant</w:t>
            </w:r>
            <w:r w:rsidRPr="005B2D2F">
              <w:rPr>
                <w:rFonts w:hint="eastAsia"/>
                <w:b/>
                <w:color w:val="000000" w:themeColor="text1"/>
              </w:rPr>
              <w:t xml:space="preserve"> </w:t>
            </w:r>
          </w:p>
        </w:tc>
      </w:tr>
    </w:tbl>
    <w:p w:rsidR="005B2D2F" w:rsidRPr="005B2D2F" w:rsidRDefault="005B2D2F" w:rsidP="005B2D2F">
      <w:pPr>
        <w:snapToGrid w:val="0"/>
        <w:spacing w:after="0" w:line="240" w:lineRule="auto"/>
        <w:jc w:val="center"/>
        <w:rPr>
          <w:color w:val="000000" w:themeColor="text1"/>
          <w:sz w:val="44"/>
          <w:szCs w:val="44"/>
        </w:rPr>
      </w:pPr>
      <w:r w:rsidRPr="005B2D2F">
        <w:rPr>
          <w:color w:val="000000" w:themeColor="text1"/>
        </w:rPr>
        <w:t>_____________________</w:t>
      </w:r>
    </w:p>
    <w:p w:rsidR="005B2D2F" w:rsidRPr="005B2D2F" w:rsidRDefault="005B2D2F" w:rsidP="005B2D2F">
      <w:pPr>
        <w:snapToGrid w:val="0"/>
        <w:spacing w:after="0" w:line="240" w:lineRule="auto"/>
        <w:jc w:val="center"/>
        <w:rPr>
          <w:color w:val="000000" w:themeColor="text1"/>
        </w:rPr>
      </w:pPr>
    </w:p>
    <w:p w:rsidR="005B2D2F" w:rsidRPr="005B2D2F" w:rsidRDefault="005B2D2F" w:rsidP="005B2D2F">
      <w:pPr>
        <w:spacing w:after="0" w:line="240" w:lineRule="auto"/>
        <w:rPr>
          <w:color w:val="000000" w:themeColor="text1"/>
          <w:lang w:eastAsia="zh-CN"/>
        </w:rPr>
      </w:pPr>
    </w:p>
    <w:tbl>
      <w:tblPr>
        <w:tblW w:w="9648" w:type="dxa"/>
        <w:tblLook w:val="0000" w:firstRow="0" w:lastRow="0" w:firstColumn="0" w:lastColumn="0" w:noHBand="0" w:noVBand="0"/>
      </w:tblPr>
      <w:tblGrid>
        <w:gridCol w:w="2988"/>
        <w:gridCol w:w="127"/>
        <w:gridCol w:w="5993"/>
        <w:gridCol w:w="540"/>
      </w:tblGrid>
      <w:tr w:rsidR="005B2D2F" w:rsidRPr="005B2D2F" w:rsidTr="00B8244F">
        <w:trPr>
          <w:gridAfter w:val="1"/>
          <w:wAfter w:w="540" w:type="dxa"/>
          <w:trHeight w:val="720"/>
        </w:trPr>
        <w:tc>
          <w:tcPr>
            <w:tcW w:w="2988" w:type="dxa"/>
          </w:tcPr>
          <w:p w:rsidR="005B2D2F" w:rsidRPr="005B2D2F" w:rsidRDefault="005B2D2F" w:rsidP="005B2D2F">
            <w:pPr>
              <w:snapToGrid w:val="0"/>
              <w:spacing w:after="0" w:line="240" w:lineRule="auto"/>
              <w:rPr>
                <w:color w:val="000000" w:themeColor="text1"/>
              </w:rPr>
            </w:pPr>
            <w:r w:rsidRPr="005B2D2F">
              <w:rPr>
                <w:bCs/>
                <w:color w:val="000000" w:themeColor="text1"/>
                <w:szCs w:val="28"/>
              </w:rPr>
              <w:t>Before :</w:t>
            </w:r>
          </w:p>
        </w:tc>
        <w:tc>
          <w:tcPr>
            <w:tcW w:w="6120" w:type="dxa"/>
            <w:gridSpan w:val="2"/>
          </w:tcPr>
          <w:p w:rsidR="005B2D2F" w:rsidRPr="005B2D2F" w:rsidRDefault="005B2D2F" w:rsidP="005B2D2F">
            <w:pPr>
              <w:snapToGrid w:val="0"/>
              <w:spacing w:after="0" w:line="240" w:lineRule="auto"/>
              <w:jc w:val="both"/>
              <w:rPr>
                <w:bCs/>
                <w:color w:val="000000" w:themeColor="text1"/>
                <w:szCs w:val="28"/>
                <w:lang w:eastAsia="zh-CN"/>
              </w:rPr>
            </w:pPr>
            <w:r w:rsidRPr="005B2D2F">
              <w:rPr>
                <w:rFonts w:hint="eastAsia"/>
                <w:color w:val="000000" w:themeColor="text1"/>
              </w:rPr>
              <w:t xml:space="preserve">Chief Justice Ma, </w:t>
            </w:r>
            <w:r w:rsidRPr="005B2D2F">
              <w:rPr>
                <w:bCs/>
                <w:color w:val="000000" w:themeColor="text1"/>
                <w:szCs w:val="28"/>
              </w:rPr>
              <w:t xml:space="preserve">Mr Justice Ribeiro PJ, </w:t>
            </w:r>
          </w:p>
          <w:p w:rsidR="002C3523" w:rsidRDefault="005B2D2F" w:rsidP="005B2D2F">
            <w:pPr>
              <w:snapToGrid w:val="0"/>
              <w:spacing w:after="0" w:line="240" w:lineRule="auto"/>
              <w:jc w:val="both"/>
              <w:rPr>
                <w:bCs/>
                <w:color w:val="000000" w:themeColor="text1"/>
                <w:szCs w:val="28"/>
                <w:lang w:eastAsia="zh-CN"/>
              </w:rPr>
            </w:pPr>
            <w:r w:rsidRPr="005B2D2F">
              <w:rPr>
                <w:bCs/>
                <w:color w:val="000000" w:themeColor="text1"/>
                <w:szCs w:val="28"/>
              </w:rPr>
              <w:t>Mr Justice Tang PJ</w:t>
            </w:r>
            <w:r w:rsidRPr="005B2D2F">
              <w:rPr>
                <w:rFonts w:hint="eastAsia"/>
                <w:bCs/>
                <w:color w:val="000000" w:themeColor="text1"/>
                <w:szCs w:val="28"/>
                <w:lang w:eastAsia="zh-CN"/>
              </w:rPr>
              <w:t xml:space="preserve">, </w:t>
            </w:r>
            <w:r w:rsidRPr="005B2D2F">
              <w:rPr>
                <w:bCs/>
                <w:color w:val="000000" w:themeColor="text1"/>
                <w:szCs w:val="28"/>
              </w:rPr>
              <w:t xml:space="preserve">Mr Justice </w:t>
            </w:r>
            <w:r w:rsidRPr="005B2D2F">
              <w:rPr>
                <w:bCs/>
                <w:color w:val="000000" w:themeColor="text1"/>
                <w:szCs w:val="28"/>
                <w:lang w:eastAsia="zh-CN"/>
              </w:rPr>
              <w:t>Fok P</w:t>
            </w:r>
            <w:r w:rsidRPr="005B2D2F">
              <w:rPr>
                <w:bCs/>
                <w:color w:val="000000" w:themeColor="text1"/>
                <w:szCs w:val="28"/>
              </w:rPr>
              <w:t>J</w:t>
            </w:r>
            <w:r w:rsidRPr="005B2D2F">
              <w:rPr>
                <w:rFonts w:hint="eastAsia"/>
                <w:bCs/>
                <w:color w:val="000000" w:themeColor="text1"/>
                <w:szCs w:val="28"/>
                <w:lang w:eastAsia="zh-CN"/>
              </w:rPr>
              <w:t xml:space="preserve"> and</w:t>
            </w:r>
          </w:p>
          <w:p w:rsidR="005B2D2F" w:rsidRPr="005B2D2F" w:rsidRDefault="005B2D2F" w:rsidP="005B2D2F">
            <w:pPr>
              <w:snapToGrid w:val="0"/>
              <w:spacing w:after="0" w:line="240" w:lineRule="auto"/>
              <w:jc w:val="both"/>
              <w:rPr>
                <w:bCs/>
                <w:color w:val="000000" w:themeColor="text1"/>
                <w:szCs w:val="28"/>
                <w:lang w:eastAsia="zh-CN"/>
              </w:rPr>
            </w:pPr>
            <w:r w:rsidRPr="005B2D2F">
              <w:rPr>
                <w:bCs/>
                <w:color w:val="000000" w:themeColor="text1"/>
                <w:szCs w:val="28"/>
              </w:rPr>
              <w:t>Lord Collins</w:t>
            </w:r>
            <w:r w:rsidR="002C3523">
              <w:rPr>
                <w:bCs/>
                <w:color w:val="000000" w:themeColor="text1"/>
                <w:szCs w:val="28"/>
              </w:rPr>
              <w:t xml:space="preserve"> of Mapesbury</w:t>
            </w:r>
            <w:r w:rsidRPr="005B2D2F">
              <w:rPr>
                <w:rFonts w:hint="eastAsia"/>
                <w:bCs/>
                <w:color w:val="000000" w:themeColor="text1"/>
                <w:szCs w:val="28"/>
                <w:lang w:eastAsia="zh-CN"/>
              </w:rPr>
              <w:t xml:space="preserve"> </w:t>
            </w:r>
            <w:r w:rsidRPr="005B2D2F">
              <w:rPr>
                <w:bCs/>
                <w:color w:val="000000" w:themeColor="text1"/>
                <w:szCs w:val="28"/>
              </w:rPr>
              <w:t>NPJ</w:t>
            </w:r>
          </w:p>
          <w:p w:rsidR="005B2D2F" w:rsidRPr="005B2D2F" w:rsidRDefault="005B2D2F" w:rsidP="005B2D2F">
            <w:pPr>
              <w:snapToGrid w:val="0"/>
              <w:spacing w:after="0" w:line="240" w:lineRule="auto"/>
              <w:jc w:val="both"/>
              <w:rPr>
                <w:color w:val="000000" w:themeColor="text1"/>
                <w:lang w:eastAsia="zh-CN"/>
              </w:rPr>
            </w:pPr>
          </w:p>
        </w:tc>
      </w:tr>
      <w:tr w:rsidR="005B2D2F" w:rsidRPr="005B2D2F" w:rsidTr="00B8244F">
        <w:tblPrEx>
          <w:tblLook w:val="04A0" w:firstRow="1" w:lastRow="0" w:firstColumn="1" w:lastColumn="0" w:noHBand="0" w:noVBand="1"/>
        </w:tblPrEx>
        <w:tc>
          <w:tcPr>
            <w:tcW w:w="3115" w:type="dxa"/>
            <w:gridSpan w:val="2"/>
          </w:tcPr>
          <w:p w:rsidR="005B2D2F" w:rsidRPr="005B2D2F" w:rsidRDefault="005B2D2F" w:rsidP="005B2D2F">
            <w:pPr>
              <w:spacing w:after="0" w:line="240" w:lineRule="auto"/>
              <w:rPr>
                <w:color w:val="000000" w:themeColor="text1"/>
                <w:lang w:eastAsia="zh-TW"/>
              </w:rPr>
            </w:pPr>
            <w:r w:rsidRPr="005B2D2F">
              <w:rPr>
                <w:color w:val="000000" w:themeColor="text1"/>
                <w:lang w:eastAsia="zh-TW"/>
              </w:rPr>
              <w:t xml:space="preserve">Date of </w:t>
            </w:r>
            <w:r w:rsidRPr="005B2D2F">
              <w:rPr>
                <w:color w:val="000000" w:themeColor="text1"/>
              </w:rPr>
              <w:t>Hearing:</w:t>
            </w:r>
          </w:p>
          <w:p w:rsidR="005B2D2F" w:rsidRPr="005B2D2F" w:rsidRDefault="005B2D2F" w:rsidP="005B2D2F">
            <w:pPr>
              <w:spacing w:after="0" w:line="240" w:lineRule="auto"/>
              <w:rPr>
                <w:color w:val="000000" w:themeColor="text1"/>
                <w:lang w:eastAsia="zh-TW"/>
              </w:rPr>
            </w:pPr>
          </w:p>
        </w:tc>
        <w:tc>
          <w:tcPr>
            <w:tcW w:w="6533" w:type="dxa"/>
            <w:gridSpan w:val="2"/>
          </w:tcPr>
          <w:p w:rsidR="005B2D2F" w:rsidRPr="005B2D2F" w:rsidRDefault="005B2D2F" w:rsidP="005B2D2F">
            <w:pPr>
              <w:spacing w:after="0" w:line="240" w:lineRule="auto"/>
              <w:ind w:leftChars="-38" w:left="-106"/>
              <w:rPr>
                <w:color w:val="000000" w:themeColor="text1"/>
              </w:rPr>
            </w:pPr>
            <w:r w:rsidRPr="005B2D2F">
              <w:rPr>
                <w:color w:val="000000" w:themeColor="text1"/>
                <w:lang w:eastAsia="zh-CN"/>
              </w:rPr>
              <w:t>23 April 2018</w:t>
            </w:r>
          </w:p>
        </w:tc>
      </w:tr>
      <w:tr w:rsidR="005B2D2F" w:rsidRPr="005B2D2F" w:rsidTr="00B8244F">
        <w:tblPrEx>
          <w:tblLook w:val="04A0" w:firstRow="1" w:lastRow="0" w:firstColumn="1" w:lastColumn="0" w:noHBand="0" w:noVBand="1"/>
        </w:tblPrEx>
        <w:tc>
          <w:tcPr>
            <w:tcW w:w="3115" w:type="dxa"/>
            <w:gridSpan w:val="2"/>
            <w:hideMark/>
          </w:tcPr>
          <w:p w:rsidR="005B2D2F" w:rsidRPr="005B2D2F" w:rsidRDefault="005B2D2F" w:rsidP="005B2D2F">
            <w:pPr>
              <w:spacing w:after="0" w:line="240" w:lineRule="auto"/>
              <w:rPr>
                <w:color w:val="000000" w:themeColor="text1"/>
              </w:rPr>
            </w:pPr>
            <w:r w:rsidRPr="005B2D2F">
              <w:rPr>
                <w:color w:val="000000" w:themeColor="text1"/>
                <w:lang w:eastAsia="zh-TW"/>
              </w:rPr>
              <w:t>Date of Judgment</w:t>
            </w:r>
            <w:r w:rsidRPr="005B2D2F">
              <w:rPr>
                <w:color w:val="000000" w:themeColor="text1"/>
              </w:rPr>
              <w:t>:</w:t>
            </w:r>
          </w:p>
        </w:tc>
        <w:tc>
          <w:tcPr>
            <w:tcW w:w="6533" w:type="dxa"/>
            <w:gridSpan w:val="2"/>
            <w:hideMark/>
          </w:tcPr>
          <w:p w:rsidR="005B2D2F" w:rsidRPr="005B2D2F" w:rsidRDefault="00C04774" w:rsidP="005B2D2F">
            <w:pPr>
              <w:spacing w:after="0" w:line="240" w:lineRule="auto"/>
              <w:ind w:leftChars="-38" w:hangingChars="38" w:hanging="106"/>
              <w:rPr>
                <w:color w:val="000000" w:themeColor="text1"/>
                <w:lang w:eastAsia="zh-CN"/>
              </w:rPr>
            </w:pPr>
            <w:r>
              <w:rPr>
                <w:color w:val="000000" w:themeColor="text1"/>
                <w:lang w:eastAsia="zh-CN"/>
              </w:rPr>
              <w:t>9</w:t>
            </w:r>
            <w:r w:rsidR="005B2D2F" w:rsidRPr="005B2D2F">
              <w:rPr>
                <w:color w:val="000000" w:themeColor="text1"/>
                <w:lang w:eastAsia="zh-CN"/>
              </w:rPr>
              <w:t xml:space="preserve"> May 2018</w:t>
            </w:r>
          </w:p>
          <w:p w:rsidR="005B2D2F" w:rsidRPr="005B2D2F" w:rsidRDefault="005B2D2F" w:rsidP="005B2D2F">
            <w:pPr>
              <w:spacing w:after="0" w:line="240" w:lineRule="auto"/>
              <w:ind w:leftChars="-38" w:hangingChars="38" w:hanging="106"/>
              <w:rPr>
                <w:color w:val="000000" w:themeColor="text1"/>
                <w:lang w:eastAsia="zh-CN"/>
              </w:rPr>
            </w:pPr>
          </w:p>
        </w:tc>
      </w:tr>
    </w:tbl>
    <w:p w:rsidR="005B2D2F" w:rsidRPr="00B930B7" w:rsidRDefault="005B2D2F" w:rsidP="005B2D2F">
      <w:pPr>
        <w:pStyle w:val="Normal4"/>
        <w:rPr>
          <w:rFonts w:eastAsia="宋体"/>
          <w:b w:val="0"/>
          <w:bCs/>
          <w:lang w:eastAsia="zh-CN"/>
        </w:rPr>
      </w:pPr>
      <w:r w:rsidRPr="00B930B7">
        <w:rPr>
          <w:b w:val="0"/>
          <w:bCs/>
        </w:rPr>
        <w:t>____________________</w:t>
      </w:r>
      <w:r w:rsidRPr="00B930B7">
        <w:rPr>
          <w:rFonts w:eastAsia="宋体"/>
          <w:b w:val="0"/>
          <w:bCs/>
          <w:lang w:eastAsia="zh-CN"/>
        </w:rPr>
        <w:t>____</w:t>
      </w:r>
    </w:p>
    <w:p w:rsidR="005B2D2F" w:rsidRPr="00B930B7" w:rsidRDefault="005B2D2F" w:rsidP="005B2D2F">
      <w:pPr>
        <w:pStyle w:val="Normal4"/>
      </w:pPr>
    </w:p>
    <w:p w:rsidR="005B2D2F" w:rsidRDefault="005B2D2F" w:rsidP="005B2D2F">
      <w:pPr>
        <w:spacing w:after="0"/>
        <w:jc w:val="center"/>
        <w:rPr>
          <w:b/>
          <w:color w:val="000000"/>
        </w:rPr>
      </w:pPr>
      <w:r w:rsidRPr="00FD3C1E">
        <w:rPr>
          <w:b/>
          <w:color w:val="000000"/>
        </w:rPr>
        <w:t>J U D G M E N T</w:t>
      </w:r>
    </w:p>
    <w:p w:rsidR="005B2D2F" w:rsidRPr="00B930B7" w:rsidRDefault="005B2D2F" w:rsidP="005B2D2F">
      <w:pPr>
        <w:pStyle w:val="Bob10"/>
        <w:spacing w:after="0" w:line="240" w:lineRule="auto"/>
      </w:pPr>
      <w:r>
        <w:t>____</w:t>
      </w:r>
      <w:r w:rsidRPr="00B930B7">
        <w:t>__________________</w:t>
      </w:r>
      <w:r>
        <w:t>___</w:t>
      </w:r>
    </w:p>
    <w:p w:rsidR="005B2D2F" w:rsidRDefault="005B2D2F" w:rsidP="00D21E98">
      <w:pPr>
        <w:pStyle w:val="Bob1"/>
        <w:numPr>
          <w:ilvl w:val="0"/>
          <w:numId w:val="0"/>
        </w:numPr>
        <w:ind w:hanging="11"/>
      </w:pPr>
    </w:p>
    <w:p w:rsidR="005B2D2F" w:rsidRDefault="005B2D2F" w:rsidP="00D21E98">
      <w:pPr>
        <w:pStyle w:val="Bob1"/>
        <w:numPr>
          <w:ilvl w:val="0"/>
          <w:numId w:val="0"/>
        </w:numPr>
        <w:ind w:hanging="11"/>
        <w:rPr>
          <w:b/>
        </w:rPr>
      </w:pPr>
      <w:r w:rsidRPr="005B2D2F">
        <w:rPr>
          <w:b/>
        </w:rPr>
        <w:t>Chief Justice Ma:</w:t>
      </w:r>
    </w:p>
    <w:p w:rsidR="00D5461D" w:rsidRDefault="00D5461D" w:rsidP="00D5461D">
      <w:pPr>
        <w:pStyle w:val="Bob1"/>
        <w:tabs>
          <w:tab w:val="clear" w:pos="720"/>
          <w:tab w:val="num" w:pos="1440"/>
        </w:tabs>
        <w:ind w:left="0" w:firstLine="0"/>
      </w:pPr>
      <w:r>
        <w:t>I agree with the judgment of Mr Justice Ribeiro PJ.</w:t>
      </w:r>
    </w:p>
    <w:p w:rsidR="00D5461D" w:rsidRPr="005B2D2F" w:rsidRDefault="00D5461D" w:rsidP="00D21E98">
      <w:pPr>
        <w:pStyle w:val="Bob1"/>
        <w:numPr>
          <w:ilvl w:val="0"/>
          <w:numId w:val="0"/>
        </w:numPr>
        <w:ind w:hanging="11"/>
        <w:rPr>
          <w:b/>
        </w:rPr>
      </w:pPr>
    </w:p>
    <w:p w:rsidR="00D21E98" w:rsidRPr="005B2D2F" w:rsidRDefault="00825A26" w:rsidP="00D21E98">
      <w:pPr>
        <w:pStyle w:val="Bob1"/>
        <w:numPr>
          <w:ilvl w:val="0"/>
          <w:numId w:val="0"/>
        </w:numPr>
        <w:ind w:hanging="11"/>
        <w:rPr>
          <w:b/>
        </w:rPr>
      </w:pPr>
      <w:r w:rsidRPr="005B2D2F">
        <w:rPr>
          <w:b/>
        </w:rPr>
        <w:lastRenderedPageBreak/>
        <w:t>Mr Justice Ribeiro PJ:</w:t>
      </w:r>
    </w:p>
    <w:p w:rsidR="00F1223E" w:rsidRDefault="00F1223E" w:rsidP="00C45E2F">
      <w:pPr>
        <w:pStyle w:val="Bob1"/>
        <w:tabs>
          <w:tab w:val="clear" w:pos="720"/>
          <w:tab w:val="left" w:pos="1440"/>
        </w:tabs>
        <w:ind w:left="0" w:firstLine="0"/>
        <w:jc w:val="both"/>
      </w:pPr>
      <w:r w:rsidRPr="002A2ECB">
        <w:t>Under section 122(1) of the Crimes Ordinance,</w:t>
      </w:r>
      <w:r w:rsidRPr="002A2ECB">
        <w:rPr>
          <w:rStyle w:val="FootnoteReference"/>
        </w:rPr>
        <w:footnoteReference w:id="1"/>
      </w:r>
      <w:r w:rsidRPr="002A2ECB">
        <w:t xml:space="preserve"> a person who indecently assaults another is guilty of an offence and </w:t>
      </w:r>
      <w:r w:rsidR="00777A15" w:rsidRPr="002A2ECB">
        <w:t xml:space="preserve">is </w:t>
      </w:r>
      <w:r w:rsidRPr="002A2ECB">
        <w:t xml:space="preserve">liable on conviction on indictment to imprisonment for 10 years.  </w:t>
      </w:r>
      <w:r w:rsidR="00A77E9A" w:rsidRPr="002A2ECB">
        <w:t>I</w:t>
      </w:r>
      <w:r w:rsidR="00777A15" w:rsidRPr="002A2ECB">
        <w:t>f there is c</w:t>
      </w:r>
      <w:r w:rsidRPr="002A2ECB">
        <w:t>onsent</w:t>
      </w:r>
      <w:r w:rsidR="00777A15" w:rsidRPr="002A2ECB">
        <w:t xml:space="preserve"> to</w:t>
      </w:r>
      <w:r w:rsidRPr="002A2ECB">
        <w:t xml:space="preserve"> the </w:t>
      </w:r>
      <w:r w:rsidR="00E61BB1" w:rsidRPr="002A2ECB">
        <w:t>relevant acts</w:t>
      </w:r>
      <w:r w:rsidR="00777A15" w:rsidRPr="002A2ECB">
        <w:t>, such</w:t>
      </w:r>
      <w:r w:rsidR="00AA05B9" w:rsidRPr="002A2ECB">
        <w:t xml:space="preserve"> conduct</w:t>
      </w:r>
      <w:r w:rsidR="00777A15" w:rsidRPr="002A2ECB">
        <w:t xml:space="preserve">, although “indecent”, </w:t>
      </w:r>
      <w:r w:rsidR="00A77E9A" w:rsidRPr="002A2ECB">
        <w:t xml:space="preserve">generally </w:t>
      </w:r>
      <w:r w:rsidR="00777A15" w:rsidRPr="002A2ECB">
        <w:t>does not</w:t>
      </w:r>
      <w:r w:rsidRPr="002A2ECB">
        <w:t xml:space="preserve"> constitut</w:t>
      </w:r>
      <w:r w:rsidR="00777A15" w:rsidRPr="002A2ECB">
        <w:t>e</w:t>
      </w:r>
      <w:r w:rsidRPr="002A2ECB">
        <w:t xml:space="preserve"> an assault</w:t>
      </w:r>
      <w:r w:rsidR="00777A15" w:rsidRPr="002A2ECB">
        <w:t xml:space="preserve"> so that the offence is not committed.  However, section 122(2) provides: “A person under the age of 16 cannot in law give any consent which would prevent an act being an assault for the purposes of this section”.</w:t>
      </w:r>
    </w:p>
    <w:p w:rsidR="00A662F7" w:rsidRPr="002A2ECB" w:rsidRDefault="00F1223E" w:rsidP="00C45E2F">
      <w:pPr>
        <w:pStyle w:val="Bob1"/>
        <w:tabs>
          <w:tab w:val="clear" w:pos="720"/>
          <w:tab w:val="left" w:pos="1440"/>
        </w:tabs>
        <w:ind w:left="0" w:firstLine="0"/>
        <w:jc w:val="both"/>
      </w:pPr>
      <w:r w:rsidRPr="002A2ECB">
        <w:t xml:space="preserve">The question </w:t>
      </w:r>
      <w:r w:rsidR="00777A15" w:rsidRPr="002A2ECB">
        <w:t xml:space="preserve">which arises </w:t>
      </w:r>
      <w:r w:rsidRPr="002A2ECB">
        <w:t>in this appeal is whether a</w:t>
      </w:r>
      <w:r w:rsidR="00F420BE" w:rsidRPr="002A2ECB">
        <w:t xml:space="preserve"> person</w:t>
      </w:r>
      <w:r w:rsidRPr="002A2ECB">
        <w:t xml:space="preserve"> </w:t>
      </w:r>
      <w:r w:rsidR="00777A15" w:rsidRPr="002A2ECB">
        <w:t xml:space="preserve">commits the offence if he </w:t>
      </w:r>
      <w:r w:rsidR="00AA05B9" w:rsidRPr="002A2ECB">
        <w:t>engages in</w:t>
      </w:r>
      <w:r w:rsidR="00777A15" w:rsidRPr="002A2ECB">
        <w:t xml:space="preserve"> </w:t>
      </w:r>
      <w:r w:rsidRPr="002A2ECB">
        <w:t xml:space="preserve">sexual </w:t>
      </w:r>
      <w:r w:rsidR="00AA05B9" w:rsidRPr="002A2ECB">
        <w:t xml:space="preserve">conduct </w:t>
      </w:r>
      <w:r w:rsidR="00777A15" w:rsidRPr="002A2ECB">
        <w:t xml:space="preserve">which </w:t>
      </w:r>
      <w:r w:rsidR="00AA05B9" w:rsidRPr="002A2ECB">
        <w:t xml:space="preserve">is </w:t>
      </w:r>
      <w:r w:rsidR="00777A15" w:rsidRPr="002A2ECB">
        <w:t xml:space="preserve">in fact consensual </w:t>
      </w:r>
      <w:r w:rsidRPr="002A2ECB">
        <w:t xml:space="preserve">with a </w:t>
      </w:r>
      <w:r w:rsidR="00F420BE" w:rsidRPr="002A2ECB">
        <w:t>girl</w:t>
      </w:r>
      <w:r w:rsidRPr="002A2ECB">
        <w:t xml:space="preserve"> </w:t>
      </w:r>
      <w:r w:rsidR="00777A15" w:rsidRPr="002A2ECB">
        <w:t xml:space="preserve">who is actually </w:t>
      </w:r>
      <w:r w:rsidRPr="002A2ECB">
        <w:t xml:space="preserve">aged 13 </w:t>
      </w:r>
      <w:r w:rsidR="00AA05B9" w:rsidRPr="002A2ECB">
        <w:t xml:space="preserve">when he </w:t>
      </w:r>
      <w:r w:rsidRPr="002A2ECB">
        <w:t>honestly and reasonably believe</w:t>
      </w:r>
      <w:r w:rsidR="00AA05B9" w:rsidRPr="002A2ECB">
        <w:t>s</w:t>
      </w:r>
      <w:r w:rsidRPr="002A2ECB">
        <w:t xml:space="preserve"> </w:t>
      </w:r>
      <w:r w:rsidR="00AA05B9" w:rsidRPr="002A2ECB">
        <w:t xml:space="preserve">her to be </w:t>
      </w:r>
      <w:r w:rsidRPr="002A2ECB">
        <w:t>aged 16 or above.</w:t>
      </w:r>
      <w:r w:rsidR="00446481" w:rsidRPr="002A2ECB">
        <w:rPr>
          <w:rStyle w:val="FootnoteReference"/>
        </w:rPr>
        <w:footnoteReference w:id="2"/>
      </w:r>
    </w:p>
    <w:p w:rsidR="00AA05B9" w:rsidRPr="00C45E2F" w:rsidRDefault="00690943" w:rsidP="009F00A4">
      <w:pPr>
        <w:pStyle w:val="docmapheading"/>
      </w:pPr>
      <w:r w:rsidRPr="00C45E2F">
        <w:t>A.</w:t>
      </w:r>
      <w:r w:rsidRPr="00C45E2F">
        <w:tab/>
      </w:r>
      <w:r w:rsidR="00F420BE" w:rsidRPr="00C45E2F">
        <w:t>The facts</w:t>
      </w:r>
    </w:p>
    <w:p w:rsidR="008D735B" w:rsidRDefault="00DF3C5D" w:rsidP="00C45E2F">
      <w:pPr>
        <w:pStyle w:val="Bob1"/>
        <w:tabs>
          <w:tab w:val="clear" w:pos="720"/>
          <w:tab w:val="left" w:pos="1440"/>
        </w:tabs>
        <w:ind w:left="0" w:firstLine="0"/>
        <w:jc w:val="both"/>
      </w:pPr>
      <w:r w:rsidRPr="002A2ECB">
        <w:t>In August 2014, the appellant</w:t>
      </w:r>
      <w:r w:rsidR="00A36A11">
        <w:t xml:space="preserve">, then </w:t>
      </w:r>
      <w:r w:rsidR="00A36A11" w:rsidRPr="002A2ECB">
        <w:t>a third year university student aged 22</w:t>
      </w:r>
      <w:r w:rsidR="00A36A11">
        <w:t>,</w:t>
      </w:r>
      <w:r w:rsidRPr="002A2ECB">
        <w:t xml:space="preserve"> </w:t>
      </w:r>
      <w:r w:rsidR="00F420BE" w:rsidRPr="002A2ECB">
        <w:t>visited an adult website on which the girl (referred to throughout as “</w:t>
      </w:r>
      <w:r w:rsidR="00F420BE" w:rsidRPr="002A2ECB">
        <w:rPr>
          <w:u w:val="single"/>
        </w:rPr>
        <w:t>PW1</w:t>
      </w:r>
      <w:r w:rsidR="00F420BE" w:rsidRPr="002A2ECB">
        <w:t xml:space="preserve">”) had posted an advertisement, describing herself as aged 17 and offering sexual services at listed prices.  The appellant asked for, and received from her, a half-length photo of herself.  They arranged to meet and went to a guest house where they showered together and the appellant ran his hands over her body. </w:t>
      </w:r>
      <w:r w:rsidR="00566189">
        <w:t xml:space="preserve"> </w:t>
      </w:r>
      <w:r w:rsidR="00F420BE" w:rsidRPr="002A2ECB">
        <w:t>PW1 then performed oral sex on him.</w:t>
      </w:r>
    </w:p>
    <w:p w:rsidR="00F420BE" w:rsidRPr="002A2ECB" w:rsidRDefault="008D735B" w:rsidP="00C45E2F">
      <w:pPr>
        <w:pStyle w:val="Bob1"/>
        <w:tabs>
          <w:tab w:val="clear" w:pos="720"/>
          <w:tab w:val="left" w:pos="1440"/>
        </w:tabs>
        <w:ind w:left="0" w:firstLine="0"/>
        <w:jc w:val="both"/>
      </w:pPr>
      <w:r w:rsidRPr="002A2ECB">
        <w:t>The appellant testified that he thought that her photo was consistent with her being aged 17 and that</w:t>
      </w:r>
      <w:r w:rsidR="00325E1C" w:rsidRPr="002A2ECB">
        <w:t xml:space="preserve"> he believed that</w:t>
      </w:r>
      <w:r w:rsidRPr="002A2ECB">
        <w:t xml:space="preserve"> this was borne out when they </w:t>
      </w:r>
      <w:r w:rsidR="002C3523">
        <w:lastRenderedPageBreak/>
        <w:t xml:space="preserve">met, </w:t>
      </w:r>
      <w:r w:rsidRPr="002A2ECB">
        <w:t xml:space="preserve">PW1 appearing to him to </w:t>
      </w:r>
      <w:r w:rsidR="00E46827" w:rsidRPr="002A2ECB">
        <w:t xml:space="preserve">be </w:t>
      </w:r>
      <w:r w:rsidRPr="002A2ECB">
        <w:t>relatively tall, with well-developed bodily features</w:t>
      </w:r>
      <w:r w:rsidR="00E46827" w:rsidRPr="002A2ECB">
        <w:t>, and speaking in a mature manner</w:t>
      </w:r>
      <w:r w:rsidRPr="002A2ECB">
        <w:t xml:space="preserve">.  </w:t>
      </w:r>
      <w:r w:rsidR="00E46827" w:rsidRPr="002A2ECB">
        <w:t xml:space="preserve">He said that he did not suspect that she was </w:t>
      </w:r>
      <w:r w:rsidR="00E61BB1" w:rsidRPr="002A2ECB">
        <w:t xml:space="preserve">under 16.  </w:t>
      </w:r>
      <w:r w:rsidRPr="002A2ECB">
        <w:t>PW1 gave evidence that she would dress more maturely when meeting clients.</w:t>
      </w:r>
    </w:p>
    <w:p w:rsidR="008D735B" w:rsidRPr="002A2ECB" w:rsidRDefault="00690943" w:rsidP="009F00A4">
      <w:pPr>
        <w:pStyle w:val="docmapheading"/>
      </w:pPr>
      <w:r w:rsidRPr="002A2ECB">
        <w:t>B.</w:t>
      </w:r>
      <w:r w:rsidRPr="002A2ECB">
        <w:tab/>
      </w:r>
      <w:r w:rsidR="00E46827" w:rsidRPr="002A2ECB">
        <w:t xml:space="preserve">The magistrate’s decision </w:t>
      </w:r>
    </w:p>
    <w:p w:rsidR="00E61BB1" w:rsidRDefault="00690943" w:rsidP="00C45E2F">
      <w:pPr>
        <w:pStyle w:val="Bob1"/>
        <w:tabs>
          <w:tab w:val="clear" w:pos="720"/>
          <w:tab w:val="left" w:pos="1440"/>
        </w:tabs>
        <w:ind w:left="0" w:firstLine="0"/>
        <w:jc w:val="both"/>
      </w:pPr>
      <w:r w:rsidRPr="002A2ECB">
        <w:t>The deputy magistrate</w:t>
      </w:r>
      <w:r w:rsidR="005A5361" w:rsidRPr="002A2ECB">
        <w:t xml:space="preserve">, Mr </w:t>
      </w:r>
      <w:r w:rsidRPr="002A2ECB">
        <w:t xml:space="preserve">Peter </w:t>
      </w:r>
      <w:r w:rsidR="005A5361" w:rsidRPr="002A2ECB">
        <w:t>Hui Shiu-keung,</w:t>
      </w:r>
      <w:r w:rsidR="00E46827" w:rsidRPr="002A2ECB">
        <w:rPr>
          <w:rStyle w:val="FootnoteReference"/>
        </w:rPr>
        <w:footnoteReference w:id="3"/>
      </w:r>
      <w:r w:rsidR="00E46827" w:rsidRPr="002A2ECB">
        <w:t xml:space="preserve"> </w:t>
      </w:r>
      <w:r w:rsidR="00E61BB1" w:rsidRPr="002A2ECB">
        <w:t xml:space="preserve">rejected the prosecution’s submission that the offence was one of absolute liability and held, </w:t>
      </w:r>
      <w:r w:rsidR="00A77E9A" w:rsidRPr="002A2ECB">
        <w:t>following</w:t>
      </w:r>
      <w:r w:rsidR="00E61BB1" w:rsidRPr="002A2ECB">
        <w:t xml:space="preserve"> the House of Lords decision in </w:t>
      </w:r>
      <w:r w:rsidR="00E61BB1" w:rsidRPr="002A2ECB">
        <w:rPr>
          <w:i/>
        </w:rPr>
        <w:t>R v K</w:t>
      </w:r>
      <w:r w:rsidR="00E61BB1" w:rsidRPr="002A2ECB">
        <w:t>,</w:t>
      </w:r>
      <w:r w:rsidR="00E61BB1" w:rsidRPr="002A2ECB">
        <w:rPr>
          <w:rStyle w:val="FootnoteReference"/>
        </w:rPr>
        <w:footnoteReference w:id="4"/>
      </w:r>
      <w:r w:rsidR="00E61BB1" w:rsidRPr="002A2ECB">
        <w:rPr>
          <w:i/>
        </w:rPr>
        <w:t xml:space="preserve"> </w:t>
      </w:r>
      <w:r w:rsidR="00E61BB1" w:rsidRPr="002A2ECB">
        <w:t>that</w:t>
      </w:r>
      <w:r w:rsidR="007655EC" w:rsidRPr="002A2ECB">
        <w:t xml:space="preserve"> </w:t>
      </w:r>
      <w:r w:rsidR="00247D74" w:rsidRPr="002A2ECB">
        <w:t xml:space="preserve">where there </w:t>
      </w:r>
      <w:r w:rsidR="00853D13" w:rsidRPr="002A2ECB">
        <w:t>is</w:t>
      </w:r>
      <w:r w:rsidR="00247D74" w:rsidRPr="002A2ECB">
        <w:t xml:space="preserve"> actual consent, </w:t>
      </w:r>
      <w:r w:rsidR="00E61BB1" w:rsidRPr="002A2ECB">
        <w:t xml:space="preserve">an honest belief on the defendant’s part that the girl </w:t>
      </w:r>
      <w:r w:rsidR="00853D13" w:rsidRPr="002A2ECB">
        <w:t>is</w:t>
      </w:r>
      <w:r w:rsidR="00E61BB1" w:rsidRPr="002A2ECB">
        <w:t xml:space="preserve"> aged 16 or more </w:t>
      </w:r>
      <w:r w:rsidR="007655EC" w:rsidRPr="002A2ECB">
        <w:t>result</w:t>
      </w:r>
      <w:r w:rsidR="00853D13" w:rsidRPr="002A2ECB">
        <w:t>s</w:t>
      </w:r>
      <w:r w:rsidR="007655EC" w:rsidRPr="002A2ECB">
        <w:t xml:space="preserve"> in an acquittal.</w:t>
      </w:r>
    </w:p>
    <w:p w:rsidR="00C45E2F" w:rsidRDefault="007655EC" w:rsidP="00C45E2F">
      <w:pPr>
        <w:pStyle w:val="Bob1"/>
        <w:tabs>
          <w:tab w:val="clear" w:pos="720"/>
          <w:tab w:val="left" w:pos="1440"/>
        </w:tabs>
        <w:ind w:left="0" w:firstLine="0"/>
        <w:jc w:val="both"/>
      </w:pPr>
      <w:r w:rsidRPr="002A2ECB">
        <w:t xml:space="preserve">He </w:t>
      </w:r>
      <w:r w:rsidR="00E46827" w:rsidRPr="002A2ECB">
        <w:t>found that PW1 “really looked more mature than her actual age, and did not look like a 13-year old girl”</w:t>
      </w:r>
      <w:r w:rsidRPr="002A2ECB">
        <w:rPr>
          <w:rStyle w:val="FootnoteReference"/>
        </w:rPr>
        <w:footnoteReference w:id="5"/>
      </w:r>
      <w:r w:rsidR="00E46827" w:rsidRPr="002A2ECB">
        <w:t xml:space="preserve"> in the light “of her appearance, build and speaking tone</w:t>
      </w:r>
      <w:r w:rsidR="005A5361" w:rsidRPr="002A2ECB">
        <w:t>”</w:t>
      </w:r>
      <w:r w:rsidR="00E61BB1" w:rsidRPr="002A2ECB">
        <w:t>.</w:t>
      </w:r>
      <w:r w:rsidR="005A5361" w:rsidRPr="002A2ECB">
        <w:rPr>
          <w:rStyle w:val="FootnoteReference"/>
        </w:rPr>
        <w:footnoteReference w:id="6"/>
      </w:r>
      <w:r w:rsidR="00E61BB1" w:rsidRPr="002A2ECB">
        <w:t xml:space="preserve">  Taking account of </w:t>
      </w:r>
      <w:r w:rsidR="000C63DE" w:rsidRPr="002A2ECB">
        <w:t>PW1</w:t>
      </w:r>
      <w:r w:rsidR="00E61BB1" w:rsidRPr="002A2ECB">
        <w:t xml:space="preserve"> having claimed to be 17</w:t>
      </w:r>
      <w:r w:rsidR="00E46827" w:rsidRPr="002A2ECB">
        <w:t xml:space="preserve"> and her </w:t>
      </w:r>
      <w:r w:rsidR="00544D79" w:rsidRPr="002A2ECB">
        <w:t>“</w:t>
      </w:r>
      <w:r w:rsidR="00E46827" w:rsidRPr="002A2ECB">
        <w:t>deliberate attempt</w:t>
      </w:r>
      <w:r w:rsidR="00C40C61">
        <w:t xml:space="preserve"> to appear</w:t>
      </w:r>
      <w:r w:rsidR="00E46827" w:rsidRPr="002A2ECB">
        <w:t xml:space="preserve"> to be mature when meeting her clients”</w:t>
      </w:r>
      <w:r w:rsidR="00E61BB1" w:rsidRPr="002A2ECB">
        <w:t xml:space="preserve">, </w:t>
      </w:r>
      <w:r w:rsidRPr="002A2ECB">
        <w:t>t</w:t>
      </w:r>
      <w:r w:rsidR="00E61BB1" w:rsidRPr="002A2ECB">
        <w:t xml:space="preserve">he </w:t>
      </w:r>
      <w:r w:rsidRPr="002A2ECB">
        <w:t xml:space="preserve">magistrate </w:t>
      </w:r>
      <w:r w:rsidR="00E61BB1" w:rsidRPr="002A2ECB">
        <w:t>found that there was “no apparent reason that [the appellant] should have any suspicions about the age PW1 claimed”</w:t>
      </w:r>
      <w:r w:rsidR="005A5361" w:rsidRPr="002A2ECB">
        <w:rPr>
          <w:rStyle w:val="FootnoteReference"/>
        </w:rPr>
        <w:footnoteReference w:id="7"/>
      </w:r>
      <w:r w:rsidR="005A5361" w:rsidRPr="002A2ECB">
        <w:t xml:space="preserve"> and concluded that</w:t>
      </w:r>
      <w:r w:rsidR="00853D13" w:rsidRPr="002A2ECB">
        <w:t xml:space="preserve"> the appellant should be acquitted since</w:t>
      </w:r>
      <w:r w:rsidR="005A5361" w:rsidRPr="002A2ECB">
        <w:t xml:space="preserve"> “</w:t>
      </w:r>
      <w:r w:rsidR="005A5361" w:rsidRPr="00C45E2F">
        <w:rPr>
          <w:szCs w:val="28"/>
        </w:rPr>
        <w:t>the defence that the defendant honestly and reasonably believed that PW1 was aged 16 or above is not rebutted”</w:t>
      </w:r>
      <w:r w:rsidR="00C40C61">
        <w:rPr>
          <w:rStyle w:val="FootnoteReference"/>
          <w:szCs w:val="28"/>
        </w:rPr>
        <w:footnoteReference w:id="8"/>
      </w:r>
      <w:r w:rsidR="005A5361" w:rsidRPr="00C45E2F">
        <w:rPr>
          <w:szCs w:val="28"/>
        </w:rPr>
        <w:t>.</w:t>
      </w:r>
      <w:r w:rsidR="00E61BB1" w:rsidRPr="002A2ECB">
        <w:t xml:space="preserve">  </w:t>
      </w:r>
      <w:r w:rsidR="00E46827" w:rsidRPr="002A2ECB">
        <w:t xml:space="preserve"> </w:t>
      </w:r>
      <w:r w:rsidR="00690943" w:rsidRPr="002A2ECB">
        <w:t>The prosecution appealed by way of case stated.</w:t>
      </w:r>
    </w:p>
    <w:p w:rsidR="00C45E2F" w:rsidRDefault="00C45E2F" w:rsidP="00C45E2F">
      <w:r>
        <w:br w:type="page"/>
      </w:r>
    </w:p>
    <w:p w:rsidR="005A5361" w:rsidRPr="002A2ECB" w:rsidRDefault="00690943" w:rsidP="009F00A4">
      <w:pPr>
        <w:pStyle w:val="docmapheading"/>
      </w:pPr>
      <w:r w:rsidRPr="002A2ECB">
        <w:lastRenderedPageBreak/>
        <w:t>C.</w:t>
      </w:r>
      <w:r w:rsidRPr="002A2ECB">
        <w:tab/>
        <w:t xml:space="preserve">The Judge’s decision </w:t>
      </w:r>
    </w:p>
    <w:p w:rsidR="00690943" w:rsidRPr="002A2ECB" w:rsidRDefault="00D81D06" w:rsidP="00D5461D">
      <w:pPr>
        <w:pStyle w:val="Bob1"/>
        <w:tabs>
          <w:tab w:val="clear" w:pos="720"/>
          <w:tab w:val="left" w:pos="1440"/>
        </w:tabs>
        <w:ind w:left="0" w:firstLine="0"/>
        <w:jc w:val="both"/>
      </w:pPr>
      <w:r w:rsidRPr="002A2ECB">
        <w:t>The magistrate</w:t>
      </w:r>
      <w:r w:rsidR="000651C1" w:rsidRPr="002A2ECB">
        <w:t>’s ruling</w:t>
      </w:r>
      <w:r w:rsidRPr="002A2ECB">
        <w:t xml:space="preserve"> was reversed by Deputy High Court Judge Stanley Chan.</w:t>
      </w:r>
      <w:r w:rsidRPr="002A2ECB">
        <w:rPr>
          <w:rStyle w:val="FootnoteReference"/>
        </w:rPr>
        <w:footnoteReference w:id="9"/>
      </w:r>
      <w:r w:rsidR="00454E8A" w:rsidRPr="002A2ECB">
        <w:t xml:space="preserve"> He </w:t>
      </w:r>
      <w:r w:rsidRPr="002A2ECB">
        <w:t xml:space="preserve"> </w:t>
      </w:r>
      <w:r w:rsidR="00C55B0D" w:rsidRPr="002A2ECB">
        <w:t>relied</w:t>
      </w:r>
      <w:r w:rsidRPr="002A2ECB">
        <w:t xml:space="preserve"> </w:t>
      </w:r>
      <w:r w:rsidR="0078079D" w:rsidRPr="002A2ECB">
        <w:t xml:space="preserve">principally </w:t>
      </w:r>
      <w:r w:rsidR="00C55B0D" w:rsidRPr="002A2ECB">
        <w:t xml:space="preserve">on </w:t>
      </w:r>
      <w:r w:rsidRPr="002A2ECB">
        <w:t>the decisions of the Court of Appeal</w:t>
      </w:r>
      <w:r w:rsidRPr="002A2ECB">
        <w:rPr>
          <w:rStyle w:val="FootnoteReference"/>
        </w:rPr>
        <w:footnoteReference w:id="10"/>
      </w:r>
      <w:r w:rsidRPr="002A2ECB">
        <w:t xml:space="preserve"> and this Court</w:t>
      </w:r>
      <w:r w:rsidRPr="002A2ECB">
        <w:rPr>
          <w:rStyle w:val="FootnoteReference"/>
        </w:rPr>
        <w:footnoteReference w:id="11"/>
      </w:r>
      <w:r w:rsidRPr="002A2ECB">
        <w:t xml:space="preserve"> in </w:t>
      </w:r>
      <w:r w:rsidRPr="002A2ECB">
        <w:rPr>
          <w:i/>
        </w:rPr>
        <w:t>HKSAR v So Wai Lun</w:t>
      </w:r>
      <w:r w:rsidR="000651C1" w:rsidRPr="002A2ECB">
        <w:t xml:space="preserve"> (involving unlawful sexual intercourse with a girl under 16)</w:t>
      </w:r>
      <w:r w:rsidRPr="002A2ECB">
        <w:rPr>
          <w:rStyle w:val="FootnoteReference"/>
        </w:rPr>
        <w:footnoteReference w:id="12"/>
      </w:r>
      <w:r w:rsidRPr="002A2ECB">
        <w:t xml:space="preserve"> and held that</w:t>
      </w:r>
      <w:r w:rsidR="00454E8A" w:rsidRPr="002A2ECB">
        <w:t>, as a matter of necessary implication,</w:t>
      </w:r>
      <w:r w:rsidRPr="002A2ECB">
        <w:t xml:space="preserve"> the legislative intent was </w:t>
      </w:r>
      <w:r w:rsidR="00454E8A" w:rsidRPr="002A2ECB">
        <w:t xml:space="preserve">that </w:t>
      </w:r>
      <w:r w:rsidRPr="002A2ECB">
        <w:t xml:space="preserve">indecent assault </w:t>
      </w:r>
      <w:r w:rsidR="00454E8A" w:rsidRPr="002A2ECB">
        <w:t xml:space="preserve">should be </w:t>
      </w:r>
      <w:r w:rsidR="00FA3F48" w:rsidRPr="002A2ECB">
        <w:t xml:space="preserve">an </w:t>
      </w:r>
      <w:r w:rsidR="00454E8A" w:rsidRPr="002A2ECB">
        <w:t xml:space="preserve">offence </w:t>
      </w:r>
      <w:r w:rsidRPr="002A2ECB">
        <w:t>of absolute liability.</w:t>
      </w:r>
      <w:r w:rsidR="0078079D" w:rsidRPr="002A2ECB">
        <w:t xml:space="preserve">  The appellant therefore could not escape conviction on the basis of an honest and reasonable belief as to PW1’s age.  I shall return to consider in greater detail the arguments which led his Lordship to that conclusion.</w:t>
      </w:r>
    </w:p>
    <w:p w:rsidR="0078079D" w:rsidRPr="002A2ECB" w:rsidRDefault="0078079D" w:rsidP="009F00A4">
      <w:pPr>
        <w:pStyle w:val="docmapheading"/>
      </w:pPr>
      <w:r w:rsidRPr="002A2ECB">
        <w:t>D.</w:t>
      </w:r>
      <w:r w:rsidRPr="002A2ECB">
        <w:tab/>
        <w:t xml:space="preserve">Leave to appeal </w:t>
      </w:r>
    </w:p>
    <w:p w:rsidR="0078079D" w:rsidRPr="002A2ECB" w:rsidRDefault="0078079D" w:rsidP="00C45E2F">
      <w:pPr>
        <w:pStyle w:val="Bob1"/>
        <w:tabs>
          <w:tab w:val="clear" w:pos="720"/>
          <w:tab w:val="left" w:pos="1440"/>
        </w:tabs>
        <w:ind w:left="0" w:firstLine="0"/>
        <w:jc w:val="both"/>
      </w:pPr>
      <w:r w:rsidRPr="002A2ECB">
        <w:t>The Appeal Committee</w:t>
      </w:r>
      <w:r w:rsidRPr="002A2ECB">
        <w:rPr>
          <w:rStyle w:val="FootnoteReference"/>
        </w:rPr>
        <w:footnoteReference w:id="13"/>
      </w:r>
      <w:r w:rsidRPr="002A2ECB">
        <w:t xml:space="preserve"> granted leave to appeal, certifying the following questions of law as being of the requisite importance, namely:</w:t>
      </w:r>
    </w:p>
    <w:p w:rsidR="0078079D" w:rsidRPr="002A2ECB" w:rsidRDefault="0078079D" w:rsidP="00C45E2F">
      <w:pPr>
        <w:pStyle w:val="Bob1"/>
        <w:numPr>
          <w:ilvl w:val="2"/>
          <w:numId w:val="11"/>
        </w:numPr>
        <w:tabs>
          <w:tab w:val="clear" w:pos="2160"/>
          <w:tab w:val="num" w:pos="1440"/>
        </w:tabs>
        <w:spacing w:line="240" w:lineRule="auto"/>
        <w:ind w:left="1440"/>
        <w:jc w:val="both"/>
        <w:rPr>
          <w:sz w:val="24"/>
        </w:rPr>
      </w:pPr>
      <w:r w:rsidRPr="002A2ECB">
        <w:rPr>
          <w:sz w:val="24"/>
        </w:rPr>
        <w:t>Whether an offence contrary to s 122 (1) &amp; (2) of the Crimes Ordinance, Cap 200, taken together is an offence of absolute liability when the alleged victim is a person under 16 years of age.</w:t>
      </w:r>
    </w:p>
    <w:p w:rsidR="0078079D" w:rsidRPr="002A2ECB" w:rsidRDefault="0078079D" w:rsidP="00C45E2F">
      <w:pPr>
        <w:pStyle w:val="Bob1"/>
        <w:numPr>
          <w:ilvl w:val="2"/>
          <w:numId w:val="11"/>
        </w:numPr>
        <w:tabs>
          <w:tab w:val="clear" w:pos="2160"/>
          <w:tab w:val="num" w:pos="1440"/>
        </w:tabs>
        <w:spacing w:line="240" w:lineRule="auto"/>
        <w:ind w:left="1440"/>
        <w:jc w:val="both"/>
        <w:rPr>
          <w:sz w:val="24"/>
        </w:rPr>
      </w:pPr>
      <w:r w:rsidRPr="002A2ECB">
        <w:rPr>
          <w:sz w:val="24"/>
        </w:rPr>
        <w:t>Whether an accused charged under s 122 (1) with indecently assaulting a person who was under 16 years of age can legally put forward a defence that the person in fact consented and the accused genuinely believed that he/she was 16 years of age or over.</w:t>
      </w:r>
    </w:p>
    <w:p w:rsidR="00C45E2F" w:rsidRDefault="0078079D" w:rsidP="00C45E2F">
      <w:pPr>
        <w:pStyle w:val="Bob1"/>
        <w:numPr>
          <w:ilvl w:val="2"/>
          <w:numId w:val="11"/>
        </w:numPr>
        <w:tabs>
          <w:tab w:val="clear" w:pos="2160"/>
          <w:tab w:val="num" w:pos="1440"/>
        </w:tabs>
        <w:spacing w:line="240" w:lineRule="auto"/>
        <w:ind w:left="1440"/>
        <w:jc w:val="both"/>
        <w:rPr>
          <w:sz w:val="24"/>
        </w:rPr>
      </w:pPr>
      <w:r w:rsidRPr="002A2ECB">
        <w:rPr>
          <w:sz w:val="24"/>
        </w:rPr>
        <w:t>Whether in a prosecution under s 122 (1) where the alleged victim is a person under 16 years of age the prosecution is required to prove absence of genuine belief on the part of the accused that the person was 16 years of age or over.</w:t>
      </w:r>
    </w:p>
    <w:p w:rsidR="00C45E2F" w:rsidRDefault="00C45E2F" w:rsidP="00C45E2F">
      <w:r>
        <w:br w:type="page"/>
      </w:r>
    </w:p>
    <w:p w:rsidR="0078079D" w:rsidRPr="002A2ECB" w:rsidRDefault="006E68F6" w:rsidP="009F00A4">
      <w:pPr>
        <w:pStyle w:val="docmapheading"/>
      </w:pPr>
      <w:r w:rsidRPr="002A2ECB">
        <w:lastRenderedPageBreak/>
        <w:t>E.</w:t>
      </w:r>
      <w:r w:rsidRPr="002A2ECB">
        <w:tab/>
      </w:r>
      <w:r w:rsidR="00FF6627">
        <w:t>D</w:t>
      </w:r>
      <w:r w:rsidRPr="002A2ECB">
        <w:t xml:space="preserve">etermining </w:t>
      </w:r>
      <w:r w:rsidR="0054771A" w:rsidRPr="002A2ECB">
        <w:t xml:space="preserve">the mental elements of a statutory offence </w:t>
      </w:r>
    </w:p>
    <w:p w:rsidR="006E68F6" w:rsidRDefault="00544D79" w:rsidP="00C45E2F">
      <w:pPr>
        <w:pStyle w:val="Bob1"/>
        <w:tabs>
          <w:tab w:val="clear" w:pos="720"/>
          <w:tab w:val="left" w:pos="1440"/>
        </w:tabs>
        <w:ind w:left="0" w:firstLine="0"/>
        <w:jc w:val="both"/>
      </w:pPr>
      <w:r w:rsidRPr="002A2ECB">
        <w:t xml:space="preserve">Those questions </w:t>
      </w:r>
      <w:r w:rsidR="00EF4168" w:rsidRPr="002A2ECB">
        <w:t>fall to</w:t>
      </w:r>
      <w:r w:rsidRPr="002A2ECB">
        <w:t xml:space="preserve"> be answered in the light of </w:t>
      </w:r>
      <w:r w:rsidR="00787352" w:rsidRPr="002A2ECB">
        <w:t>significant</w:t>
      </w:r>
      <w:r w:rsidRPr="002A2ECB">
        <w:t xml:space="preserve"> developments in this jurisdiction </w:t>
      </w:r>
      <w:r w:rsidR="00EF4168" w:rsidRPr="002A2ECB">
        <w:t xml:space="preserve">within the last decade </w:t>
      </w:r>
      <w:r w:rsidRPr="002A2ECB">
        <w:t>as to how</w:t>
      </w:r>
      <w:r w:rsidR="003A2455" w:rsidRPr="002A2ECB">
        <w:t xml:space="preserve"> the mental elements of</w:t>
      </w:r>
      <w:r w:rsidR="00604F37" w:rsidRPr="002A2ECB">
        <w:t xml:space="preserve"> a statutory offence </w:t>
      </w:r>
      <w:r w:rsidR="003A2455" w:rsidRPr="002A2ECB">
        <w:t>are</w:t>
      </w:r>
      <w:r w:rsidRPr="002A2ECB">
        <w:t xml:space="preserve"> to be determined</w:t>
      </w:r>
      <w:r w:rsidR="003A2455" w:rsidRPr="002A2ECB">
        <w:t xml:space="preserve"> and</w:t>
      </w:r>
      <w:r w:rsidR="00B63064" w:rsidRPr="002A2ECB">
        <w:t>,</w:t>
      </w:r>
      <w:r w:rsidR="003A2455" w:rsidRPr="002A2ECB">
        <w:t xml:space="preserve"> in particular</w:t>
      </w:r>
      <w:r w:rsidR="00EF4168" w:rsidRPr="002A2ECB">
        <w:t xml:space="preserve">, as to when </w:t>
      </w:r>
      <w:r w:rsidR="007F1F40">
        <w:t xml:space="preserve">such </w:t>
      </w:r>
      <w:r w:rsidR="00EF4168" w:rsidRPr="002A2ECB">
        <w:t xml:space="preserve">an </w:t>
      </w:r>
      <w:r w:rsidR="003A2455" w:rsidRPr="002A2ECB">
        <w:t xml:space="preserve">offence </w:t>
      </w:r>
      <w:r w:rsidR="00604F37" w:rsidRPr="002A2ECB">
        <w:t xml:space="preserve">is </w:t>
      </w:r>
      <w:r w:rsidR="00EF4168" w:rsidRPr="002A2ECB">
        <w:t xml:space="preserve">to be treated as </w:t>
      </w:r>
      <w:r w:rsidR="00604F37" w:rsidRPr="002A2ECB">
        <w:t>one of absolute liability</w:t>
      </w:r>
      <w:r w:rsidRPr="002A2ECB">
        <w:t xml:space="preserve">.  </w:t>
      </w:r>
    </w:p>
    <w:p w:rsidR="007950AD" w:rsidRDefault="00325E1C" w:rsidP="00C45E2F">
      <w:pPr>
        <w:pStyle w:val="Bob1"/>
        <w:tabs>
          <w:tab w:val="clear" w:pos="720"/>
          <w:tab w:val="left" w:pos="1440"/>
        </w:tabs>
        <w:ind w:left="0" w:firstLine="0"/>
        <w:jc w:val="both"/>
      </w:pPr>
      <w:r w:rsidRPr="002A2ECB">
        <w:t>T</w:t>
      </w:r>
      <w:r w:rsidR="003A2455" w:rsidRPr="002A2ECB">
        <w:t xml:space="preserve">he </w:t>
      </w:r>
      <w:r w:rsidR="00874A77" w:rsidRPr="002A2ECB">
        <w:t xml:space="preserve">absolute liability approach </w:t>
      </w:r>
      <w:r w:rsidR="00EF4168" w:rsidRPr="002A2ECB">
        <w:t xml:space="preserve">to age-related sexual offences </w:t>
      </w:r>
      <w:r w:rsidR="0047068A" w:rsidRPr="002A2ECB">
        <w:t>illustrated by</w:t>
      </w:r>
      <w:r w:rsidR="00874A77" w:rsidRPr="002A2ECB">
        <w:t xml:space="preserve"> </w:t>
      </w:r>
      <w:r w:rsidR="00D04602" w:rsidRPr="002A2ECB">
        <w:t xml:space="preserve">nineteenth century </w:t>
      </w:r>
      <w:r w:rsidR="008C7186">
        <w:t xml:space="preserve">English </w:t>
      </w:r>
      <w:r w:rsidR="00874A77" w:rsidRPr="002A2ECB">
        <w:t xml:space="preserve">cases like </w:t>
      </w:r>
      <w:r w:rsidR="00874A77" w:rsidRPr="00C45E2F">
        <w:rPr>
          <w:i/>
        </w:rPr>
        <w:t>R v Prince</w:t>
      </w:r>
      <w:r w:rsidR="00874A77" w:rsidRPr="002A2ECB">
        <w:t>,</w:t>
      </w:r>
      <w:r w:rsidR="00874A77" w:rsidRPr="002A2ECB">
        <w:rPr>
          <w:rStyle w:val="FootnoteReference"/>
        </w:rPr>
        <w:footnoteReference w:id="14"/>
      </w:r>
      <w:r w:rsidR="00EF4168" w:rsidRPr="002A2ECB">
        <w:t xml:space="preserve"> had</w:t>
      </w:r>
      <w:r w:rsidR="00874A77" w:rsidRPr="002A2ECB">
        <w:t xml:space="preserve"> </w:t>
      </w:r>
      <w:r w:rsidRPr="002A2ECB">
        <w:t xml:space="preserve">previously </w:t>
      </w:r>
      <w:r w:rsidR="00EF4168" w:rsidRPr="002A2ECB">
        <w:t>held sway.</w:t>
      </w:r>
      <w:r w:rsidR="00874A77" w:rsidRPr="002A2ECB">
        <w:t xml:space="preserve">  </w:t>
      </w:r>
      <w:r w:rsidR="0047068A" w:rsidRPr="002A2ECB">
        <w:t xml:space="preserve">Thus, in </w:t>
      </w:r>
      <w:r w:rsidR="0047068A" w:rsidRPr="00C45E2F">
        <w:rPr>
          <w:i/>
        </w:rPr>
        <w:t>Prince</w:t>
      </w:r>
      <w:r w:rsidR="0047068A" w:rsidRPr="002A2ECB">
        <w:t>,</w:t>
      </w:r>
      <w:r w:rsidR="00874A77" w:rsidRPr="002A2ECB">
        <w:t xml:space="preserve"> a statute made it an offence unlawfully to take an unmarried girl under the age of sixteen out of the possession and against the will of her father</w:t>
      </w:r>
      <w:r w:rsidR="00EF4168" w:rsidRPr="002A2ECB">
        <w:t xml:space="preserve"> but was</w:t>
      </w:r>
      <w:r w:rsidR="00874A77" w:rsidRPr="002A2ECB">
        <w:t xml:space="preserve"> silent as to the defendant’s </w:t>
      </w:r>
      <w:r w:rsidR="00EF4168" w:rsidRPr="002A2ECB">
        <w:t xml:space="preserve">required </w:t>
      </w:r>
      <w:r w:rsidR="00874A77" w:rsidRPr="002A2ECB">
        <w:t>mental state regarding her age</w:t>
      </w:r>
      <w:r w:rsidR="00EF4168" w:rsidRPr="002A2ECB">
        <w:t xml:space="preserve">.  </w:t>
      </w:r>
      <w:r w:rsidR="009A6629" w:rsidRPr="002A2ECB">
        <w:t>T</w:t>
      </w:r>
      <w:r w:rsidR="00874A77" w:rsidRPr="002A2ECB">
        <w:t xml:space="preserve">he </w:t>
      </w:r>
      <w:r w:rsidR="00787352" w:rsidRPr="002A2ECB">
        <w:t>defendant was</w:t>
      </w:r>
      <w:r w:rsidR="00223467" w:rsidRPr="002A2ECB">
        <w:t xml:space="preserve"> convicted although </w:t>
      </w:r>
      <w:r w:rsidR="00787352" w:rsidRPr="002A2ECB">
        <w:t xml:space="preserve">the jury </w:t>
      </w:r>
      <w:r w:rsidR="00874A77" w:rsidRPr="002A2ECB">
        <w:t xml:space="preserve">found that </w:t>
      </w:r>
      <w:r w:rsidR="0047068A" w:rsidRPr="002A2ECB">
        <w:t>he “</w:t>
      </w:r>
      <w:r w:rsidR="00874A77" w:rsidRPr="002A2ECB">
        <w:t>bonâ fide, and on reasonable grounds, believed that she was above sixteen, viz, eighteen years old.”</w:t>
      </w:r>
      <w:r w:rsidR="00874A77" w:rsidRPr="002A2ECB">
        <w:rPr>
          <w:rStyle w:val="FootnoteReference"/>
        </w:rPr>
        <w:footnoteReference w:id="15"/>
      </w:r>
      <w:r w:rsidR="00874A77" w:rsidRPr="002A2ECB">
        <w:t xml:space="preserve">  </w:t>
      </w:r>
      <w:r w:rsidR="008F2DB4" w:rsidRPr="002A2ECB">
        <w:t>T</w:t>
      </w:r>
      <w:r w:rsidR="000E4604" w:rsidRPr="002A2ECB">
        <w:t>his was upheld by a Court consisting of 16 judges</w:t>
      </w:r>
      <w:r w:rsidR="000E4604" w:rsidRPr="002A2ECB">
        <w:rPr>
          <w:rStyle w:val="FootnoteReference"/>
        </w:rPr>
        <w:footnoteReference w:id="16"/>
      </w:r>
      <w:r w:rsidR="000E4604" w:rsidRPr="002A2ECB">
        <w:t xml:space="preserve"> with Bramwell B, who wrote one of the main judgments, commenting that to </w:t>
      </w:r>
      <w:r w:rsidR="0047068A" w:rsidRPr="002A2ECB">
        <w:t xml:space="preserve">require proof of mens rea in respect of her age </w:t>
      </w:r>
      <w:r w:rsidR="000E4604" w:rsidRPr="002A2ECB">
        <w:t>would mean</w:t>
      </w:r>
      <w:r w:rsidR="0047068A" w:rsidRPr="002A2ECB">
        <w:t xml:space="preserve"> “reading the statute with some strange words introduced; as thus: ‘Whosoever shall take any unmarried girl, being under the age of sixteen, and not believing her to be over the age of sixteen, out of the possession’, &amp;c”</w:t>
      </w:r>
      <w:r w:rsidR="00C40C61">
        <w:rPr>
          <w:rStyle w:val="FootnoteReference"/>
        </w:rPr>
        <w:footnoteReference w:id="17"/>
      </w:r>
      <w:r w:rsidR="0047068A" w:rsidRPr="002A2ECB">
        <w:t xml:space="preserve">.  </w:t>
      </w:r>
      <w:r w:rsidR="007950AD" w:rsidRPr="002A2ECB">
        <w:t xml:space="preserve">Such a construction of the </w:t>
      </w:r>
      <w:r w:rsidR="000E4604" w:rsidRPr="002A2ECB">
        <w:t>Act</w:t>
      </w:r>
      <w:r w:rsidR="007950AD" w:rsidRPr="002A2ECB">
        <w:t xml:space="preserve"> was rejected</w:t>
      </w:r>
      <w:r w:rsidR="0047068A" w:rsidRPr="002A2ECB">
        <w:t>.</w:t>
      </w:r>
      <w:r w:rsidR="00EF4168" w:rsidRPr="002A2ECB">
        <w:t xml:space="preserve">  </w:t>
      </w:r>
    </w:p>
    <w:p w:rsidR="00874A77" w:rsidRDefault="00EF4168" w:rsidP="00C45E2F">
      <w:pPr>
        <w:pStyle w:val="Bob1"/>
        <w:tabs>
          <w:tab w:val="clear" w:pos="720"/>
          <w:tab w:val="left" w:pos="1440"/>
        </w:tabs>
        <w:ind w:left="0" w:firstLine="0"/>
        <w:jc w:val="both"/>
      </w:pPr>
      <w:r w:rsidRPr="002A2ECB">
        <w:t>That approach was applied in Hong Kong</w:t>
      </w:r>
      <w:r w:rsidR="00D04602" w:rsidRPr="002A2ECB">
        <w:t>, as is evident from</w:t>
      </w:r>
      <w:r w:rsidR="000E4604" w:rsidRPr="002A2ECB">
        <w:t xml:space="preserve"> cases decided </w:t>
      </w:r>
      <w:r w:rsidRPr="002A2ECB">
        <w:t xml:space="preserve">by the Court of Appeal </w:t>
      </w:r>
      <w:r w:rsidR="007950AD" w:rsidRPr="002A2ECB">
        <w:t xml:space="preserve">as late as </w:t>
      </w:r>
      <w:r w:rsidR="000E4604" w:rsidRPr="002A2ECB">
        <w:t>in 1993 and 1997.</w:t>
      </w:r>
      <w:r w:rsidRPr="002A2ECB">
        <w:rPr>
          <w:rStyle w:val="FootnoteReference"/>
          <w:rFonts w:eastAsia="等线"/>
          <w:szCs w:val="28"/>
          <w:lang w:eastAsia="zh-CN"/>
        </w:rPr>
        <w:footnoteReference w:id="18"/>
      </w:r>
      <w:r w:rsidR="007950AD" w:rsidRPr="002A2ECB">
        <w:t xml:space="preserve">  However, in </w:t>
      </w:r>
      <w:r w:rsidR="007950AD" w:rsidRPr="00C45E2F">
        <w:rPr>
          <w:i/>
        </w:rPr>
        <w:lastRenderedPageBreak/>
        <w:t>HKSAR v So Wai Lun</w:t>
      </w:r>
      <w:r w:rsidR="007950AD" w:rsidRPr="002A2ECB">
        <w:t>,</w:t>
      </w:r>
      <w:r w:rsidR="007950AD" w:rsidRPr="002A2ECB">
        <w:rPr>
          <w:rStyle w:val="FootnoteReference"/>
        </w:rPr>
        <w:footnoteReference w:id="19"/>
      </w:r>
      <w:r w:rsidR="007950AD" w:rsidRPr="002A2ECB">
        <w:t xml:space="preserve"> Ma CJHC (as the Chief Justice then was) </w:t>
      </w:r>
      <w:r w:rsidR="00B0196C" w:rsidRPr="002A2ECB">
        <w:t>observed</w:t>
      </w:r>
      <w:r w:rsidR="007950AD" w:rsidRPr="002A2ECB">
        <w:t xml:space="preserve"> that in the light of more </w:t>
      </w:r>
      <w:r w:rsidR="00C3733D" w:rsidRPr="002A2ECB">
        <w:t>modern</w:t>
      </w:r>
      <w:r w:rsidR="007950AD" w:rsidRPr="002A2ECB">
        <w:t xml:space="preserve"> decisions</w:t>
      </w:r>
      <w:r w:rsidR="0098046F" w:rsidRPr="002A2ECB">
        <w:t>,</w:t>
      </w:r>
      <w:r w:rsidR="00C3733D" w:rsidRPr="002A2ECB">
        <w:rPr>
          <w:rStyle w:val="FootnoteReference"/>
          <w:rFonts w:eastAsia="等线"/>
          <w:szCs w:val="28"/>
          <w:lang w:eastAsia="zh-CN"/>
        </w:rPr>
        <w:footnoteReference w:id="20"/>
      </w:r>
      <w:r w:rsidR="007950AD" w:rsidRPr="002A2ECB">
        <w:t xml:space="preserve"> </w:t>
      </w:r>
      <w:r w:rsidR="007950AD" w:rsidRPr="00C45E2F">
        <w:rPr>
          <w:i/>
        </w:rPr>
        <w:t>Prince</w:t>
      </w:r>
      <w:r w:rsidR="007950AD" w:rsidRPr="002A2ECB">
        <w:t xml:space="preserve"> had been “largely discredited and all but overruled by the House of Lords” and</w:t>
      </w:r>
      <w:r w:rsidR="00B0196C" w:rsidRPr="002A2ECB">
        <w:t xml:space="preserve"> held</w:t>
      </w:r>
      <w:r w:rsidR="007950AD" w:rsidRPr="002A2ECB">
        <w:t xml:space="preserve"> that the</w:t>
      </w:r>
      <w:r w:rsidR="0098046F" w:rsidRPr="002A2ECB">
        <w:t xml:space="preserve"> abovementioned</w:t>
      </w:r>
      <w:r w:rsidR="007950AD" w:rsidRPr="002A2ECB">
        <w:t xml:space="preserve"> Court of Appeal decisions had to be regarded as of “extremely dubious” authority.</w:t>
      </w:r>
    </w:p>
    <w:p w:rsidR="003A2455" w:rsidRDefault="0098046F" w:rsidP="00C45E2F">
      <w:pPr>
        <w:pStyle w:val="Bob1"/>
        <w:tabs>
          <w:tab w:val="clear" w:pos="720"/>
          <w:tab w:val="left" w:pos="1440"/>
        </w:tabs>
        <w:ind w:left="0" w:firstLine="0"/>
        <w:jc w:val="both"/>
      </w:pPr>
      <w:r w:rsidRPr="002A2ECB">
        <w:t>As Ma CJHC noted,</w:t>
      </w:r>
      <w:r w:rsidRPr="002A2ECB">
        <w:rPr>
          <w:rStyle w:val="FootnoteReference"/>
        </w:rPr>
        <w:footnoteReference w:id="21"/>
      </w:r>
      <w:r w:rsidRPr="002A2ECB">
        <w:t xml:space="preserve"> i</w:t>
      </w:r>
      <w:r w:rsidR="008F2DB4" w:rsidRPr="002A2ECB">
        <w:t>nstead of demanding a justification for reading in a mens rea requirement, t</w:t>
      </w:r>
      <w:r w:rsidR="0047068A" w:rsidRPr="002A2ECB">
        <w:t xml:space="preserve">he modern </w:t>
      </w:r>
      <w:r w:rsidR="003A2455" w:rsidRPr="002A2ECB">
        <w:t xml:space="preserve">starting-point is </w:t>
      </w:r>
      <w:r w:rsidR="008F2DB4" w:rsidRPr="002A2ECB">
        <w:t xml:space="preserve">that </w:t>
      </w:r>
      <w:r w:rsidR="004818B3" w:rsidRPr="002A2ECB">
        <w:t>mens rea</w:t>
      </w:r>
      <w:r w:rsidR="008F2DB4" w:rsidRPr="002A2ECB">
        <w:t xml:space="preserve"> is presumed to be an essential ingredient where the statute is silent</w:t>
      </w:r>
      <w:r w:rsidR="007950AD" w:rsidRPr="002A2ECB">
        <w:t xml:space="preserve"> on the mental element</w:t>
      </w:r>
      <w:r w:rsidR="00C3733D" w:rsidRPr="002A2ECB">
        <w:t xml:space="preserve"> unless that presumption is displaced expressly or by necessary implication.</w:t>
      </w:r>
      <w:r w:rsidR="00C3733D" w:rsidRPr="002A2ECB">
        <w:rPr>
          <w:rStyle w:val="FootnoteReference"/>
        </w:rPr>
        <w:footnoteReference w:id="22"/>
      </w:r>
      <w:r w:rsidR="008F2DB4" w:rsidRPr="002A2ECB">
        <w:t xml:space="preserve"> </w:t>
      </w:r>
    </w:p>
    <w:p w:rsidR="004503D3" w:rsidRDefault="00CE2C63" w:rsidP="00C45E2F">
      <w:pPr>
        <w:pStyle w:val="Bob1"/>
        <w:tabs>
          <w:tab w:val="clear" w:pos="720"/>
          <w:tab w:val="left" w:pos="1440"/>
        </w:tabs>
        <w:ind w:left="0" w:firstLine="0"/>
        <w:jc w:val="both"/>
      </w:pPr>
      <w:r w:rsidRPr="002A2ECB">
        <w:t>T</w:t>
      </w:r>
      <w:r w:rsidR="0040498A" w:rsidRPr="002A2ECB">
        <w:t>h</w:t>
      </w:r>
      <w:r w:rsidR="00D04602" w:rsidRPr="002A2ECB">
        <w:t>e</w:t>
      </w:r>
      <w:r w:rsidRPr="002A2ECB">
        <w:t xml:space="preserve"> </w:t>
      </w:r>
      <w:r w:rsidR="00D04602" w:rsidRPr="002A2ECB">
        <w:t xml:space="preserve">presumption of mens rea </w:t>
      </w:r>
      <w:r w:rsidR="004503D3" w:rsidRPr="002A2ECB">
        <w:t xml:space="preserve">flows from recognition that it is a </w:t>
      </w:r>
      <w:r w:rsidR="00D04602" w:rsidRPr="002A2ECB">
        <w:t xml:space="preserve">cardinal </w:t>
      </w:r>
      <w:r w:rsidR="004503D3" w:rsidRPr="002A2ECB">
        <w:t xml:space="preserve">principle of our criminal law that mens rea, involving the intentional or knowing performance of prohibited conduct, is ordinarily an essential ingredient </w:t>
      </w:r>
      <w:r w:rsidR="0040498A" w:rsidRPr="002A2ECB">
        <w:t>of guilt of a criminal offence.</w:t>
      </w:r>
      <w:r w:rsidR="004503D3" w:rsidRPr="002A2ECB">
        <w:t xml:space="preserve"> </w:t>
      </w:r>
      <w:r w:rsidR="00A626AF">
        <w:t xml:space="preserve"> The law therefore assumes that</w:t>
      </w:r>
      <w:r w:rsidR="0040498A" w:rsidRPr="002A2ECB">
        <w:t xml:space="preserve"> in creating a statutory offence, the </w:t>
      </w:r>
      <w:r w:rsidR="00787352" w:rsidRPr="002A2ECB">
        <w:t>legislature</w:t>
      </w:r>
      <w:r w:rsidR="00977CF3" w:rsidRPr="002A2ECB">
        <w:t xml:space="preserve"> does</w:t>
      </w:r>
      <w:r w:rsidR="00F92559" w:rsidRPr="002A2ECB">
        <w:t xml:space="preserve"> not </w:t>
      </w:r>
      <w:r w:rsidR="00977CF3" w:rsidRPr="002A2ECB">
        <w:t xml:space="preserve">intend </w:t>
      </w:r>
      <w:r w:rsidR="0040498A" w:rsidRPr="002A2ECB">
        <w:t xml:space="preserve">to dispense with that basic principle unless </w:t>
      </w:r>
      <w:r w:rsidR="00F92559" w:rsidRPr="002A2ECB">
        <w:t xml:space="preserve">the enactment </w:t>
      </w:r>
      <w:r w:rsidR="009A6629" w:rsidRPr="002A2ECB">
        <w:t xml:space="preserve">does so </w:t>
      </w:r>
      <w:r w:rsidR="0040498A" w:rsidRPr="002A2ECB">
        <w:t xml:space="preserve">expressly or by necessary implication.  This has been </w:t>
      </w:r>
      <w:r w:rsidR="009A6629" w:rsidRPr="002A2ECB">
        <w:t>said to reflect</w:t>
      </w:r>
      <w:r w:rsidR="0040498A" w:rsidRPr="002A2ECB">
        <w:t xml:space="preserve"> the principle of legality</w:t>
      </w:r>
      <w:r w:rsidR="0040498A" w:rsidRPr="002A2ECB">
        <w:rPr>
          <w:rStyle w:val="FootnoteReference"/>
        </w:rPr>
        <w:footnoteReference w:id="23"/>
      </w:r>
      <w:r w:rsidR="0024357B" w:rsidRPr="002A2ECB">
        <w:t xml:space="preserve"> or </w:t>
      </w:r>
      <w:r w:rsidR="009A6629" w:rsidRPr="002A2ECB">
        <w:t>to be</w:t>
      </w:r>
      <w:r w:rsidR="0024357B" w:rsidRPr="002A2ECB">
        <w:t xml:space="preserve"> a principle of </w:t>
      </w:r>
      <w:r w:rsidR="0024357B" w:rsidRPr="002A2ECB">
        <w:lastRenderedPageBreak/>
        <w:t>statutory interpretation whereby any ambiguity in a penal statute is resolved in favour of the accused.</w:t>
      </w:r>
      <w:r w:rsidR="0024357B" w:rsidRPr="002A2ECB">
        <w:rPr>
          <w:rStyle w:val="FootnoteReference"/>
        </w:rPr>
        <w:footnoteReference w:id="24"/>
      </w:r>
    </w:p>
    <w:p w:rsidR="00F92559" w:rsidRPr="00C45E2F" w:rsidRDefault="00F92559" w:rsidP="00C45E2F">
      <w:pPr>
        <w:pStyle w:val="Bob1"/>
        <w:tabs>
          <w:tab w:val="clear" w:pos="720"/>
          <w:tab w:val="left" w:pos="1440"/>
        </w:tabs>
        <w:ind w:left="0" w:firstLine="0"/>
        <w:jc w:val="both"/>
      </w:pPr>
      <w:r w:rsidRPr="002A2ECB">
        <w:t>The major developments in this jurisdiction relate to cases where the presumption of mens rea is held to be dis</w:t>
      </w:r>
      <w:r w:rsidR="008C7186">
        <w:t>lodged</w:t>
      </w:r>
      <w:r w:rsidRPr="002A2ECB">
        <w:t xml:space="preserve">.  As this Court concluded in </w:t>
      </w:r>
      <w:r w:rsidRPr="00C45E2F">
        <w:rPr>
          <w:rFonts w:eastAsia="宋体"/>
          <w:i/>
          <w:szCs w:val="28"/>
          <w:lang w:eastAsia="zh-CN"/>
        </w:rPr>
        <w:t>Hin Lin Yee v HKSAR</w:t>
      </w:r>
      <w:r w:rsidRPr="00C45E2F">
        <w:rPr>
          <w:rFonts w:eastAsia="宋体"/>
          <w:szCs w:val="28"/>
          <w:lang w:eastAsia="zh-CN"/>
        </w:rPr>
        <w:t>,</w:t>
      </w:r>
      <w:r w:rsidRPr="002A2ECB">
        <w:rPr>
          <w:rStyle w:val="FootnoteReference"/>
          <w:rFonts w:eastAsia="宋体"/>
          <w:szCs w:val="28"/>
          <w:lang w:eastAsia="zh-CN"/>
        </w:rPr>
        <w:footnoteReference w:id="25"/>
      </w:r>
      <w:r w:rsidRPr="00C45E2F">
        <w:rPr>
          <w:rFonts w:eastAsia="宋体"/>
          <w:szCs w:val="28"/>
          <w:lang w:eastAsia="zh-CN"/>
        </w:rPr>
        <w:t xml:space="preserve"> it becomes necessary in such </w:t>
      </w:r>
      <w:r w:rsidR="00CB5F62" w:rsidRPr="00C45E2F">
        <w:rPr>
          <w:rFonts w:eastAsia="宋体"/>
          <w:szCs w:val="28"/>
          <w:lang w:eastAsia="zh-CN"/>
        </w:rPr>
        <w:t>event</w:t>
      </w:r>
      <w:r w:rsidRPr="00C45E2F">
        <w:rPr>
          <w:rFonts w:eastAsia="宋体"/>
          <w:szCs w:val="28"/>
          <w:lang w:eastAsia="zh-CN"/>
        </w:rPr>
        <w:t xml:space="preserve"> to ask: “</w:t>
      </w:r>
      <w:r w:rsidRPr="00C45E2F">
        <w:rPr>
          <w:szCs w:val="28"/>
        </w:rPr>
        <w:t xml:space="preserve">By what, if any, mental requirement is the supplanted requirement of </w:t>
      </w:r>
      <w:r w:rsidRPr="00C45E2F">
        <w:rPr>
          <w:iCs/>
          <w:szCs w:val="28"/>
        </w:rPr>
        <w:t>mens rea</w:t>
      </w:r>
      <w:r w:rsidRPr="00C45E2F">
        <w:rPr>
          <w:szCs w:val="28"/>
        </w:rPr>
        <w:t xml:space="preserve"> to be replaced?”  </w:t>
      </w:r>
    </w:p>
    <w:p w:rsidR="00F92559" w:rsidRPr="00C45E2F" w:rsidRDefault="00F92559" w:rsidP="00C45E2F">
      <w:pPr>
        <w:pStyle w:val="Bob1"/>
        <w:tabs>
          <w:tab w:val="clear" w:pos="720"/>
          <w:tab w:val="left" w:pos="1440"/>
        </w:tabs>
        <w:ind w:left="0" w:firstLine="0"/>
        <w:jc w:val="both"/>
      </w:pPr>
      <w:r w:rsidRPr="002A2ECB">
        <w:t>The English approach</w:t>
      </w:r>
      <w:r w:rsidR="009762A7" w:rsidRPr="002A2ECB">
        <w:t xml:space="preserve"> (previously followed in Hong Kong) </w:t>
      </w:r>
      <w:r w:rsidR="00D04602" w:rsidRPr="002A2ECB">
        <w:t>prese</w:t>
      </w:r>
      <w:r w:rsidR="00CB5F62" w:rsidRPr="002A2ECB">
        <w:t>n</w:t>
      </w:r>
      <w:r w:rsidR="00D04602" w:rsidRPr="002A2ECB">
        <w:t>ts</w:t>
      </w:r>
      <w:r w:rsidRPr="002A2ECB">
        <w:t xml:space="preserve"> a stark choice between construing </w:t>
      </w:r>
      <w:r w:rsidR="00FA7872" w:rsidRPr="002A2ECB">
        <w:t xml:space="preserve">the statute as requiring </w:t>
      </w:r>
      <w:r w:rsidR="009762A7" w:rsidRPr="002A2ECB">
        <w:t xml:space="preserve">full </w:t>
      </w:r>
      <w:r w:rsidR="00FA7872" w:rsidRPr="002A2ECB">
        <w:t xml:space="preserve">mens rea </w:t>
      </w:r>
      <w:r w:rsidR="00D43534">
        <w:t>and construing it</w:t>
      </w:r>
      <w:r w:rsidR="00FA7872" w:rsidRPr="002A2ECB">
        <w:t xml:space="preserve"> as imposing absolute liability.</w:t>
      </w:r>
      <w:r w:rsidR="009762A7" w:rsidRPr="002A2ECB">
        <w:rPr>
          <w:rStyle w:val="FootnoteReference"/>
        </w:rPr>
        <w:footnoteReference w:id="26"/>
      </w:r>
      <w:r w:rsidR="00FA7872" w:rsidRPr="002A2ECB">
        <w:t xml:space="preserve">  This has led eminent judges to lament the absence of an option </w:t>
      </w:r>
      <w:r w:rsidR="009762A7" w:rsidRPr="002A2ECB">
        <w:t xml:space="preserve">to </w:t>
      </w:r>
      <w:r w:rsidR="00CB5F62" w:rsidRPr="002A2ECB">
        <w:t xml:space="preserve">establish </w:t>
      </w:r>
      <w:r w:rsidR="00750AD8" w:rsidRPr="002A2ECB">
        <w:t xml:space="preserve">liability on some </w:t>
      </w:r>
      <w:r w:rsidR="00FA7872" w:rsidRPr="002A2ECB">
        <w:t>intermediate basis</w:t>
      </w:r>
      <w:r w:rsidR="000273BE" w:rsidRPr="002A2ECB">
        <w:t>, such as</w:t>
      </w:r>
      <w:r w:rsidR="009762A7" w:rsidRPr="002A2ECB">
        <w:t xml:space="preserve"> a construction </w:t>
      </w:r>
      <w:r w:rsidR="000273BE" w:rsidRPr="002A2ECB">
        <w:t>requiring the accused to “</w:t>
      </w:r>
      <w:r w:rsidR="000273BE" w:rsidRPr="00C45E2F">
        <w:rPr>
          <w:szCs w:val="28"/>
        </w:rPr>
        <w:t>convince the jury that on balance of probabilities he is innocent of any criminal intention”</w:t>
      </w:r>
      <w:r w:rsidR="009762A7" w:rsidRPr="00C45E2F">
        <w:rPr>
          <w:szCs w:val="28"/>
        </w:rPr>
        <w:t>.</w:t>
      </w:r>
      <w:r w:rsidR="000273BE" w:rsidRPr="002A2ECB">
        <w:rPr>
          <w:rStyle w:val="FootnoteReference"/>
          <w:szCs w:val="28"/>
        </w:rPr>
        <w:footnoteReference w:id="27"/>
      </w:r>
      <w:r w:rsidR="009762A7" w:rsidRPr="00C45E2F">
        <w:rPr>
          <w:szCs w:val="28"/>
        </w:rPr>
        <w:t xml:space="preserve">  </w:t>
      </w:r>
      <w:r w:rsidR="00FA7872" w:rsidRPr="002A2ECB">
        <w:t xml:space="preserve"> </w:t>
      </w:r>
      <w:r w:rsidR="009762A7" w:rsidRPr="002A2ECB">
        <w:t xml:space="preserve">Such an option was, however, </w:t>
      </w:r>
      <w:r w:rsidR="00CB5F62" w:rsidRPr="002A2ECB">
        <w:t>thought</w:t>
      </w:r>
      <w:r w:rsidR="009762A7" w:rsidRPr="002A2ECB">
        <w:t xml:space="preserve"> </w:t>
      </w:r>
      <w:r w:rsidR="00D04602" w:rsidRPr="002A2ECB">
        <w:t xml:space="preserve">to have been </w:t>
      </w:r>
      <w:r w:rsidR="009762A7" w:rsidRPr="002A2ECB">
        <w:t xml:space="preserve">excluded by </w:t>
      </w:r>
      <w:r w:rsidR="009762A7" w:rsidRPr="00C45E2F">
        <w:rPr>
          <w:i/>
          <w:szCs w:val="28"/>
        </w:rPr>
        <w:t>Woolmington v Director of Public Prosecutions</w:t>
      </w:r>
      <w:r w:rsidR="009762A7" w:rsidRPr="00C45E2F">
        <w:rPr>
          <w:szCs w:val="28"/>
        </w:rPr>
        <w:t>.</w:t>
      </w:r>
      <w:r w:rsidR="009762A7" w:rsidRPr="002A2ECB">
        <w:rPr>
          <w:rStyle w:val="FootnoteReference"/>
          <w:szCs w:val="28"/>
        </w:rPr>
        <w:footnoteReference w:id="28"/>
      </w:r>
    </w:p>
    <w:p w:rsidR="00223467" w:rsidRDefault="00AD78AE" w:rsidP="00C45E2F">
      <w:pPr>
        <w:pStyle w:val="Bob1"/>
        <w:tabs>
          <w:tab w:val="clear" w:pos="720"/>
          <w:tab w:val="left" w:pos="1440"/>
        </w:tabs>
        <w:ind w:left="0" w:firstLine="0"/>
        <w:jc w:val="both"/>
      </w:pPr>
      <w:r w:rsidRPr="002A2ECB">
        <w:t xml:space="preserve">After considering </w:t>
      </w:r>
      <w:r w:rsidR="009A3EA9" w:rsidRPr="002A2ECB">
        <w:t xml:space="preserve">different </w:t>
      </w:r>
      <w:r w:rsidRPr="002A2ECB">
        <w:t xml:space="preserve">approaches in Australia, Canada and New Zealand, this Court decided </w:t>
      </w:r>
      <w:r w:rsidR="00B0285A" w:rsidRPr="002A2ECB">
        <w:t xml:space="preserve">in 2010 </w:t>
      </w:r>
      <w:r w:rsidRPr="002A2ECB">
        <w:t>to depart from the</w:t>
      </w:r>
      <w:r w:rsidR="00B0285A" w:rsidRPr="002A2ECB">
        <w:t xml:space="preserve"> </w:t>
      </w:r>
      <w:r w:rsidR="009A3EA9" w:rsidRPr="002A2ECB">
        <w:t xml:space="preserve">confining </w:t>
      </w:r>
      <w:r w:rsidR="00223467" w:rsidRPr="002A2ECB">
        <w:t xml:space="preserve">regime </w:t>
      </w:r>
      <w:r w:rsidR="009A3EA9" w:rsidRPr="002A2ECB">
        <w:t xml:space="preserve">adopted </w:t>
      </w:r>
      <w:r w:rsidRPr="002A2ECB">
        <w:t>in England and Wales</w:t>
      </w:r>
      <w:r w:rsidR="00B0285A" w:rsidRPr="002A2ECB">
        <w:t xml:space="preserve">.  It was held in </w:t>
      </w:r>
      <w:r w:rsidR="00B0285A" w:rsidRPr="00C45E2F">
        <w:rPr>
          <w:i/>
        </w:rPr>
        <w:t>Hin Lin Yee v HKSAR</w:t>
      </w:r>
      <w:r w:rsidR="00B0285A" w:rsidRPr="002A2ECB">
        <w:t>,</w:t>
      </w:r>
      <w:r w:rsidR="00B0285A" w:rsidRPr="002A2ECB">
        <w:rPr>
          <w:rStyle w:val="FootnoteReference"/>
        </w:rPr>
        <w:footnoteReference w:id="29"/>
      </w:r>
      <w:r w:rsidR="00B0285A" w:rsidRPr="002A2ECB">
        <w:t xml:space="preserve"> that </w:t>
      </w:r>
      <w:r w:rsidR="00223467" w:rsidRPr="002A2ECB">
        <w:t xml:space="preserve">in </w:t>
      </w:r>
      <w:r w:rsidR="00B0285A" w:rsidRPr="002A2ECB">
        <w:t>appropriate cases</w:t>
      </w:r>
      <w:r w:rsidR="00764223" w:rsidRPr="002A2ECB">
        <w:t>, the law permits</w:t>
      </w:r>
      <w:r w:rsidRPr="002A2ECB">
        <w:t xml:space="preserve"> </w:t>
      </w:r>
      <w:r w:rsidR="00764223" w:rsidRPr="002A2ECB">
        <w:t xml:space="preserve">statutes to be construed </w:t>
      </w:r>
      <w:r w:rsidRPr="002A2ECB">
        <w:t xml:space="preserve">as </w:t>
      </w:r>
      <w:r w:rsidR="00B0285A" w:rsidRPr="002A2ECB">
        <w:t>intending</w:t>
      </w:r>
      <w:r w:rsidRPr="002A2ECB">
        <w:t xml:space="preserve"> </w:t>
      </w:r>
      <w:r w:rsidR="00764223" w:rsidRPr="002A2ECB">
        <w:t>to displace</w:t>
      </w:r>
      <w:r w:rsidRPr="002A2ECB">
        <w:t xml:space="preserve"> the presumption of mens rea </w:t>
      </w:r>
      <w:r w:rsidR="00B0285A" w:rsidRPr="002A2ECB">
        <w:t xml:space="preserve">in favour of an intermediate basis of liability.  Five </w:t>
      </w:r>
      <w:r w:rsidR="00B0285A" w:rsidRPr="002A2ECB">
        <w:lastRenderedPageBreak/>
        <w:t xml:space="preserve">possible bases of liability were recognised, ranging from full mens rea to absolute liability with three intermediate </w:t>
      </w:r>
      <w:r w:rsidR="00D04602" w:rsidRPr="002A2ECB">
        <w:t>possibilities</w:t>
      </w:r>
      <w:r w:rsidR="00B0285A" w:rsidRPr="002A2ECB">
        <w:t xml:space="preserve">.   </w:t>
      </w:r>
    </w:p>
    <w:p w:rsidR="00562833" w:rsidRPr="002A2ECB" w:rsidRDefault="00B0285A" w:rsidP="00C45E2F">
      <w:pPr>
        <w:pStyle w:val="Bob1"/>
        <w:tabs>
          <w:tab w:val="clear" w:pos="720"/>
          <w:tab w:val="left" w:pos="1440"/>
        </w:tabs>
        <w:ind w:left="0" w:firstLine="0"/>
        <w:jc w:val="both"/>
      </w:pPr>
      <w:r w:rsidRPr="00C45E2F">
        <w:rPr>
          <w:i/>
        </w:rPr>
        <w:t xml:space="preserve">Hin Lin Yee </w:t>
      </w:r>
      <w:r w:rsidRPr="002A2ECB">
        <w:t>was a case involving the relatively minor offence of selling a drug intended for use by man but unfit for that purpose</w:t>
      </w:r>
      <w:r w:rsidR="003515C7" w:rsidRPr="002A2ECB">
        <w:rPr>
          <w:rStyle w:val="FootnoteReference"/>
        </w:rPr>
        <w:footnoteReference w:id="30"/>
      </w:r>
      <w:r w:rsidRPr="002A2ECB">
        <w:t xml:space="preserve"> where the mental element in question related to the </w:t>
      </w:r>
      <w:r w:rsidR="00223467" w:rsidRPr="002A2ECB">
        <w:t xml:space="preserve">circumstance of the </w:t>
      </w:r>
      <w:r w:rsidRPr="002A2ECB">
        <w:t xml:space="preserve">drug’s unfitness.  In </w:t>
      </w:r>
      <w:r w:rsidR="00C40C61">
        <w:rPr>
          <w:rFonts w:eastAsia="宋体"/>
          <w:i/>
          <w:szCs w:val="28"/>
          <w:lang w:eastAsia="zh-CN"/>
        </w:rPr>
        <w:t>Kulemesin</w:t>
      </w:r>
      <w:r w:rsidRPr="00C45E2F">
        <w:rPr>
          <w:rFonts w:eastAsia="宋体"/>
          <w:i/>
          <w:szCs w:val="28"/>
          <w:lang w:eastAsia="zh-CN"/>
        </w:rPr>
        <w:t xml:space="preserve"> v HKSAR</w:t>
      </w:r>
      <w:r w:rsidRPr="00C45E2F">
        <w:rPr>
          <w:rFonts w:eastAsia="宋体"/>
          <w:sz w:val="24"/>
          <w:lang w:eastAsia="zh-CN"/>
        </w:rPr>
        <w:t>,</w:t>
      </w:r>
      <w:r w:rsidRPr="002A2ECB">
        <w:rPr>
          <w:rStyle w:val="FootnoteReference"/>
          <w:rFonts w:eastAsia="宋体"/>
          <w:sz w:val="24"/>
          <w:lang w:eastAsia="zh-CN"/>
        </w:rPr>
        <w:footnoteReference w:id="31"/>
      </w:r>
      <w:r w:rsidR="00967AD3" w:rsidRPr="00C45E2F">
        <w:rPr>
          <w:rFonts w:eastAsia="宋体"/>
          <w:sz w:val="24"/>
          <w:lang w:eastAsia="zh-CN"/>
        </w:rPr>
        <w:t xml:space="preserve"> </w:t>
      </w:r>
      <w:r w:rsidR="00967AD3" w:rsidRPr="002A2ECB">
        <w:t>which i</w:t>
      </w:r>
      <w:r w:rsidRPr="002A2ECB">
        <w:t>nvolv</w:t>
      </w:r>
      <w:r w:rsidR="00967AD3" w:rsidRPr="002A2ECB">
        <w:t>ed</w:t>
      </w:r>
      <w:r w:rsidRPr="002A2ECB">
        <w:t xml:space="preserve"> the more serious offence of </w:t>
      </w:r>
      <w:r w:rsidR="00D41F83" w:rsidRPr="002A2ECB">
        <w:t>endangering the safety of others in a vessel or at sea,</w:t>
      </w:r>
      <w:r w:rsidR="00D41F83" w:rsidRPr="002A2ECB">
        <w:rPr>
          <w:rStyle w:val="FootnoteReference"/>
        </w:rPr>
        <w:footnoteReference w:id="32"/>
      </w:r>
      <w:r w:rsidR="00D41F83" w:rsidRPr="002A2ECB">
        <w:t xml:space="preserve"> the issue </w:t>
      </w:r>
      <w:r w:rsidR="005646BA" w:rsidRPr="002A2ECB">
        <w:t xml:space="preserve">concerned </w:t>
      </w:r>
      <w:r w:rsidR="00D41F83" w:rsidRPr="002A2ECB">
        <w:t xml:space="preserve">the mental element </w:t>
      </w:r>
      <w:r w:rsidR="005646BA" w:rsidRPr="002A2ECB">
        <w:t>regarding</w:t>
      </w:r>
      <w:r w:rsidR="00D41F83" w:rsidRPr="002A2ECB">
        <w:t xml:space="preserve"> </w:t>
      </w:r>
      <w:r w:rsidR="00967AD3" w:rsidRPr="002A2ECB">
        <w:t>the consequence of endangerment</w:t>
      </w:r>
      <w:r w:rsidR="00223467" w:rsidRPr="002A2ECB">
        <w:t>.  To accommodate</w:t>
      </w:r>
      <w:r w:rsidR="00D41F83" w:rsidRPr="002A2ECB">
        <w:t xml:space="preserve"> </w:t>
      </w:r>
      <w:r w:rsidR="00223467" w:rsidRPr="002A2ECB">
        <w:t xml:space="preserve">more serious offences and to cater for mens rea as to the consequences of (in addition to the circumstances </w:t>
      </w:r>
      <w:r w:rsidR="00C41C88" w:rsidRPr="002A2ECB">
        <w:t xml:space="preserve">accompanying or </w:t>
      </w:r>
      <w:r w:rsidR="00223467" w:rsidRPr="002A2ECB">
        <w:t xml:space="preserve">surrounding) the prohibited act, </w:t>
      </w:r>
      <w:r w:rsidR="00D41F83" w:rsidRPr="002A2ECB">
        <w:t>th</w:t>
      </w:r>
      <w:r w:rsidRPr="002A2ECB">
        <w:t xml:space="preserve">e five possible bases of </w:t>
      </w:r>
      <w:r w:rsidR="00967AD3" w:rsidRPr="002A2ECB">
        <w:t xml:space="preserve">criminal </w:t>
      </w:r>
      <w:r w:rsidR="00D41F83" w:rsidRPr="002A2ECB">
        <w:t xml:space="preserve">liability formulated in </w:t>
      </w:r>
      <w:r w:rsidR="00D41F83" w:rsidRPr="00C45E2F">
        <w:rPr>
          <w:i/>
        </w:rPr>
        <w:t xml:space="preserve">Hin Lin Yee </w:t>
      </w:r>
      <w:r w:rsidR="00D41F83" w:rsidRPr="002A2ECB">
        <w:t>were slightly amended and re-formulated as follows:</w:t>
      </w:r>
    </w:p>
    <w:p w:rsidR="005646BA" w:rsidRPr="002A2ECB" w:rsidRDefault="005646BA" w:rsidP="00C45E2F">
      <w:pPr>
        <w:pStyle w:val="Bob1"/>
        <w:numPr>
          <w:ilvl w:val="0"/>
          <w:numId w:val="0"/>
        </w:numPr>
        <w:spacing w:line="240" w:lineRule="auto"/>
        <w:ind w:left="720"/>
        <w:rPr>
          <w:sz w:val="24"/>
        </w:rPr>
      </w:pPr>
      <w:r w:rsidRPr="002A2ECB">
        <w:rPr>
          <w:sz w:val="24"/>
        </w:rPr>
        <w:t>“... the five possible alternatives may be stated as follows...:</w:t>
      </w:r>
    </w:p>
    <w:p w:rsidR="005646BA" w:rsidRPr="002A2ECB" w:rsidRDefault="005646BA" w:rsidP="00C45E2F">
      <w:pPr>
        <w:pStyle w:val="Bob1"/>
        <w:numPr>
          <w:ilvl w:val="0"/>
          <w:numId w:val="0"/>
        </w:numPr>
        <w:spacing w:line="240" w:lineRule="auto"/>
        <w:ind w:left="1440" w:hanging="720"/>
        <w:jc w:val="both"/>
        <w:rPr>
          <w:sz w:val="24"/>
        </w:rPr>
      </w:pPr>
      <w:r w:rsidRPr="002A2ECB">
        <w:rPr>
          <w:sz w:val="24"/>
        </w:rPr>
        <w:t>(a)</w:t>
      </w:r>
      <w:r w:rsidRPr="002A2ECB">
        <w:rPr>
          <w:sz w:val="24"/>
        </w:rPr>
        <w:tab/>
        <w:t>first, that the mens rea presumption persists and the prosecution must prove knowledge, intention or recklessness as to every element of the offence (</w:t>
      </w:r>
      <w:r w:rsidR="00BE0E52" w:rsidRPr="002A2ECB">
        <w:rPr>
          <w:sz w:val="24"/>
        </w:rPr>
        <w:t>‘</w:t>
      </w:r>
      <w:r w:rsidRPr="002A2ECB">
        <w:rPr>
          <w:sz w:val="24"/>
          <w:u w:val="single"/>
        </w:rPr>
        <w:t>the first alternative</w:t>
      </w:r>
      <w:r w:rsidR="00BE0E52" w:rsidRPr="002A2ECB">
        <w:rPr>
          <w:sz w:val="24"/>
        </w:rPr>
        <w:t>’</w:t>
      </w:r>
      <w:r w:rsidRPr="002A2ECB">
        <w:rPr>
          <w:sz w:val="24"/>
        </w:rPr>
        <w:t>);</w:t>
      </w:r>
    </w:p>
    <w:p w:rsidR="005646BA" w:rsidRPr="002A2ECB" w:rsidRDefault="005646BA" w:rsidP="00C45E2F">
      <w:pPr>
        <w:pStyle w:val="Bob1"/>
        <w:numPr>
          <w:ilvl w:val="0"/>
          <w:numId w:val="0"/>
        </w:numPr>
        <w:spacing w:line="240" w:lineRule="auto"/>
        <w:ind w:left="1440" w:hanging="720"/>
        <w:jc w:val="both"/>
        <w:rPr>
          <w:sz w:val="24"/>
        </w:rPr>
      </w:pPr>
      <w:r w:rsidRPr="002A2ECB">
        <w:rPr>
          <w:sz w:val="24"/>
        </w:rPr>
        <w:t>(b)</w:t>
      </w:r>
      <w:r w:rsidRPr="002A2ECB">
        <w:rPr>
          <w:sz w:val="24"/>
        </w:rPr>
        <w:tab/>
        <w:t>second, that the prosecution need not set out to prove mens rea, but if there is evidence capable of raising a reasonable doubt that the defendant may have acted or omitted to act in the honest and reasonable belief that the circumstances or likely consequences of his conduct were such that, if true, liability would not attach, he must be acquitted unless the prosecution proves beyond reasonable doubt the absence of such exculpatory belief or that there were no reasonable grounds for such belief (</w:t>
      </w:r>
      <w:r w:rsidR="00BE0E52" w:rsidRPr="002A2ECB">
        <w:rPr>
          <w:sz w:val="24"/>
        </w:rPr>
        <w:t>‘</w:t>
      </w:r>
      <w:r w:rsidRPr="002A2ECB">
        <w:rPr>
          <w:sz w:val="24"/>
          <w:u w:val="single"/>
        </w:rPr>
        <w:t>the second alternative</w:t>
      </w:r>
      <w:r w:rsidR="00BE0E52" w:rsidRPr="002A2ECB">
        <w:rPr>
          <w:sz w:val="24"/>
        </w:rPr>
        <w:t>’</w:t>
      </w:r>
      <w:r w:rsidRPr="002A2ECB">
        <w:rPr>
          <w:sz w:val="24"/>
        </w:rPr>
        <w:t>);</w:t>
      </w:r>
    </w:p>
    <w:p w:rsidR="005646BA" w:rsidRPr="002A2ECB" w:rsidRDefault="005646BA" w:rsidP="00C45E2F">
      <w:pPr>
        <w:pStyle w:val="Bob1"/>
        <w:numPr>
          <w:ilvl w:val="0"/>
          <w:numId w:val="0"/>
        </w:numPr>
        <w:spacing w:line="240" w:lineRule="auto"/>
        <w:ind w:left="1440" w:hanging="720"/>
        <w:jc w:val="both"/>
        <w:rPr>
          <w:sz w:val="24"/>
        </w:rPr>
      </w:pPr>
      <w:r w:rsidRPr="002A2ECB">
        <w:rPr>
          <w:sz w:val="24"/>
        </w:rPr>
        <w:t>(c)</w:t>
      </w:r>
      <w:r w:rsidRPr="002A2ECB">
        <w:rPr>
          <w:sz w:val="24"/>
        </w:rPr>
        <w:tab/>
        <w:t xml:space="preserve">third, that the presumption has been displaced so that the prosecution need not prove mens rea but that the accused has a good defence if he can prove on the </w:t>
      </w:r>
      <w:r w:rsidRPr="002A2ECB">
        <w:rPr>
          <w:sz w:val="24"/>
        </w:rPr>
        <w:lastRenderedPageBreak/>
        <w:t>balance of probabilities that he acted or omitted to act in the honest and reasonable belief that the circumstances or likely consequences of his conduct were such that, if true, he would not be guilty of the offence (</w:t>
      </w:r>
      <w:r w:rsidR="00BE0E52" w:rsidRPr="002A2ECB">
        <w:rPr>
          <w:sz w:val="24"/>
        </w:rPr>
        <w:t>‘</w:t>
      </w:r>
      <w:r w:rsidRPr="002A2ECB">
        <w:rPr>
          <w:sz w:val="24"/>
          <w:u w:val="single"/>
        </w:rPr>
        <w:t>the third alternative</w:t>
      </w:r>
      <w:r w:rsidR="00BE0E52" w:rsidRPr="002A2ECB">
        <w:rPr>
          <w:sz w:val="24"/>
        </w:rPr>
        <w:t>’</w:t>
      </w:r>
      <w:r w:rsidRPr="002A2ECB">
        <w:rPr>
          <w:sz w:val="24"/>
        </w:rPr>
        <w:t>);</w:t>
      </w:r>
    </w:p>
    <w:p w:rsidR="005646BA" w:rsidRPr="002A2ECB" w:rsidRDefault="005646BA" w:rsidP="00C45E2F">
      <w:pPr>
        <w:pStyle w:val="Bob1"/>
        <w:numPr>
          <w:ilvl w:val="0"/>
          <w:numId w:val="0"/>
        </w:numPr>
        <w:spacing w:line="240" w:lineRule="auto"/>
        <w:ind w:left="1440" w:hanging="720"/>
        <w:jc w:val="both"/>
        <w:rPr>
          <w:sz w:val="24"/>
        </w:rPr>
      </w:pPr>
      <w:r w:rsidRPr="002A2ECB">
        <w:rPr>
          <w:sz w:val="24"/>
        </w:rPr>
        <w:t>(d)</w:t>
      </w:r>
      <w:r w:rsidRPr="002A2ECB">
        <w:rPr>
          <w:sz w:val="24"/>
        </w:rPr>
        <w:tab/>
        <w:t>fourth, that the presumption has been displaced and that the accused is confined to relying on the statutory defences expressly provided for, the existence of such defences being inconsistent with the second and third alternatives mentioned above (</w:t>
      </w:r>
      <w:r w:rsidR="00BE0E52" w:rsidRPr="002A2ECB">
        <w:rPr>
          <w:sz w:val="24"/>
        </w:rPr>
        <w:t>‘</w:t>
      </w:r>
      <w:r w:rsidRPr="002A2ECB">
        <w:rPr>
          <w:sz w:val="24"/>
          <w:u w:val="single"/>
        </w:rPr>
        <w:t>the fourth alternative</w:t>
      </w:r>
      <w:r w:rsidR="00BE0E52" w:rsidRPr="002A2ECB">
        <w:rPr>
          <w:sz w:val="24"/>
        </w:rPr>
        <w:t>’</w:t>
      </w:r>
      <w:r w:rsidRPr="002A2ECB">
        <w:rPr>
          <w:sz w:val="24"/>
        </w:rPr>
        <w:t>); and</w:t>
      </w:r>
    </w:p>
    <w:p w:rsidR="005646BA" w:rsidRPr="002A2ECB" w:rsidRDefault="005646BA" w:rsidP="00C45E2F">
      <w:pPr>
        <w:pStyle w:val="Bob1"/>
        <w:numPr>
          <w:ilvl w:val="0"/>
          <w:numId w:val="0"/>
        </w:numPr>
        <w:spacing w:line="240" w:lineRule="auto"/>
        <w:ind w:left="1440" w:hanging="720"/>
        <w:jc w:val="both"/>
        <w:rPr>
          <w:sz w:val="24"/>
        </w:rPr>
      </w:pPr>
      <w:r w:rsidRPr="002A2ECB">
        <w:rPr>
          <w:sz w:val="24"/>
        </w:rPr>
        <w:t>(e)</w:t>
      </w:r>
      <w:r w:rsidRPr="002A2ECB">
        <w:rPr>
          <w:sz w:val="24"/>
        </w:rPr>
        <w:tab/>
        <w:t>fifth, that the presumption is displaced and the offence is one of absolute liability so that the prosecution succeeds if the prohibited act or omission is proved against the accused, regardless of his state of mind regarding the relevant elements of the offence in question (</w:t>
      </w:r>
      <w:r w:rsidR="00BE0E52" w:rsidRPr="002A2ECB">
        <w:rPr>
          <w:sz w:val="24"/>
        </w:rPr>
        <w:t>‘</w:t>
      </w:r>
      <w:r w:rsidRPr="002A2ECB">
        <w:rPr>
          <w:sz w:val="24"/>
          <w:u w:val="single"/>
        </w:rPr>
        <w:t>the fifth alternative</w:t>
      </w:r>
      <w:r w:rsidR="00BE0E52" w:rsidRPr="002A2ECB">
        <w:rPr>
          <w:sz w:val="24"/>
        </w:rPr>
        <w:t>’</w:t>
      </w:r>
      <w:r w:rsidRPr="002A2ECB">
        <w:rPr>
          <w:sz w:val="24"/>
        </w:rPr>
        <w:t>).</w:t>
      </w:r>
      <w:r w:rsidR="00BE0E52" w:rsidRPr="002A2ECB">
        <w:rPr>
          <w:sz w:val="24"/>
        </w:rPr>
        <w:t>”</w:t>
      </w:r>
      <w:r w:rsidR="00BE0E52" w:rsidRPr="002A2ECB">
        <w:rPr>
          <w:rStyle w:val="FootnoteReference"/>
          <w:sz w:val="24"/>
        </w:rPr>
        <w:footnoteReference w:id="33"/>
      </w:r>
    </w:p>
    <w:p w:rsidR="005646BA" w:rsidRDefault="00200F04" w:rsidP="00C45E2F">
      <w:pPr>
        <w:pStyle w:val="Bob1"/>
        <w:tabs>
          <w:tab w:val="clear" w:pos="720"/>
          <w:tab w:val="left" w:pos="1440"/>
        </w:tabs>
        <w:ind w:left="0" w:firstLine="0"/>
        <w:jc w:val="both"/>
      </w:pPr>
      <w:r w:rsidRPr="002A2ECB">
        <w:t xml:space="preserve">I shall refer to </w:t>
      </w:r>
      <w:r w:rsidR="005646BA" w:rsidRPr="002A2ECB">
        <w:t>the</w:t>
      </w:r>
      <w:r w:rsidR="004D5C7F" w:rsidRPr="002A2ECB">
        <w:t>se</w:t>
      </w:r>
      <w:r w:rsidR="005646BA" w:rsidRPr="002A2ECB">
        <w:t xml:space="preserve"> reformulated alternatives </w:t>
      </w:r>
      <w:r w:rsidRPr="002A2ECB">
        <w:t>as “</w:t>
      </w:r>
      <w:r w:rsidRPr="002A2ECB">
        <w:rPr>
          <w:u w:val="single"/>
        </w:rPr>
        <w:t xml:space="preserve">the </w:t>
      </w:r>
      <w:r w:rsidRPr="002A2ECB">
        <w:rPr>
          <w:i/>
          <w:u w:val="single"/>
        </w:rPr>
        <w:t xml:space="preserve">Kulemesin </w:t>
      </w:r>
      <w:r w:rsidRPr="002A2ECB">
        <w:rPr>
          <w:u w:val="single"/>
        </w:rPr>
        <w:t>alternatives</w:t>
      </w:r>
      <w:r w:rsidR="00D862B4" w:rsidRPr="002A2ECB">
        <w:t>”.  The Court held that all five alternatives s</w:t>
      </w:r>
      <w:r w:rsidR="005646BA" w:rsidRPr="002A2ECB">
        <w:t xml:space="preserve">hould be considered as possible conclusions when construing statutory criminal offences – both serious and regulatory – which are silent or ambiguous as to the state of mind </w:t>
      </w:r>
      <w:r w:rsidR="009A3EA9" w:rsidRPr="002A2ECB">
        <w:t xml:space="preserve">relevantly </w:t>
      </w:r>
      <w:r w:rsidR="005646BA" w:rsidRPr="002A2ECB">
        <w:t>required</w:t>
      </w:r>
      <w:r w:rsidR="00BE0E52" w:rsidRPr="002A2ECB">
        <w:t>.</w:t>
      </w:r>
      <w:r w:rsidR="00BE0E52" w:rsidRPr="002A2ECB">
        <w:rPr>
          <w:rStyle w:val="FootnoteReference"/>
        </w:rPr>
        <w:footnoteReference w:id="34"/>
      </w:r>
    </w:p>
    <w:p w:rsidR="00E36C7C" w:rsidRDefault="00153CDD" w:rsidP="00C45E2F">
      <w:pPr>
        <w:pStyle w:val="Bob1"/>
        <w:tabs>
          <w:tab w:val="clear" w:pos="720"/>
          <w:tab w:val="left" w:pos="1440"/>
        </w:tabs>
        <w:ind w:left="0" w:firstLine="0"/>
        <w:jc w:val="both"/>
      </w:pPr>
      <w:r w:rsidRPr="002A2ECB">
        <w:t xml:space="preserve">The </w:t>
      </w:r>
      <w:r w:rsidR="00E36C7C" w:rsidRPr="002A2ECB">
        <w:t>view</w:t>
      </w:r>
      <w:r w:rsidRPr="002A2ECB">
        <w:t xml:space="preserve"> has been expressed</w:t>
      </w:r>
      <w:r w:rsidR="00E36C7C" w:rsidRPr="002A2ECB">
        <w:rPr>
          <w:rStyle w:val="FootnoteReference"/>
        </w:rPr>
        <w:footnoteReference w:id="35"/>
      </w:r>
      <w:r w:rsidR="00E36C7C" w:rsidRPr="002A2ECB">
        <w:t xml:space="preserve"> </w:t>
      </w:r>
      <w:r w:rsidRPr="002A2ECB">
        <w:t xml:space="preserve">that </w:t>
      </w:r>
      <w:r w:rsidR="00E36C7C" w:rsidRPr="002A2ECB">
        <w:t xml:space="preserve">“reasonableness of belief” </w:t>
      </w:r>
      <w:r w:rsidRPr="002A2ECB">
        <w:t xml:space="preserve">should be rejected </w:t>
      </w:r>
      <w:r w:rsidR="00E36C7C" w:rsidRPr="002A2ECB">
        <w:t xml:space="preserve">as a standard </w:t>
      </w:r>
      <w:r w:rsidRPr="002A2ECB">
        <w:t xml:space="preserve">for </w:t>
      </w:r>
      <w:r w:rsidR="00E36C7C" w:rsidRPr="002A2ECB">
        <w:t xml:space="preserve">criminal liability, </w:t>
      </w:r>
      <w:r w:rsidRPr="002A2ECB">
        <w:t xml:space="preserve">since </w:t>
      </w:r>
      <w:r w:rsidR="00E36C7C" w:rsidRPr="002A2ECB">
        <w:t xml:space="preserve">such liability is </w:t>
      </w:r>
      <w:r w:rsidRPr="002A2ECB">
        <w:t xml:space="preserve">properly </w:t>
      </w:r>
      <w:r w:rsidR="00E36C7C" w:rsidRPr="002A2ECB">
        <w:t xml:space="preserve">concerned with a subjective state of mind and </w:t>
      </w:r>
      <w:r w:rsidRPr="002A2ECB">
        <w:t xml:space="preserve">ought </w:t>
      </w:r>
      <w:r w:rsidR="00E36C7C" w:rsidRPr="002A2ECB">
        <w:t xml:space="preserve">not </w:t>
      </w:r>
      <w:r w:rsidRPr="002A2ECB">
        <w:t xml:space="preserve">to </w:t>
      </w:r>
      <w:r w:rsidR="00E36C7C" w:rsidRPr="002A2ECB">
        <w:t>be displaced by an objective standard</w:t>
      </w:r>
      <w:r w:rsidRPr="002A2ECB">
        <w:t xml:space="preserve"> akin to one involving negligence</w:t>
      </w:r>
      <w:r w:rsidR="00E36C7C" w:rsidRPr="002A2ECB">
        <w:t xml:space="preserve">. </w:t>
      </w:r>
    </w:p>
    <w:p w:rsidR="00153CDD" w:rsidRDefault="00153CDD" w:rsidP="00C45E2F">
      <w:pPr>
        <w:pStyle w:val="Bob1"/>
        <w:tabs>
          <w:tab w:val="clear" w:pos="720"/>
          <w:tab w:val="left" w:pos="1440"/>
        </w:tabs>
        <w:ind w:left="0" w:firstLine="0"/>
        <w:jc w:val="both"/>
      </w:pPr>
      <w:r w:rsidRPr="002A2ECB">
        <w:t xml:space="preserve">However, </w:t>
      </w:r>
      <w:r w:rsidR="004B046F" w:rsidRPr="002A2ECB">
        <w:t xml:space="preserve">in incorporating “honest and reasonable belief” as part of the second and third </w:t>
      </w:r>
      <w:r w:rsidR="00D862B4" w:rsidRPr="00C45E2F">
        <w:rPr>
          <w:i/>
        </w:rPr>
        <w:t xml:space="preserve">Kulemesin </w:t>
      </w:r>
      <w:r w:rsidR="004B046F" w:rsidRPr="002A2ECB">
        <w:t xml:space="preserve">alternatives, </w:t>
      </w:r>
      <w:r w:rsidR="00331BD4" w:rsidRPr="002A2ECB">
        <w:t>a different view</w:t>
      </w:r>
      <w:r w:rsidR="00787352" w:rsidRPr="002A2ECB">
        <w:t xml:space="preserve"> </w:t>
      </w:r>
      <w:r w:rsidR="00331BD4" w:rsidRPr="002A2ECB">
        <w:t xml:space="preserve">was preferred.  As </w:t>
      </w:r>
      <w:r w:rsidRPr="002A2ECB">
        <w:t xml:space="preserve">Lord Reid </w:t>
      </w:r>
      <w:r w:rsidR="00331BD4" w:rsidRPr="002A2ECB">
        <w:t xml:space="preserve">pointed out </w:t>
      </w:r>
      <w:r w:rsidRPr="002A2ECB">
        <w:t xml:space="preserve">in </w:t>
      </w:r>
      <w:r w:rsidRPr="00C45E2F">
        <w:rPr>
          <w:i/>
        </w:rPr>
        <w:t>Sweet v Parsley</w:t>
      </w:r>
      <w:r w:rsidR="00331BD4" w:rsidRPr="002A2ECB">
        <w:t>,</w:t>
      </w:r>
      <w:r w:rsidRPr="002A2ECB">
        <w:rPr>
          <w:rStyle w:val="FootnoteReference"/>
        </w:rPr>
        <w:footnoteReference w:id="36"/>
      </w:r>
      <w:r w:rsidRPr="002A2ECB">
        <w:t xml:space="preserve"> </w:t>
      </w:r>
      <w:r w:rsidR="007E4D2D" w:rsidRPr="002A2ECB">
        <w:t>the court’s choice is “</w:t>
      </w:r>
      <w:r w:rsidRPr="002A2ECB">
        <w:t xml:space="preserve">much more difficult if there were no other way open than either mens rea in the full sense or an absolute offence; for there are many kinds of case where putting on the prosecutor the full burden of proving mens rea creates great difficulties and may </w:t>
      </w:r>
      <w:r w:rsidRPr="002A2ECB">
        <w:lastRenderedPageBreak/>
        <w:t>lead to many unjust acquittals</w:t>
      </w:r>
      <w:r w:rsidR="007E4D2D" w:rsidRPr="002A2ECB">
        <w:t>”</w:t>
      </w:r>
      <w:r w:rsidR="004B046F" w:rsidRPr="002A2ECB">
        <w:t>;</w:t>
      </w:r>
      <w:r w:rsidR="007E4D2D" w:rsidRPr="002A2ECB">
        <w:t xml:space="preserve"> and it would often be much easier to infer that the legislature “must have meant that gross negligence should be the necessary mental element than to infer that [it] intended to create an absolute offence”.</w:t>
      </w:r>
    </w:p>
    <w:p w:rsidR="007A2729" w:rsidRPr="002A2ECB" w:rsidRDefault="007A2729" w:rsidP="00C45E2F">
      <w:pPr>
        <w:pStyle w:val="Bob1"/>
        <w:tabs>
          <w:tab w:val="clear" w:pos="720"/>
          <w:tab w:val="left" w:pos="1440"/>
        </w:tabs>
        <w:ind w:left="0" w:firstLine="0"/>
        <w:jc w:val="both"/>
      </w:pPr>
      <w:r w:rsidRPr="002A2ECB">
        <w:t xml:space="preserve">I might add that </w:t>
      </w:r>
      <w:r w:rsidR="00AD3A55" w:rsidRPr="002A2ECB">
        <w:t xml:space="preserve">objective standards are in any event applicable </w:t>
      </w:r>
      <w:r w:rsidRPr="002A2ECB">
        <w:t xml:space="preserve">to </w:t>
      </w:r>
      <w:r w:rsidR="00BF24C3" w:rsidRPr="002A2ECB">
        <w:t>an offence</w:t>
      </w:r>
      <w:r w:rsidRPr="002A2ECB">
        <w:t xml:space="preserve"> like indecent assault, in that the courts have interpreted “indecency” </w:t>
      </w:r>
      <w:r w:rsidR="00AD3A55" w:rsidRPr="002A2ECB">
        <w:t>as “conduct that right-thinking people will consider an affront to the sexual modesty of a woman;”</w:t>
      </w:r>
      <w:r w:rsidR="00AD3A55" w:rsidRPr="002A2ECB">
        <w:rPr>
          <w:rStyle w:val="FootnoteReference"/>
        </w:rPr>
        <w:footnoteReference w:id="37"/>
      </w:r>
      <w:r w:rsidR="00AD3A55" w:rsidRPr="002A2ECB">
        <w:t xml:space="preserve"> or conduct “so offensive to contemporary standards of modesty and privacy as to be indecent;”</w:t>
      </w:r>
      <w:r w:rsidR="00AD3A55" w:rsidRPr="002A2ECB">
        <w:rPr>
          <w:rStyle w:val="FootnoteReference"/>
        </w:rPr>
        <w:footnoteReference w:id="38"/>
      </w:r>
      <w:r w:rsidR="00AD3A55" w:rsidRPr="002A2ECB">
        <w:t xml:space="preserve"> or conduct “which right-minded persons would clearly think was indecent”.</w:t>
      </w:r>
      <w:r w:rsidR="00AD3A55" w:rsidRPr="002A2ECB">
        <w:rPr>
          <w:rStyle w:val="FootnoteReference"/>
        </w:rPr>
        <w:footnoteReference w:id="39"/>
      </w:r>
      <w:r w:rsidR="00C05E0A" w:rsidRPr="002A2ECB">
        <w:t xml:space="preserve"> </w:t>
      </w:r>
    </w:p>
    <w:p w:rsidR="00E378E5" w:rsidRPr="002A2ECB" w:rsidRDefault="005040B5" w:rsidP="009F00A4">
      <w:pPr>
        <w:pStyle w:val="docmapheading"/>
      </w:pPr>
      <w:r w:rsidRPr="002A2ECB">
        <w:t>F.</w:t>
      </w:r>
      <w:r w:rsidRPr="002A2ECB">
        <w:tab/>
        <w:t>T</w:t>
      </w:r>
      <w:r w:rsidR="0031126E" w:rsidRPr="002A2ECB">
        <w:t>he presumption of mens rea</w:t>
      </w:r>
    </w:p>
    <w:p w:rsidR="008B506F" w:rsidRPr="002A2ECB" w:rsidRDefault="00787352" w:rsidP="00C45E2F">
      <w:pPr>
        <w:pStyle w:val="Bob1"/>
        <w:tabs>
          <w:tab w:val="clear" w:pos="720"/>
          <w:tab w:val="left" w:pos="1440"/>
        </w:tabs>
        <w:ind w:left="0" w:firstLine="0"/>
        <w:jc w:val="both"/>
      </w:pPr>
      <w:r w:rsidRPr="002A2ECB">
        <w:t>Applying the principles, t</w:t>
      </w:r>
      <w:r w:rsidR="008B506F" w:rsidRPr="002A2ECB">
        <w:t>he analysis should begin by considering how</w:t>
      </w:r>
      <w:r w:rsidR="0089759C" w:rsidRPr="002A2ECB">
        <w:t xml:space="preserve"> precisely</w:t>
      </w:r>
      <w:r w:rsidR="008B506F" w:rsidRPr="002A2ECB">
        <w:t xml:space="preserve"> the presumption of mens rea applies to section</w:t>
      </w:r>
      <w:r w:rsidRPr="002A2ECB">
        <w:t>s</w:t>
      </w:r>
      <w:r w:rsidR="008B506F" w:rsidRPr="002A2ECB">
        <w:t xml:space="preserve"> 122(1) and 122(2) which provide as follows:</w:t>
      </w:r>
    </w:p>
    <w:p w:rsidR="008B506F" w:rsidRPr="002A2ECB" w:rsidRDefault="008B506F" w:rsidP="00C45E2F">
      <w:pPr>
        <w:pStyle w:val="Bob1"/>
        <w:numPr>
          <w:ilvl w:val="0"/>
          <w:numId w:val="0"/>
        </w:numPr>
        <w:spacing w:line="240" w:lineRule="auto"/>
        <w:ind w:left="1440" w:hanging="720"/>
        <w:jc w:val="both"/>
        <w:rPr>
          <w:sz w:val="24"/>
        </w:rPr>
      </w:pPr>
      <w:r w:rsidRPr="002A2ECB">
        <w:rPr>
          <w:sz w:val="24"/>
        </w:rPr>
        <w:t xml:space="preserve">(1) </w:t>
      </w:r>
      <w:r w:rsidRPr="002A2ECB">
        <w:rPr>
          <w:sz w:val="24"/>
        </w:rPr>
        <w:tab/>
        <w:t>Subject to subsection (3),</w:t>
      </w:r>
      <w:r w:rsidR="009A3EA9" w:rsidRPr="002A2ECB">
        <w:rPr>
          <w:rStyle w:val="FootnoteReference"/>
          <w:sz w:val="24"/>
        </w:rPr>
        <w:footnoteReference w:id="40"/>
      </w:r>
      <w:r w:rsidRPr="002A2ECB">
        <w:rPr>
          <w:sz w:val="24"/>
        </w:rPr>
        <w:t xml:space="preserve"> a person who indecently assaults another person shall be guilty of an offence and shall be liable on conviction on indictment to imprisonment for 10 years. </w:t>
      </w:r>
    </w:p>
    <w:p w:rsidR="008B506F" w:rsidRPr="002A2ECB" w:rsidRDefault="008B506F" w:rsidP="00C45E2F">
      <w:pPr>
        <w:pStyle w:val="Bob1"/>
        <w:numPr>
          <w:ilvl w:val="0"/>
          <w:numId w:val="0"/>
        </w:numPr>
        <w:spacing w:line="240" w:lineRule="auto"/>
        <w:ind w:left="1440" w:hanging="720"/>
        <w:jc w:val="both"/>
        <w:rPr>
          <w:sz w:val="24"/>
        </w:rPr>
      </w:pPr>
      <w:r w:rsidRPr="002A2ECB">
        <w:rPr>
          <w:sz w:val="24"/>
        </w:rPr>
        <w:t xml:space="preserve">(2) </w:t>
      </w:r>
      <w:r w:rsidRPr="002A2ECB">
        <w:rPr>
          <w:sz w:val="24"/>
        </w:rPr>
        <w:tab/>
        <w:t>A person under the age of 16 cannot in law give any consent which would prevent an act being an assault for the purposes of this section.</w:t>
      </w:r>
    </w:p>
    <w:p w:rsidR="00CB7DD3" w:rsidRPr="002A2ECB" w:rsidRDefault="00CB7DD3" w:rsidP="009F00A4">
      <w:pPr>
        <w:pStyle w:val="docmapheading"/>
      </w:pPr>
      <w:r w:rsidRPr="002A2ECB">
        <w:t>F.1</w:t>
      </w:r>
      <w:r w:rsidRPr="002A2ECB">
        <w:tab/>
      </w:r>
      <w:r w:rsidR="00FA2435" w:rsidRPr="002A2ECB">
        <w:t>The presumption and i</w:t>
      </w:r>
      <w:r w:rsidRPr="002A2ECB">
        <w:t>ndecent assaults on persons aged 16 or over</w:t>
      </w:r>
    </w:p>
    <w:p w:rsidR="008B506F" w:rsidRDefault="008B506F" w:rsidP="00C45E2F">
      <w:pPr>
        <w:pStyle w:val="Bob1"/>
        <w:tabs>
          <w:tab w:val="clear" w:pos="720"/>
          <w:tab w:val="left" w:pos="1440"/>
        </w:tabs>
        <w:ind w:left="0" w:firstLine="0"/>
        <w:jc w:val="both"/>
      </w:pPr>
      <w:r w:rsidRPr="002A2ECB">
        <w:t xml:space="preserve">As noted above, </w:t>
      </w:r>
      <w:r w:rsidR="00D43534">
        <w:t xml:space="preserve">it is presumed </w:t>
      </w:r>
      <w:r w:rsidRPr="002A2ECB">
        <w:t xml:space="preserve">that the prosecution must prove knowledge, intention or recklessness as to </w:t>
      </w:r>
      <w:r w:rsidR="00FF6627">
        <w:t xml:space="preserve">every </w:t>
      </w:r>
      <w:r w:rsidRPr="002A2ECB">
        <w:t xml:space="preserve">actus reus element of </w:t>
      </w:r>
      <w:r w:rsidR="00D43534">
        <w:t xml:space="preserve">a statutory </w:t>
      </w:r>
      <w:r w:rsidRPr="002A2ECB">
        <w:t xml:space="preserve">offence.   </w:t>
      </w:r>
      <w:r w:rsidR="0089759C" w:rsidRPr="002A2ECB">
        <w:t xml:space="preserve">Where the actus reus ingredient is expressed negatively such as </w:t>
      </w:r>
      <w:r w:rsidR="0089759C" w:rsidRPr="002A2ECB">
        <w:lastRenderedPageBreak/>
        <w:t xml:space="preserve">requiring the absence of consent, the presumption </w:t>
      </w:r>
      <w:r w:rsidR="00D43534">
        <w:t>is that</w:t>
      </w:r>
      <w:r w:rsidR="0089759C" w:rsidRPr="002A2ECB">
        <w:t xml:space="preserve"> the prosecution </w:t>
      </w:r>
      <w:r w:rsidR="00D43534">
        <w:t>must</w:t>
      </w:r>
      <w:r w:rsidR="0089759C" w:rsidRPr="002A2ECB">
        <w:t xml:space="preserve"> </w:t>
      </w:r>
      <w:r w:rsidR="00F84EA1" w:rsidRPr="002A2ECB">
        <w:t xml:space="preserve">negative </w:t>
      </w:r>
      <w:r w:rsidR="0089759C" w:rsidRPr="002A2ECB">
        <w:t xml:space="preserve">the </w:t>
      </w:r>
      <w:r w:rsidR="00D43534">
        <w:t xml:space="preserve">existence of consent and negative any claimed </w:t>
      </w:r>
      <w:r w:rsidR="0089759C" w:rsidRPr="002A2ECB">
        <w:t xml:space="preserve">belief </w:t>
      </w:r>
      <w:r w:rsidR="00D43534">
        <w:t xml:space="preserve">by the defendant </w:t>
      </w:r>
      <w:r w:rsidR="0089759C" w:rsidRPr="002A2ECB">
        <w:t xml:space="preserve">in </w:t>
      </w:r>
      <w:r w:rsidR="00D43534">
        <w:t xml:space="preserve">its </w:t>
      </w:r>
      <w:r w:rsidR="0089759C" w:rsidRPr="002A2ECB">
        <w:t>existence.</w:t>
      </w:r>
    </w:p>
    <w:p w:rsidR="0065462E" w:rsidRDefault="008B506F" w:rsidP="009F00A4">
      <w:pPr>
        <w:pStyle w:val="Bob1"/>
        <w:tabs>
          <w:tab w:val="clear" w:pos="720"/>
          <w:tab w:val="left" w:pos="1440"/>
        </w:tabs>
        <w:ind w:left="0" w:firstLine="0"/>
        <w:jc w:val="both"/>
      </w:pPr>
      <w:r w:rsidRPr="002A2ECB">
        <w:t>In indecent assault cases, l</w:t>
      </w:r>
      <w:r w:rsidR="00E378E5" w:rsidRPr="002A2ECB">
        <w:t xml:space="preserve">eaving aside </w:t>
      </w:r>
      <w:r w:rsidR="0034518F" w:rsidRPr="002A2ECB">
        <w:t xml:space="preserve">for the moment those involving </w:t>
      </w:r>
      <w:r w:rsidR="00E378E5" w:rsidRPr="002A2ECB">
        <w:t xml:space="preserve">persons under the age of 16, </w:t>
      </w:r>
      <w:r w:rsidR="00E40098" w:rsidRPr="002A2ECB">
        <w:t xml:space="preserve">two main </w:t>
      </w:r>
      <w:r w:rsidR="00F21C5E" w:rsidRPr="002A2ECB">
        <w:t>actus reus</w:t>
      </w:r>
      <w:r w:rsidR="00E40098" w:rsidRPr="002A2ECB">
        <w:t xml:space="preserve"> elements must be proved.  F</w:t>
      </w:r>
      <w:r w:rsidR="0034518F" w:rsidRPr="002A2ECB">
        <w:t xml:space="preserve">irst, </w:t>
      </w:r>
      <w:r w:rsidR="00E40098" w:rsidRPr="002A2ECB">
        <w:t xml:space="preserve">the prosecution must prove </w:t>
      </w:r>
      <w:r w:rsidR="00D43534">
        <w:t>an assault on the other person.</w:t>
      </w:r>
      <w:r w:rsidR="00331BD4" w:rsidRPr="002A2ECB">
        <w:t xml:space="preserve"> </w:t>
      </w:r>
      <w:r w:rsidR="0089759C" w:rsidRPr="002A2ECB">
        <w:t xml:space="preserve"> For this purpose, </w:t>
      </w:r>
      <w:r w:rsidR="0034518F" w:rsidRPr="002A2ECB">
        <w:t>“Any intentional touching of another person without the consent of that person and without lawful excuse”</w:t>
      </w:r>
      <w:r w:rsidR="00331BD4" w:rsidRPr="002A2ECB">
        <w:t xml:space="preserve"> constitutes an assault</w:t>
      </w:r>
      <w:r w:rsidR="0034518F" w:rsidRPr="002A2ECB">
        <w:t>.</w:t>
      </w:r>
      <w:r w:rsidR="00F21C5E" w:rsidRPr="002A2ECB">
        <w:rPr>
          <w:rStyle w:val="FootnoteReference"/>
        </w:rPr>
        <w:footnoteReference w:id="41"/>
      </w:r>
      <w:r w:rsidR="00CB7DD3" w:rsidRPr="002A2ECB">
        <w:t xml:space="preserve"> It follows that </w:t>
      </w:r>
      <w:r w:rsidR="001A7527" w:rsidRPr="002A2ECB">
        <w:t xml:space="preserve">where there is genuine consent freely </w:t>
      </w:r>
      <w:r w:rsidR="0065462E" w:rsidRPr="002A2ECB">
        <w:t xml:space="preserve">and lawfully </w:t>
      </w:r>
      <w:r w:rsidR="001A7527" w:rsidRPr="002A2ECB">
        <w:t>given, there is no assault and the offence is not committed.</w:t>
      </w:r>
      <w:r w:rsidR="0065462E" w:rsidRPr="002A2ECB">
        <w:rPr>
          <w:rStyle w:val="FootnoteReference"/>
        </w:rPr>
        <w:footnoteReference w:id="42"/>
      </w:r>
      <w:r w:rsidR="001A7527" w:rsidRPr="002A2ECB">
        <w:t xml:space="preserve"> </w:t>
      </w:r>
      <w:r w:rsidR="00F21C5E" w:rsidRPr="002A2ECB">
        <w:t xml:space="preserve"> </w:t>
      </w:r>
      <w:r w:rsidR="001A7527" w:rsidRPr="002A2ECB">
        <w:t xml:space="preserve">If </w:t>
      </w:r>
      <w:r w:rsidR="00935532">
        <w:t xml:space="preserve">a potentially believable </w:t>
      </w:r>
      <w:r w:rsidR="00331BD4" w:rsidRPr="002A2ECB">
        <w:t>possib</w:t>
      </w:r>
      <w:r w:rsidR="00D43534">
        <w:t>ility</w:t>
      </w:r>
      <w:r w:rsidR="00331BD4" w:rsidRPr="002A2ECB">
        <w:t xml:space="preserve"> </w:t>
      </w:r>
      <w:r w:rsidR="00D43534">
        <w:t>that there was</w:t>
      </w:r>
      <w:r w:rsidRPr="002A2ECB">
        <w:t xml:space="preserve"> </w:t>
      </w:r>
      <w:r w:rsidR="001A7527" w:rsidRPr="002A2ECB">
        <w:t>consent aris</w:t>
      </w:r>
      <w:r w:rsidR="0065462E" w:rsidRPr="002A2ECB">
        <w:t>es</w:t>
      </w:r>
      <w:r w:rsidR="001A7527" w:rsidRPr="002A2ECB">
        <w:t xml:space="preserve"> on the evidence, the prosecution has the onus of negativing such consent.</w:t>
      </w:r>
      <w:r w:rsidR="001A7527" w:rsidRPr="002A2ECB">
        <w:rPr>
          <w:rStyle w:val="FootnoteReference"/>
        </w:rPr>
        <w:footnoteReference w:id="43"/>
      </w:r>
      <w:r w:rsidR="001A7527" w:rsidRPr="002A2ECB">
        <w:t xml:space="preserve">  </w:t>
      </w:r>
    </w:p>
    <w:p w:rsidR="0031126E" w:rsidRDefault="00B76C74" w:rsidP="009F00A4">
      <w:pPr>
        <w:pStyle w:val="Bob1"/>
        <w:tabs>
          <w:tab w:val="clear" w:pos="720"/>
          <w:tab w:val="left" w:pos="1440"/>
        </w:tabs>
        <w:ind w:left="0" w:firstLine="0"/>
        <w:jc w:val="both"/>
      </w:pPr>
      <w:r w:rsidRPr="002A2ECB">
        <w:t xml:space="preserve">The second actus reus element which </w:t>
      </w:r>
      <w:r w:rsidR="0065462E" w:rsidRPr="002A2ECB">
        <w:t xml:space="preserve">the prosecution </w:t>
      </w:r>
      <w:r w:rsidR="00F21C5E" w:rsidRPr="002A2ECB">
        <w:t xml:space="preserve">must prove </w:t>
      </w:r>
      <w:r w:rsidRPr="002A2ECB">
        <w:t>is</w:t>
      </w:r>
      <w:r w:rsidR="00D43534">
        <w:t xml:space="preserve"> that </w:t>
      </w:r>
      <w:r w:rsidR="00F21C5E" w:rsidRPr="002A2ECB">
        <w:t>the assault was “accompanied by circumstances of indecency towards the person alleged to have been assaulted”</w:t>
      </w:r>
      <w:r w:rsidR="00E40098" w:rsidRPr="002A2ECB">
        <w:t>.</w:t>
      </w:r>
      <w:r w:rsidR="00F21C5E" w:rsidRPr="002A2ECB">
        <w:rPr>
          <w:rStyle w:val="FootnoteReference"/>
        </w:rPr>
        <w:footnoteReference w:id="44"/>
      </w:r>
      <w:r w:rsidR="00F21C5E" w:rsidRPr="002A2ECB">
        <w:t xml:space="preserve"> </w:t>
      </w:r>
      <w:r w:rsidR="00E40098" w:rsidRPr="002A2ECB">
        <w:t xml:space="preserve"> This requires proving that the conduct was indecent,</w:t>
      </w:r>
      <w:r w:rsidR="00F21C5E" w:rsidRPr="002A2ECB">
        <w:t xml:space="preserve"> applying </w:t>
      </w:r>
      <w:r w:rsidR="00331BD4" w:rsidRPr="002A2ECB">
        <w:t xml:space="preserve">(as we have seen) </w:t>
      </w:r>
      <w:r w:rsidR="00F21C5E" w:rsidRPr="002A2ECB">
        <w:t>objective “right-thinking” standards as to what constitutes indecency.</w:t>
      </w:r>
      <w:r w:rsidR="003560C0" w:rsidRPr="002A2ECB">
        <w:t xml:space="preserve">  </w:t>
      </w:r>
    </w:p>
    <w:p w:rsidR="0065462E" w:rsidRPr="002A2ECB" w:rsidRDefault="00331BD4" w:rsidP="009F00A4">
      <w:pPr>
        <w:pStyle w:val="Bob1"/>
        <w:tabs>
          <w:tab w:val="clear" w:pos="720"/>
          <w:tab w:val="left" w:pos="1440"/>
        </w:tabs>
        <w:ind w:left="0" w:firstLine="0"/>
        <w:jc w:val="both"/>
      </w:pPr>
      <w:r w:rsidRPr="002A2ECB">
        <w:t xml:space="preserve">The </w:t>
      </w:r>
      <w:r w:rsidR="00CB7DD3" w:rsidRPr="002A2ECB">
        <w:t>presumption</w:t>
      </w:r>
      <w:r w:rsidRPr="002A2ECB">
        <w:t xml:space="preserve"> of </w:t>
      </w:r>
      <w:r w:rsidR="00CB7DD3" w:rsidRPr="002A2ECB">
        <w:t xml:space="preserve">mens rea </w:t>
      </w:r>
      <w:r w:rsidRPr="002A2ECB">
        <w:t xml:space="preserve">requires </w:t>
      </w:r>
      <w:r w:rsidR="00CB7DD3" w:rsidRPr="002A2ECB">
        <w:t xml:space="preserve">the prosecution </w:t>
      </w:r>
      <w:r w:rsidRPr="002A2ECB">
        <w:t xml:space="preserve">to </w:t>
      </w:r>
      <w:r w:rsidR="00CB7DD3" w:rsidRPr="002A2ECB">
        <w:t xml:space="preserve">prove </w:t>
      </w:r>
      <w:r w:rsidRPr="002A2ECB">
        <w:t xml:space="preserve">mens rea </w:t>
      </w:r>
      <w:r w:rsidR="00E40098" w:rsidRPr="002A2ECB">
        <w:t>correspond</w:t>
      </w:r>
      <w:r w:rsidRPr="002A2ECB">
        <w:t>ing</w:t>
      </w:r>
      <w:r w:rsidR="00E40098" w:rsidRPr="002A2ECB">
        <w:t xml:space="preserve"> to those two actus reus elements</w:t>
      </w:r>
      <w:r w:rsidRPr="002A2ECB">
        <w:t>.  Thus,</w:t>
      </w:r>
      <w:r w:rsidR="00E40098" w:rsidRPr="002A2ECB">
        <w:t xml:space="preserve"> </w:t>
      </w:r>
      <w:r w:rsidR="00CB7DD3" w:rsidRPr="002A2ECB">
        <w:t xml:space="preserve">the defendant </w:t>
      </w:r>
      <w:r w:rsidR="00E40098" w:rsidRPr="002A2ECB">
        <w:t xml:space="preserve">must be shown to have </w:t>
      </w:r>
      <w:r w:rsidR="00CB7DD3" w:rsidRPr="002A2ECB">
        <w:t xml:space="preserve">intended to </w:t>
      </w:r>
      <w:r w:rsidR="00C32A88" w:rsidRPr="002A2ECB">
        <w:t xml:space="preserve">commit an indecent </w:t>
      </w:r>
      <w:r w:rsidR="00CB7DD3" w:rsidRPr="002A2ECB">
        <w:t xml:space="preserve">assault </w:t>
      </w:r>
      <w:r w:rsidR="00C32A88" w:rsidRPr="002A2ECB">
        <w:t xml:space="preserve">on </w:t>
      </w:r>
      <w:r w:rsidR="00CB7DD3" w:rsidRPr="002A2ECB">
        <w:t xml:space="preserve">the other person.  This means that the prosecution must prove that the defendant intended to lay hands </w:t>
      </w:r>
      <w:r w:rsidR="00CB7DD3" w:rsidRPr="002A2ECB">
        <w:lastRenderedPageBreak/>
        <w:t>on the victim</w:t>
      </w:r>
      <w:r w:rsidR="00710C49">
        <w:t xml:space="preserve"> (or otherwise assault her)</w:t>
      </w:r>
      <w:r w:rsidR="00CB7DD3" w:rsidRPr="002A2ECB">
        <w:t xml:space="preserve"> without </w:t>
      </w:r>
      <w:r w:rsidR="004D1E43" w:rsidRPr="002A2ECB">
        <w:t>her consent.</w:t>
      </w:r>
      <w:r w:rsidR="00CB7DD3" w:rsidRPr="002A2ECB">
        <w:rPr>
          <w:rStyle w:val="FootnoteReference"/>
        </w:rPr>
        <w:footnoteReference w:id="45"/>
      </w:r>
      <w:r w:rsidR="004D1E43" w:rsidRPr="002A2ECB">
        <w:t xml:space="preserve">  </w:t>
      </w:r>
      <w:r w:rsidR="0002404D" w:rsidRPr="002A2ECB">
        <w:t xml:space="preserve">If there is </w:t>
      </w:r>
      <w:r w:rsidR="00B76C74" w:rsidRPr="002A2ECB">
        <w:t xml:space="preserve">evidence </w:t>
      </w:r>
      <w:r w:rsidR="0002404D" w:rsidRPr="002A2ECB">
        <w:t xml:space="preserve">giving rise to a reasonable doubt as to </w:t>
      </w:r>
      <w:r w:rsidR="00180607" w:rsidRPr="002A2ECB">
        <w:t xml:space="preserve">whether the defendant believed </w:t>
      </w:r>
      <w:r w:rsidR="00551E7C" w:rsidRPr="002A2ECB">
        <w:t xml:space="preserve">her </w:t>
      </w:r>
      <w:r w:rsidR="00180607" w:rsidRPr="002A2ECB">
        <w:t>to be</w:t>
      </w:r>
      <w:r w:rsidR="00B76C74" w:rsidRPr="002A2ECB">
        <w:t xml:space="preserve"> consent</w:t>
      </w:r>
      <w:r w:rsidR="00180607" w:rsidRPr="002A2ECB">
        <w:t>ing</w:t>
      </w:r>
      <w:r w:rsidR="0002404D" w:rsidRPr="002A2ECB">
        <w:t>, the prosecution must negative that belief.</w:t>
      </w:r>
      <w:r w:rsidR="0002404D" w:rsidRPr="002A2ECB">
        <w:rPr>
          <w:rStyle w:val="FootnoteReference"/>
        </w:rPr>
        <w:footnoteReference w:id="46"/>
      </w:r>
      <w:r w:rsidR="0002404D" w:rsidRPr="002A2ECB">
        <w:t xml:space="preserve">  </w:t>
      </w:r>
      <w:r w:rsidR="00FA6AE7" w:rsidRPr="002A2ECB">
        <w:t>Insofar as the conduct is equivocal as to whether it is indecent, indecency can be proved by evidence of the defendant’s indecent purpose.</w:t>
      </w:r>
      <w:r w:rsidR="00FA6AE7" w:rsidRPr="002A2ECB">
        <w:rPr>
          <w:rStyle w:val="FootnoteReference"/>
        </w:rPr>
        <w:footnoteReference w:id="47"/>
      </w:r>
      <w:r w:rsidR="00FA6AE7" w:rsidRPr="002A2ECB">
        <w:t xml:space="preserve">   </w:t>
      </w:r>
    </w:p>
    <w:p w:rsidR="00DF174C" w:rsidRPr="002A2ECB" w:rsidRDefault="00DF174C" w:rsidP="009F00A4">
      <w:pPr>
        <w:pStyle w:val="docmapheading"/>
      </w:pPr>
      <w:r w:rsidRPr="002A2ECB">
        <w:t>F.</w:t>
      </w:r>
      <w:r w:rsidR="00FA2435" w:rsidRPr="002A2ECB">
        <w:t>2</w:t>
      </w:r>
      <w:r w:rsidRPr="002A2ECB">
        <w:tab/>
      </w:r>
      <w:r w:rsidR="00FA2435" w:rsidRPr="002A2ECB">
        <w:t>The presumption and i</w:t>
      </w:r>
      <w:r w:rsidRPr="002A2ECB">
        <w:t>ndecent assaults on person</w:t>
      </w:r>
      <w:r w:rsidR="00FA2435" w:rsidRPr="002A2ECB">
        <w:t>s</w:t>
      </w:r>
      <w:r w:rsidRPr="002A2ECB">
        <w:t xml:space="preserve"> under the age of 16</w:t>
      </w:r>
    </w:p>
    <w:p w:rsidR="005D07F5" w:rsidRDefault="006B6E31" w:rsidP="009F00A4">
      <w:pPr>
        <w:pStyle w:val="Bob1"/>
        <w:tabs>
          <w:tab w:val="clear" w:pos="720"/>
          <w:tab w:val="left" w:pos="1440"/>
        </w:tabs>
        <w:ind w:left="0" w:firstLine="0"/>
        <w:jc w:val="both"/>
      </w:pPr>
      <w:r w:rsidRPr="002A2ECB">
        <w:t>S</w:t>
      </w:r>
      <w:r w:rsidR="00B76C74" w:rsidRPr="002A2ECB">
        <w:t xml:space="preserve">ection 122(2) </w:t>
      </w:r>
      <w:r w:rsidR="002C2EBA">
        <w:t xml:space="preserve">deprives persons under the age of 16 of the </w:t>
      </w:r>
      <w:r w:rsidR="005D07F5" w:rsidRPr="002A2ECB">
        <w:t>capacity</w:t>
      </w:r>
      <w:r w:rsidR="00B76C74" w:rsidRPr="002A2ECB">
        <w:t xml:space="preserve"> to consent to an act which, if not consensual</w:t>
      </w:r>
      <w:r w:rsidR="002C2EBA">
        <w:t>,</w:t>
      </w:r>
      <w:r w:rsidR="00B76C74" w:rsidRPr="002A2ECB">
        <w:t xml:space="preserve"> would amount to an indecent assault.</w:t>
      </w:r>
      <w:r w:rsidR="002C2EBA" w:rsidRPr="002C2EBA">
        <w:rPr>
          <w:rStyle w:val="FootnoteReference"/>
        </w:rPr>
        <w:t xml:space="preserve"> </w:t>
      </w:r>
      <w:r w:rsidR="002C2EBA">
        <w:t xml:space="preserve"> It </w:t>
      </w:r>
      <w:r w:rsidR="005D07F5" w:rsidRPr="002A2ECB">
        <w:t xml:space="preserve">operates </w:t>
      </w:r>
      <w:r w:rsidR="002E0CAD" w:rsidRPr="002A2ECB">
        <w:t xml:space="preserve">to </w:t>
      </w:r>
      <w:r w:rsidR="00495C65" w:rsidRPr="002A2ECB">
        <w:t>modify</w:t>
      </w:r>
      <w:r w:rsidR="002E0CAD" w:rsidRPr="002A2ECB">
        <w:t xml:space="preserve"> both the actus reus and mens rea requirements of the offence in relation to persons under 16.  </w:t>
      </w:r>
    </w:p>
    <w:p w:rsidR="00495C65" w:rsidRDefault="006B6E31" w:rsidP="009F00A4">
      <w:pPr>
        <w:pStyle w:val="Bob1"/>
        <w:tabs>
          <w:tab w:val="clear" w:pos="720"/>
          <w:tab w:val="left" w:pos="1440"/>
        </w:tabs>
        <w:ind w:left="0" w:firstLine="0"/>
        <w:jc w:val="both"/>
      </w:pPr>
      <w:r w:rsidRPr="002A2ECB">
        <w:t>Thus, a</w:t>
      </w:r>
      <w:r w:rsidR="002E0CAD" w:rsidRPr="002A2ECB">
        <w:t>s we have seen, for persons</w:t>
      </w:r>
      <w:r w:rsidR="002C2EBA">
        <w:t xml:space="preserve"> aged 16 or over</w:t>
      </w:r>
      <w:r w:rsidR="002E0CAD" w:rsidRPr="002A2ECB">
        <w:t>, actual consent negatives</w:t>
      </w:r>
      <w:r w:rsidR="00881D1F" w:rsidRPr="002A2ECB">
        <w:t xml:space="preserve"> the</w:t>
      </w:r>
      <w:r w:rsidR="002E0CAD" w:rsidRPr="002A2ECB">
        <w:t xml:space="preserve"> actus reus and an honest belief in the </w:t>
      </w:r>
      <w:r w:rsidRPr="002A2ECB">
        <w:t xml:space="preserve">other person’s </w:t>
      </w:r>
      <w:r w:rsidR="002E0CAD" w:rsidRPr="002A2ECB">
        <w:t xml:space="preserve">consent negatives </w:t>
      </w:r>
      <w:r w:rsidR="00881D1F" w:rsidRPr="002A2ECB">
        <w:t xml:space="preserve">the </w:t>
      </w:r>
      <w:r w:rsidR="002E0CAD" w:rsidRPr="002A2ECB">
        <w:t xml:space="preserve">mens rea.  However, </w:t>
      </w:r>
      <w:r w:rsidR="00B21DA9" w:rsidRPr="002A2ECB">
        <w:t xml:space="preserve">by </w:t>
      </w:r>
      <w:r w:rsidR="002C2EBA">
        <w:t xml:space="preserve">deeming </w:t>
      </w:r>
      <w:r w:rsidR="002E0CAD" w:rsidRPr="002A2ECB">
        <w:t>person</w:t>
      </w:r>
      <w:r w:rsidR="00B21DA9" w:rsidRPr="002A2ECB">
        <w:t>s</w:t>
      </w:r>
      <w:r w:rsidR="002E0CAD" w:rsidRPr="002A2ECB">
        <w:t xml:space="preserve"> under the age of 16 </w:t>
      </w:r>
      <w:r w:rsidR="00A626AF">
        <w:t xml:space="preserve">to be </w:t>
      </w:r>
      <w:r w:rsidR="002C2EBA">
        <w:t xml:space="preserve">incapable </w:t>
      </w:r>
      <w:r w:rsidR="00B21DA9" w:rsidRPr="002A2ECB">
        <w:t xml:space="preserve">of </w:t>
      </w:r>
      <w:r w:rsidR="002C2EBA">
        <w:t xml:space="preserve">giving </w:t>
      </w:r>
      <w:r w:rsidR="002E0CAD" w:rsidRPr="002A2ECB">
        <w:t>consent</w:t>
      </w:r>
      <w:r w:rsidR="00B21DA9" w:rsidRPr="002A2ECB">
        <w:t xml:space="preserve">, </w:t>
      </w:r>
      <w:r w:rsidRPr="002A2ECB">
        <w:t xml:space="preserve">section 122(2) </w:t>
      </w:r>
      <w:r w:rsidR="002C2EBA">
        <w:t xml:space="preserve">makes </w:t>
      </w:r>
      <w:r w:rsidRPr="002A2ECB">
        <w:t xml:space="preserve">an indecent act </w:t>
      </w:r>
      <w:r w:rsidR="00180607" w:rsidRPr="002A2ECB">
        <w:t xml:space="preserve">towards </w:t>
      </w:r>
      <w:r w:rsidR="003470D2" w:rsidRPr="002A2ECB">
        <w:t xml:space="preserve">such a person </w:t>
      </w:r>
      <w:r w:rsidR="00881D1F" w:rsidRPr="002A2ECB">
        <w:t>as an assault even though the</w:t>
      </w:r>
      <w:r w:rsidR="00495C65" w:rsidRPr="002A2ECB">
        <w:t xml:space="preserve"> evidence</w:t>
      </w:r>
      <w:r w:rsidR="00881D1F" w:rsidRPr="002A2ECB">
        <w:t xml:space="preserve"> </w:t>
      </w:r>
      <w:r w:rsidR="00495C65" w:rsidRPr="002A2ECB">
        <w:t>clearly establish</w:t>
      </w:r>
      <w:r w:rsidRPr="002A2ECB">
        <w:t>es</w:t>
      </w:r>
      <w:r w:rsidR="00495C65" w:rsidRPr="002A2ECB">
        <w:t xml:space="preserve"> that there was</w:t>
      </w:r>
      <w:r w:rsidR="00881D1F" w:rsidRPr="002A2ECB">
        <w:t xml:space="preserve"> consent in fact.  </w:t>
      </w:r>
    </w:p>
    <w:p w:rsidR="006B6E31" w:rsidRDefault="006B6E31" w:rsidP="009F00A4">
      <w:pPr>
        <w:pStyle w:val="Bob1"/>
        <w:tabs>
          <w:tab w:val="clear" w:pos="720"/>
          <w:tab w:val="left" w:pos="1440"/>
        </w:tabs>
        <w:ind w:left="0" w:firstLine="0"/>
        <w:jc w:val="both"/>
      </w:pPr>
      <w:r w:rsidRPr="002A2ECB">
        <w:t xml:space="preserve">In cases where </w:t>
      </w:r>
      <w:r w:rsidR="00AF562C">
        <w:t>the accused assert</w:t>
      </w:r>
      <w:r w:rsidR="00977693">
        <w:t>s</w:t>
      </w:r>
      <w:r w:rsidR="00AF562C">
        <w:t xml:space="preserve"> that there was</w:t>
      </w:r>
      <w:r w:rsidRPr="002A2ECB">
        <w:t xml:space="preserve"> actual consent, </w:t>
      </w:r>
      <w:r w:rsidR="00AF562C">
        <w:t xml:space="preserve">he will naturally also be asserting that he </w:t>
      </w:r>
      <w:r w:rsidRPr="002A2ECB">
        <w:t>honest</w:t>
      </w:r>
      <w:r w:rsidR="00AF562C">
        <w:t>ly</w:t>
      </w:r>
      <w:r w:rsidRPr="002A2ECB">
        <w:t xml:space="preserve"> belie</w:t>
      </w:r>
      <w:r w:rsidR="00AF562C">
        <w:t>ved</w:t>
      </w:r>
      <w:r w:rsidR="00977693">
        <w:t xml:space="preserve"> that the other person was consenting</w:t>
      </w:r>
      <w:r w:rsidRPr="002A2ECB">
        <w:t xml:space="preserve">.  If such a belief were capable of negativing </w:t>
      </w:r>
      <w:r w:rsidR="00F13E90">
        <w:t xml:space="preserve">the </w:t>
      </w:r>
      <w:r w:rsidRPr="002A2ECB">
        <w:t>mens rea</w:t>
      </w:r>
      <w:r w:rsidR="003470D2" w:rsidRPr="002A2ECB">
        <w:t xml:space="preserve"> of the offence</w:t>
      </w:r>
      <w:r w:rsidRPr="002A2ECB">
        <w:t xml:space="preserve">, the </w:t>
      </w:r>
      <w:r w:rsidR="00977693">
        <w:t xml:space="preserve">protective </w:t>
      </w:r>
      <w:r w:rsidRPr="002A2ECB">
        <w:t>purpose of the age-related restriction on capacity to consent</w:t>
      </w:r>
      <w:r w:rsidR="00AF562C">
        <w:t xml:space="preserve"> would be defeated</w:t>
      </w:r>
      <w:r w:rsidRPr="002A2ECB">
        <w:t xml:space="preserve">.  </w:t>
      </w:r>
      <w:r w:rsidR="003470D2" w:rsidRPr="002A2ECB">
        <w:t>S</w:t>
      </w:r>
      <w:r w:rsidR="00067BF0" w:rsidRPr="002A2ECB">
        <w:t xml:space="preserve">ection 122(2) </w:t>
      </w:r>
      <w:r w:rsidR="00977693">
        <w:t>thus</w:t>
      </w:r>
      <w:r w:rsidR="003470D2" w:rsidRPr="002A2ECB">
        <w:t xml:space="preserve"> </w:t>
      </w:r>
      <w:r w:rsidR="00067BF0" w:rsidRPr="002A2ECB">
        <w:t xml:space="preserve">necessarily implies that it does not avail the accused to establish that he honestly (and correctly) believed that the </w:t>
      </w:r>
      <w:r w:rsidR="00977693">
        <w:t>under-aged</w:t>
      </w:r>
      <w:r w:rsidR="00067BF0" w:rsidRPr="002A2ECB">
        <w:t xml:space="preserve"> person was freely consenting to the acts in question.  The effect of </w:t>
      </w:r>
      <w:r w:rsidR="00067BF0" w:rsidRPr="002A2ECB">
        <w:lastRenderedPageBreak/>
        <w:t>section 122(2) is</w:t>
      </w:r>
      <w:r w:rsidR="00F13E90">
        <w:t>, in other words,</w:t>
      </w:r>
      <w:r w:rsidR="00AF562C">
        <w:t xml:space="preserve"> </w:t>
      </w:r>
      <w:r w:rsidR="00067BF0" w:rsidRPr="002A2ECB">
        <w:t xml:space="preserve">to </w:t>
      </w:r>
      <w:r w:rsidR="00AF562C">
        <w:t xml:space="preserve">eliminate </w:t>
      </w:r>
      <w:r w:rsidR="00F13E90">
        <w:t xml:space="preserve">consent as an ingredient </w:t>
      </w:r>
      <w:r w:rsidR="00AF562C">
        <w:t xml:space="preserve">from </w:t>
      </w:r>
      <w:r w:rsidR="00067BF0" w:rsidRPr="002A2ECB">
        <w:t>both the actus reus and mens rea</w:t>
      </w:r>
      <w:r w:rsidR="00F13E90">
        <w:t xml:space="preserve"> of indecent assault</w:t>
      </w:r>
      <w:r w:rsidR="00067BF0" w:rsidRPr="002A2ECB">
        <w:t>.</w:t>
      </w:r>
      <w:r w:rsidR="003470D2" w:rsidRPr="002A2ECB">
        <w:t xml:space="preserve">  </w:t>
      </w:r>
      <w:r w:rsidR="00F13E90">
        <w:t xml:space="preserve">The </w:t>
      </w:r>
      <w:r w:rsidR="003470D2" w:rsidRPr="002A2ECB">
        <w:t>presumption of mens rea</w:t>
      </w:r>
      <w:r w:rsidR="001B5EC5" w:rsidRPr="002A2ECB">
        <w:t xml:space="preserve"> </w:t>
      </w:r>
      <w:r w:rsidR="00F13E90">
        <w:t xml:space="preserve">therefore does not concern any element of consent </w:t>
      </w:r>
      <w:r w:rsidR="001B5EC5" w:rsidRPr="002A2ECB">
        <w:t xml:space="preserve">in cases </w:t>
      </w:r>
      <w:r w:rsidR="00546F6D" w:rsidRPr="002A2ECB">
        <w:t xml:space="preserve">involving persons </w:t>
      </w:r>
      <w:r w:rsidR="001B5EC5" w:rsidRPr="002A2ECB">
        <w:t>under the age of 16</w:t>
      </w:r>
      <w:r w:rsidR="003470D2" w:rsidRPr="002A2ECB">
        <w:t>.</w:t>
      </w:r>
    </w:p>
    <w:p w:rsidR="00602548" w:rsidRDefault="003470D2" w:rsidP="009F00A4">
      <w:pPr>
        <w:pStyle w:val="Bob1"/>
        <w:tabs>
          <w:tab w:val="clear" w:pos="720"/>
          <w:tab w:val="left" w:pos="1440"/>
        </w:tabs>
        <w:ind w:left="0" w:firstLine="0"/>
        <w:jc w:val="both"/>
      </w:pPr>
      <w:r w:rsidRPr="002A2ECB">
        <w:t xml:space="preserve">However, </w:t>
      </w:r>
      <w:r w:rsidR="00F13E90">
        <w:t xml:space="preserve">the defendant’s mental state regarding </w:t>
      </w:r>
      <w:r w:rsidR="00067BF0" w:rsidRPr="002A2ECB">
        <w:t>the other person’s age</w:t>
      </w:r>
      <w:r w:rsidRPr="002A2ECB">
        <w:t xml:space="preserve"> </w:t>
      </w:r>
      <w:r w:rsidR="00E055DE" w:rsidRPr="002A2ECB">
        <w:t>stands on a different footing</w:t>
      </w:r>
      <w:r w:rsidRPr="002A2ECB">
        <w:t xml:space="preserve">.  </w:t>
      </w:r>
      <w:r w:rsidR="00EF3CCD" w:rsidRPr="002A2ECB">
        <w:t xml:space="preserve">While in cases involving persons aged 16 or over, the victim’s age is not </w:t>
      </w:r>
      <w:r w:rsidR="009D70D4" w:rsidRPr="002A2ECB">
        <w:t>relevant</w:t>
      </w:r>
      <w:r w:rsidR="00EF3CCD" w:rsidRPr="002A2ECB">
        <w:t>,</w:t>
      </w:r>
      <w:r w:rsidR="00EF3CCD" w:rsidRPr="002A2ECB">
        <w:rPr>
          <w:rStyle w:val="FootnoteReference"/>
        </w:rPr>
        <w:footnoteReference w:id="48"/>
      </w:r>
      <w:r w:rsidR="00EF3CCD" w:rsidRPr="002A2ECB">
        <w:t xml:space="preserve"> t</w:t>
      </w:r>
      <w:r w:rsidRPr="002A2ECB">
        <w:t xml:space="preserve">he fact that the victim is under 16 </w:t>
      </w:r>
      <w:r w:rsidR="00F13E90">
        <w:t xml:space="preserve">is </w:t>
      </w:r>
      <w:r w:rsidRPr="002A2ECB">
        <w:t xml:space="preserve">an essential ingredient of the offence </w:t>
      </w:r>
      <w:r w:rsidR="00791258" w:rsidRPr="002A2ECB">
        <w:t>as</w:t>
      </w:r>
      <w:r w:rsidRPr="002A2ECB">
        <w:t xml:space="preserve"> modified by section 122(2).  </w:t>
      </w:r>
      <w:r w:rsidR="001B5EC5" w:rsidRPr="002A2ECB">
        <w:t xml:space="preserve">Indecent assault becomes an </w:t>
      </w:r>
      <w:r w:rsidR="00602548" w:rsidRPr="002A2ECB">
        <w:t xml:space="preserve">offence </w:t>
      </w:r>
      <w:r w:rsidR="00977693">
        <w:t xml:space="preserve">which the defendant </w:t>
      </w:r>
      <w:r w:rsidR="00602548" w:rsidRPr="002A2ECB">
        <w:t>commit</w:t>
      </w:r>
      <w:r w:rsidR="00977693">
        <w:t>s by</w:t>
      </w:r>
      <w:r w:rsidR="00602548" w:rsidRPr="002A2ECB">
        <w:t xml:space="preserve"> doing an indecent act </w:t>
      </w:r>
      <w:r w:rsidR="001B5EC5" w:rsidRPr="002A2ECB">
        <w:t xml:space="preserve">towards </w:t>
      </w:r>
      <w:r w:rsidR="00602548" w:rsidRPr="002A2ECB">
        <w:t xml:space="preserve">the victim, </w:t>
      </w:r>
      <w:r w:rsidR="00602548" w:rsidRPr="009F00A4">
        <w:rPr>
          <w:i/>
        </w:rPr>
        <w:t>being a person under 16</w:t>
      </w:r>
      <w:r w:rsidR="00602548" w:rsidRPr="002A2ECB">
        <w:t>, with or without that person’s consent.</w:t>
      </w:r>
      <w:r w:rsidR="005D34BE" w:rsidRPr="002A2ECB">
        <w:rPr>
          <w:rStyle w:val="FootnoteReference"/>
        </w:rPr>
        <w:footnoteReference w:id="49"/>
      </w:r>
      <w:r w:rsidR="00602548" w:rsidRPr="002A2ECB">
        <w:t xml:space="preserve">  The age of the victim therefore </w:t>
      </w:r>
      <w:r w:rsidR="00F13E90">
        <w:t xml:space="preserve">forms </w:t>
      </w:r>
      <w:r w:rsidR="00602548" w:rsidRPr="002A2ECB">
        <w:t xml:space="preserve">part of the actus reus of the offence </w:t>
      </w:r>
      <w:r w:rsidR="00977693">
        <w:t>as</w:t>
      </w:r>
      <w:r w:rsidR="001B5EC5" w:rsidRPr="002A2ECB">
        <w:t xml:space="preserve"> </w:t>
      </w:r>
      <w:r w:rsidR="00602548" w:rsidRPr="002A2ECB">
        <w:t>modified</w:t>
      </w:r>
      <w:r w:rsidR="0099233D" w:rsidRPr="002A2ECB">
        <w:t xml:space="preserve"> </w:t>
      </w:r>
      <w:r w:rsidR="00977693">
        <w:t xml:space="preserve">by section 122(2) </w:t>
      </w:r>
      <w:r w:rsidR="0099233D" w:rsidRPr="002A2ECB">
        <w:t xml:space="preserve">and </w:t>
      </w:r>
      <w:r w:rsidR="001B5EC5" w:rsidRPr="002A2ECB">
        <w:t xml:space="preserve">thus </w:t>
      </w:r>
      <w:r w:rsidR="0099233D" w:rsidRPr="002A2ECB">
        <w:t>engages the presumption of mens rea</w:t>
      </w:r>
      <w:r w:rsidR="00602548" w:rsidRPr="002A2ECB">
        <w:t>.</w:t>
      </w:r>
      <w:r w:rsidR="00C648E4">
        <w:t xml:space="preserve"> </w:t>
      </w:r>
    </w:p>
    <w:p w:rsidR="003470D2" w:rsidRPr="002A2ECB" w:rsidRDefault="00AF562C" w:rsidP="009F00A4">
      <w:pPr>
        <w:pStyle w:val="Bob1"/>
        <w:tabs>
          <w:tab w:val="clear" w:pos="720"/>
          <w:tab w:val="left" w:pos="1440"/>
        </w:tabs>
        <w:ind w:left="0" w:firstLine="0"/>
        <w:jc w:val="both"/>
      </w:pPr>
      <w:r>
        <w:t xml:space="preserve">This accords with the analysis by </w:t>
      </w:r>
      <w:r w:rsidR="00602548" w:rsidRPr="002A2ECB">
        <w:t>Lord Hobhouse of Woodborough</w:t>
      </w:r>
      <w:r>
        <w:t xml:space="preserve"> of </w:t>
      </w:r>
      <w:r w:rsidR="00791258" w:rsidRPr="002A2ECB">
        <w:t xml:space="preserve">section 14(2) of the United Kingdom’s Sexual Offences Act </w:t>
      </w:r>
      <w:r w:rsidR="00602548" w:rsidRPr="002A2ECB">
        <w:t xml:space="preserve">1956 which is </w:t>
      </w:r>
      <w:r w:rsidR="00C648E4">
        <w:t>replicated by</w:t>
      </w:r>
      <w:r w:rsidR="00602548" w:rsidRPr="002A2ECB">
        <w:t xml:space="preserve"> our section 122(2)</w:t>
      </w:r>
      <w:r w:rsidR="00977693">
        <w:t>.  His Lordship stated</w:t>
      </w:r>
      <w:r w:rsidR="00602548" w:rsidRPr="002A2ECB">
        <w:t>:</w:t>
      </w:r>
    </w:p>
    <w:p w:rsidR="00791258" w:rsidRPr="002A2ECB" w:rsidRDefault="00791258" w:rsidP="009F00A4">
      <w:pPr>
        <w:pStyle w:val="NormalIndent"/>
      </w:pPr>
      <w:r w:rsidRPr="002A2ECB">
        <w:t>“Section 14(2) provides a fact-based legal rule which, given the stated factual situation, qualifies the requirement that the indecent act be done without the actual consent of the other person. The additional fact is that the other person is under the age of 16 years. The result is that the actus reus becomes an indecent act done either without the consent of the other person or with or without the consent of the other person being a person under the age of 16 years. The prosecution must therefore prove as regards the actus reus either the fact of the absence of consent or the fact of an age of less than 16 years.”</w:t>
      </w:r>
      <w:r w:rsidR="00602548" w:rsidRPr="002A2ECB">
        <w:rPr>
          <w:rStyle w:val="FootnoteReference"/>
        </w:rPr>
        <w:footnoteReference w:id="50"/>
      </w:r>
      <w:r w:rsidRPr="002A2ECB">
        <w:t xml:space="preserve"> </w:t>
      </w:r>
    </w:p>
    <w:p w:rsidR="00067BF0" w:rsidRPr="002A2ECB" w:rsidRDefault="00B43E74" w:rsidP="004F2A11">
      <w:pPr>
        <w:pStyle w:val="Bob1"/>
        <w:tabs>
          <w:tab w:val="clear" w:pos="720"/>
          <w:tab w:val="left" w:pos="1440"/>
        </w:tabs>
        <w:ind w:left="0" w:firstLine="0"/>
        <w:jc w:val="both"/>
      </w:pPr>
      <w:r w:rsidRPr="002A2ECB">
        <w:lastRenderedPageBreak/>
        <w:t xml:space="preserve">Having concluded that the presumption of mens rea is engaged </w:t>
      </w:r>
      <w:r w:rsidR="00AF562C">
        <w:t xml:space="preserve">regarding </w:t>
      </w:r>
      <w:r w:rsidRPr="002A2ECB">
        <w:t>the alleged victim’s age, the questions which</w:t>
      </w:r>
      <w:r w:rsidR="00D532BF">
        <w:t xml:space="preserve"> fall to be considered</w:t>
      </w:r>
      <w:r w:rsidRPr="002A2ECB">
        <w:t xml:space="preserve"> are whether that presumption is displaced and, if so, displaced by what.</w:t>
      </w:r>
    </w:p>
    <w:p w:rsidR="005040B5" w:rsidRPr="002A2ECB" w:rsidRDefault="005040B5" w:rsidP="009F00A4">
      <w:pPr>
        <w:pStyle w:val="docmapheading"/>
      </w:pPr>
      <w:r w:rsidRPr="002A2ECB">
        <w:t>G.</w:t>
      </w:r>
      <w:r w:rsidRPr="002A2ECB">
        <w:tab/>
        <w:t>Is the presumption displaced?</w:t>
      </w:r>
    </w:p>
    <w:p w:rsidR="00BC15BF" w:rsidRDefault="000020D1" w:rsidP="004F2A11">
      <w:pPr>
        <w:pStyle w:val="Bob1"/>
        <w:tabs>
          <w:tab w:val="clear" w:pos="720"/>
          <w:tab w:val="left" w:pos="1440"/>
        </w:tabs>
        <w:ind w:left="0" w:firstLine="0"/>
        <w:jc w:val="both"/>
      </w:pPr>
      <w:r w:rsidRPr="002A2ECB">
        <w:t xml:space="preserve">As </w:t>
      </w:r>
      <w:r w:rsidR="00BC15BF" w:rsidRPr="002A2ECB">
        <w:t>stated</w:t>
      </w:r>
      <w:r w:rsidRPr="002A2ECB">
        <w:t xml:space="preserve"> above, a statutory offence is presumed to require proof of mens rea unless the presumption is </w:t>
      </w:r>
      <w:r w:rsidR="00C648E4">
        <w:t xml:space="preserve">displaced </w:t>
      </w:r>
      <w:r w:rsidRPr="002A2ECB">
        <w:t>expressly or by necessary implication.</w:t>
      </w:r>
      <w:r w:rsidRPr="002A2ECB">
        <w:rPr>
          <w:rStyle w:val="FootnoteReference"/>
        </w:rPr>
        <w:footnoteReference w:id="51"/>
      </w:r>
      <w:r w:rsidRPr="002A2ECB">
        <w:t xml:space="preserve">  </w:t>
      </w:r>
      <w:r w:rsidR="00BC15BF" w:rsidRPr="002A2ECB">
        <w:t>Whether such displacement occurs is a matter of statutory construction requiring examination of the statutory language; the nature and subject-matter of the offence; the legislative purpose</w:t>
      </w:r>
      <w:r w:rsidR="00EF3BCB">
        <w:t xml:space="preserve"> and any other matters indicative of the statutory intent</w:t>
      </w:r>
      <w:r w:rsidR="00BC15BF" w:rsidRPr="002A2ECB">
        <w:t>.</w:t>
      </w:r>
      <w:r w:rsidR="00BC15BF" w:rsidRPr="002A2ECB">
        <w:rPr>
          <w:rStyle w:val="FootnoteReference"/>
        </w:rPr>
        <w:footnoteReference w:id="52"/>
      </w:r>
      <w:r w:rsidR="00BC15BF" w:rsidRPr="002A2ECB">
        <w:t xml:space="preserve">  </w:t>
      </w:r>
    </w:p>
    <w:p w:rsidR="000020D1" w:rsidRDefault="000020D1" w:rsidP="004F2A11">
      <w:pPr>
        <w:pStyle w:val="Bob1"/>
        <w:tabs>
          <w:tab w:val="clear" w:pos="720"/>
          <w:tab w:val="left" w:pos="1440"/>
        </w:tabs>
        <w:ind w:left="0" w:firstLine="0"/>
        <w:jc w:val="both"/>
      </w:pPr>
      <w:r w:rsidRPr="002A2ECB">
        <w:t xml:space="preserve">As </w:t>
      </w:r>
      <w:r w:rsidR="00A66BEA" w:rsidRPr="002A2ECB">
        <w:t>pointed out</w:t>
      </w:r>
      <w:r w:rsidRPr="002A2ECB">
        <w:t xml:space="preserve"> in </w:t>
      </w:r>
      <w:r w:rsidRPr="004F2A11">
        <w:rPr>
          <w:i/>
        </w:rPr>
        <w:t>Hin Lin Yee</w:t>
      </w:r>
      <w:r w:rsidRPr="002A2ECB">
        <w:t>,</w:t>
      </w:r>
      <w:r w:rsidRPr="002A2ECB">
        <w:rPr>
          <w:rStyle w:val="FootnoteReference"/>
        </w:rPr>
        <w:footnoteReference w:id="53"/>
      </w:r>
      <w:r w:rsidRPr="002A2ECB">
        <w:t xml:space="preserve"> the availability of intermediate bases of liability</w:t>
      </w:r>
      <w:r w:rsidR="00921F6E" w:rsidRPr="002A2ECB">
        <w:t xml:space="preserve"> </w:t>
      </w:r>
      <w:r w:rsidR="0026431E" w:rsidRPr="002A2ECB">
        <w:t xml:space="preserve">inevitably influences </w:t>
      </w:r>
      <w:r w:rsidR="00921F6E" w:rsidRPr="002A2ECB">
        <w:t xml:space="preserve">the </w:t>
      </w:r>
      <w:r w:rsidR="0026431E" w:rsidRPr="002A2ECB">
        <w:t>approach to deciding whether</w:t>
      </w:r>
      <w:r w:rsidRPr="002A2ECB">
        <w:t xml:space="preserve"> </w:t>
      </w:r>
      <w:r w:rsidR="00C648E4">
        <w:t>a dislodging of the presumption</w:t>
      </w:r>
      <w:r w:rsidR="00803630" w:rsidRPr="002A2ECB">
        <w:t xml:space="preserve"> </w:t>
      </w:r>
      <w:r w:rsidR="00DD1BF3">
        <w:t>is intended</w:t>
      </w:r>
      <w:r w:rsidRPr="002A2ECB">
        <w:t>.</w:t>
      </w:r>
      <w:r w:rsidR="00D862B4" w:rsidRPr="002A2ECB">
        <w:t xml:space="preserve">  </w:t>
      </w:r>
      <w:r w:rsidR="0026431E" w:rsidRPr="002A2ECB">
        <w:t xml:space="preserve">A court may recoil from </w:t>
      </w:r>
      <w:r w:rsidR="00DD1BF3">
        <w:t xml:space="preserve">imposing </w:t>
      </w:r>
      <w:r w:rsidR="0026431E" w:rsidRPr="002A2ECB">
        <w:t xml:space="preserve">absolute liability </w:t>
      </w:r>
      <w:r w:rsidR="00C648E4">
        <w:t xml:space="preserve">for a particular offence </w:t>
      </w:r>
      <w:r w:rsidR="0026431E" w:rsidRPr="002A2ECB">
        <w:t>and so hold against displacement</w:t>
      </w:r>
      <w:r w:rsidR="00DD1BF3">
        <w:t>,</w:t>
      </w:r>
      <w:r w:rsidR="0026431E" w:rsidRPr="002A2ECB">
        <w:t xml:space="preserve"> while it may be </w:t>
      </w:r>
      <w:r w:rsidR="00DD1BF3">
        <w:t xml:space="preserve">prepared to hold that </w:t>
      </w:r>
      <w:r w:rsidR="002866B6" w:rsidRPr="002A2ECB">
        <w:t xml:space="preserve">the presumption </w:t>
      </w:r>
      <w:r w:rsidR="00DD1BF3">
        <w:t xml:space="preserve">is supplanted </w:t>
      </w:r>
      <w:r w:rsidR="002866B6" w:rsidRPr="002A2ECB">
        <w:t xml:space="preserve">in favour of the </w:t>
      </w:r>
      <w:r w:rsidR="0026431E" w:rsidRPr="002A2ECB">
        <w:t xml:space="preserve">second or third </w:t>
      </w:r>
      <w:r w:rsidR="0026431E" w:rsidRPr="004F2A11">
        <w:rPr>
          <w:i/>
        </w:rPr>
        <w:t xml:space="preserve">Kulemesin </w:t>
      </w:r>
      <w:r w:rsidR="0026431E" w:rsidRPr="002A2ECB">
        <w:t xml:space="preserve">alternative.  </w:t>
      </w:r>
      <w:r w:rsidR="00A66BEA" w:rsidRPr="002A2ECB">
        <w:t xml:space="preserve">The </w:t>
      </w:r>
      <w:r w:rsidR="00D862B4" w:rsidRPr="002A2ECB">
        <w:t>decision</w:t>
      </w:r>
      <w:r w:rsidR="002866B6" w:rsidRPr="002A2ECB">
        <w:t xml:space="preserve"> in</w:t>
      </w:r>
      <w:r w:rsidR="00D862B4" w:rsidRPr="002A2ECB">
        <w:t xml:space="preserve"> </w:t>
      </w:r>
      <w:r w:rsidR="00D862B4" w:rsidRPr="004F2A11">
        <w:rPr>
          <w:i/>
        </w:rPr>
        <w:t>R v K</w:t>
      </w:r>
      <w:r w:rsidR="00DC3F5F" w:rsidRPr="002A2ECB">
        <w:rPr>
          <w:rStyle w:val="FootnoteReference"/>
        </w:rPr>
        <w:footnoteReference w:id="54"/>
      </w:r>
      <w:r w:rsidR="00D862B4" w:rsidRPr="002A2ECB">
        <w:t xml:space="preserve"> that the offence of indecent assault requir</w:t>
      </w:r>
      <w:r w:rsidR="00B22F8F" w:rsidRPr="002A2ECB">
        <w:t>es</w:t>
      </w:r>
      <w:r w:rsidR="00D862B4" w:rsidRPr="002A2ECB">
        <w:t xml:space="preserve"> proof of full mens rea, </w:t>
      </w:r>
      <w:r w:rsidR="00B22F8F" w:rsidRPr="002A2ECB">
        <w:t xml:space="preserve">should </w:t>
      </w:r>
      <w:r w:rsidR="00D862B4" w:rsidRPr="002A2ECB">
        <w:t xml:space="preserve">be </w:t>
      </w:r>
      <w:r w:rsidR="002866B6" w:rsidRPr="002A2ECB">
        <w:t xml:space="preserve">viewed </w:t>
      </w:r>
      <w:r w:rsidR="00B22F8F" w:rsidRPr="002A2ECB">
        <w:t>in that context</w:t>
      </w:r>
      <w:r w:rsidR="00D862B4" w:rsidRPr="002A2ECB">
        <w:t xml:space="preserve">. </w:t>
      </w:r>
      <w:r w:rsidR="00B22F8F" w:rsidRPr="002A2ECB">
        <w:t xml:space="preserve"> </w:t>
      </w:r>
      <w:r w:rsidR="002866B6" w:rsidRPr="002A2ECB">
        <w:lastRenderedPageBreak/>
        <w:t>With no</w:t>
      </w:r>
      <w:r w:rsidR="00B22F8F" w:rsidRPr="002A2ECB">
        <w:t xml:space="preserve"> intermediate option, it is not surprising that the House of Lords </w:t>
      </w:r>
      <w:r w:rsidR="00DD1BF3">
        <w:t xml:space="preserve">ruled in favour of </w:t>
      </w:r>
      <w:r w:rsidR="00C648E4">
        <w:t xml:space="preserve">requiring </w:t>
      </w:r>
      <w:r w:rsidR="00B22F8F" w:rsidRPr="002A2ECB">
        <w:t>mens rea</w:t>
      </w:r>
      <w:r w:rsidR="002E3958">
        <w:t xml:space="preserve"> instead of absolute liability</w:t>
      </w:r>
      <w:r w:rsidR="00B22F8F" w:rsidRPr="002A2ECB">
        <w:t>.</w:t>
      </w:r>
    </w:p>
    <w:p w:rsidR="0090010B" w:rsidRDefault="0090010B" w:rsidP="004F2A11">
      <w:pPr>
        <w:pStyle w:val="Bob1"/>
        <w:tabs>
          <w:tab w:val="clear" w:pos="720"/>
          <w:tab w:val="left" w:pos="1440"/>
        </w:tabs>
        <w:ind w:left="0" w:firstLine="0"/>
        <w:jc w:val="both"/>
      </w:pPr>
      <w:r w:rsidRPr="002A2ECB">
        <w:t xml:space="preserve">In the present case, sections 122(1) and 122(2) are silent as to the mental ingredient, if any, </w:t>
      </w:r>
      <w:r w:rsidR="002E3958">
        <w:t xml:space="preserve">required regarding </w:t>
      </w:r>
      <w:r w:rsidRPr="002A2ECB">
        <w:t xml:space="preserve">the other person’s age.  </w:t>
      </w:r>
      <w:r w:rsidR="00370334" w:rsidRPr="002A2ECB">
        <w:t>It is a serious offence</w:t>
      </w:r>
      <w:r w:rsidR="00734E27" w:rsidRPr="002A2ECB">
        <w:t xml:space="preserve"> “in terms of penalty and social obloquy”</w:t>
      </w:r>
      <w:r w:rsidR="00370334" w:rsidRPr="002A2ECB">
        <w:t xml:space="preserve">, carrying a maximum sentence of </w:t>
      </w:r>
      <w:r w:rsidR="00532518">
        <w:t>ten</w:t>
      </w:r>
      <w:r w:rsidR="00370334" w:rsidRPr="002A2ECB">
        <w:t xml:space="preserve"> years’ imprisonment on indictment </w:t>
      </w:r>
      <w:r w:rsidR="00734E27" w:rsidRPr="002A2ECB">
        <w:t xml:space="preserve">which is a feature tending to </w:t>
      </w:r>
      <w:r w:rsidR="00C648E4">
        <w:t xml:space="preserve">favour </w:t>
      </w:r>
      <w:r w:rsidR="00734E27" w:rsidRPr="002A2ECB">
        <w:t>non-displacement of the presumption of mens rea.</w:t>
      </w:r>
      <w:r w:rsidR="00734E27" w:rsidRPr="002A2ECB">
        <w:rPr>
          <w:rStyle w:val="FootnoteReference"/>
        </w:rPr>
        <w:footnoteReference w:id="55"/>
      </w:r>
    </w:p>
    <w:p w:rsidR="00734E27" w:rsidRDefault="00734E27" w:rsidP="004F2A11">
      <w:pPr>
        <w:pStyle w:val="Bob1"/>
        <w:tabs>
          <w:tab w:val="clear" w:pos="720"/>
          <w:tab w:val="left" w:pos="1440"/>
        </w:tabs>
        <w:ind w:left="0" w:firstLine="0"/>
        <w:jc w:val="both"/>
      </w:pPr>
      <w:r w:rsidRPr="002A2ECB">
        <w:t xml:space="preserve">However, </w:t>
      </w:r>
      <w:r w:rsidR="00BE73AF" w:rsidRPr="002A2ECB">
        <w:t xml:space="preserve">given </w:t>
      </w:r>
      <w:r w:rsidRPr="002A2ECB">
        <w:t>the manifest purpose</w:t>
      </w:r>
      <w:r w:rsidR="00F84EA1" w:rsidRPr="002A2ECB">
        <w:t xml:space="preserve"> </w:t>
      </w:r>
      <w:r w:rsidR="00C648E4">
        <w:t xml:space="preserve">of section 122(2) </w:t>
      </w:r>
      <w:r w:rsidR="00F84EA1" w:rsidRPr="002A2ECB">
        <w:t>viewed</w:t>
      </w:r>
      <w:r w:rsidRPr="002A2ECB">
        <w:t xml:space="preserve"> </w:t>
      </w:r>
      <w:r w:rsidR="00E80E3D" w:rsidRPr="002A2ECB">
        <w:t xml:space="preserve">in the light of </w:t>
      </w:r>
      <w:r w:rsidRPr="002A2ECB">
        <w:t xml:space="preserve">the Hong Kong courts’ long-standing policy regarding age-related sexual offences, </w:t>
      </w:r>
      <w:r w:rsidR="00C648E4">
        <w:t>I am of the view that</w:t>
      </w:r>
      <w:r w:rsidR="00F84EA1" w:rsidRPr="002A2ECB">
        <w:t xml:space="preserve"> </w:t>
      </w:r>
      <w:r w:rsidRPr="002A2ECB">
        <w:t xml:space="preserve">the presumption of mens rea </w:t>
      </w:r>
      <w:r w:rsidR="00BE73AF" w:rsidRPr="002A2ECB">
        <w:t xml:space="preserve">is clearly </w:t>
      </w:r>
      <w:r w:rsidRPr="002A2ECB">
        <w:t xml:space="preserve">displaced </w:t>
      </w:r>
      <w:r w:rsidR="00C648E4">
        <w:t xml:space="preserve">in respect of </w:t>
      </w:r>
      <w:r w:rsidR="00BE73AF" w:rsidRPr="002A2ECB">
        <w:t xml:space="preserve">indecent assaults </w:t>
      </w:r>
      <w:r w:rsidR="00C648E4">
        <w:t xml:space="preserve">on </w:t>
      </w:r>
      <w:r w:rsidRPr="002A2ECB">
        <w:t>persons under the age of 16</w:t>
      </w:r>
      <w:r w:rsidR="002E3958">
        <w:t xml:space="preserve"> in this jurisdiction</w:t>
      </w:r>
      <w:r w:rsidRPr="002A2ECB">
        <w:t>.</w:t>
      </w:r>
    </w:p>
    <w:p w:rsidR="00F20EDC" w:rsidRPr="002A2ECB" w:rsidRDefault="00EA503E" w:rsidP="004F2A11">
      <w:pPr>
        <w:pStyle w:val="Bob1"/>
        <w:tabs>
          <w:tab w:val="clear" w:pos="720"/>
          <w:tab w:val="left" w:pos="1440"/>
        </w:tabs>
        <w:ind w:left="0" w:firstLine="0"/>
        <w:jc w:val="both"/>
      </w:pPr>
      <w:r w:rsidRPr="002A2ECB">
        <w:t>We have seen that the effect of section 122(2) is to deprive persons under th</w:t>
      </w:r>
      <w:r w:rsidR="00E80E3D" w:rsidRPr="002A2ECB">
        <w:t>at</w:t>
      </w:r>
      <w:r w:rsidRPr="002A2ECB">
        <w:t xml:space="preserve"> age of the capacity to consent to an indecent act and </w:t>
      </w:r>
      <w:r w:rsidR="009E5406">
        <w:t>thus</w:t>
      </w:r>
      <w:r w:rsidRPr="002A2ECB">
        <w:t xml:space="preserve"> to transform the offence</w:t>
      </w:r>
      <w:r w:rsidR="009E5406">
        <w:t xml:space="preserve"> </w:t>
      </w:r>
      <w:r w:rsidRPr="002A2ECB">
        <w:t>into one of significantly stricter liability.</w:t>
      </w:r>
      <w:r w:rsidR="00BB19E6" w:rsidRPr="002A2ECB">
        <w:t xml:space="preserve">  The manifest statutory intention is to confer </w:t>
      </w:r>
      <w:r w:rsidR="009E5406">
        <w:t xml:space="preserve">special </w:t>
      </w:r>
      <w:r w:rsidR="00BB19E6" w:rsidRPr="002A2ECB">
        <w:t>protection on</w:t>
      </w:r>
      <w:r w:rsidR="00F84EA1" w:rsidRPr="002A2ECB">
        <w:t xml:space="preserve"> </w:t>
      </w:r>
      <w:r w:rsidR="00F04ADB">
        <w:t xml:space="preserve">a class of </w:t>
      </w:r>
      <w:r w:rsidR="009E5406">
        <w:t xml:space="preserve">vulnerable </w:t>
      </w:r>
      <w:r w:rsidR="00F84EA1" w:rsidRPr="002A2ECB">
        <w:t xml:space="preserve">persons who are </w:t>
      </w:r>
      <w:r w:rsidR="00BB19E6" w:rsidRPr="002A2ECB">
        <w:t xml:space="preserve">potential objects of indecent acts.  </w:t>
      </w:r>
      <w:r w:rsidR="008A3AC7" w:rsidRPr="002A2ECB">
        <w:t xml:space="preserve">The long-standing </w:t>
      </w:r>
      <w:r w:rsidR="002E3958">
        <w:t>approach</w:t>
      </w:r>
      <w:r w:rsidR="008A3AC7" w:rsidRPr="002A2ECB">
        <w:t xml:space="preserve"> of our courts has been to </w:t>
      </w:r>
      <w:r w:rsidR="00E504A0">
        <w:t>implement</w:t>
      </w:r>
      <w:r w:rsidR="008A3AC7" w:rsidRPr="002A2ECB">
        <w:t xml:space="preserve"> such protection by construing age-related sexual offences as </w:t>
      </w:r>
      <w:r w:rsidR="00CA4994" w:rsidRPr="002A2ECB">
        <w:t xml:space="preserve">requiring potential defendants to take care </w:t>
      </w:r>
      <w:r w:rsidR="005165B5" w:rsidRPr="002A2ECB">
        <w:t>“</w:t>
      </w:r>
      <w:r w:rsidR="00CA4994" w:rsidRPr="002A2ECB">
        <w:t>to avoid what may be unlawful and steering well away from the line between legality and illegality</w:t>
      </w:r>
      <w:r w:rsidR="005165B5" w:rsidRPr="002A2ECB">
        <w:t>”, holding that this</w:t>
      </w:r>
      <w:r w:rsidR="00CA4994" w:rsidRPr="002A2ECB">
        <w:t xml:space="preserve"> </w:t>
      </w:r>
      <w:r w:rsidR="005165B5" w:rsidRPr="002A2ECB">
        <w:t>“</w:t>
      </w:r>
      <w:r w:rsidR="00CA4994" w:rsidRPr="002A2ECB">
        <w:t>would add materially to the protection for young girls</w:t>
      </w:r>
      <w:r w:rsidR="005165B5" w:rsidRPr="002A2ECB">
        <w:t>” provided for by the relevant statute</w:t>
      </w:r>
      <w:r w:rsidR="00CA4994" w:rsidRPr="002A2ECB">
        <w:t>.</w:t>
      </w:r>
      <w:r w:rsidR="005165B5" w:rsidRPr="002A2ECB">
        <w:rPr>
          <w:rStyle w:val="FootnoteReference"/>
        </w:rPr>
        <w:footnoteReference w:id="56"/>
      </w:r>
      <w:r w:rsidR="00CA4994" w:rsidRPr="002A2ECB">
        <w:t xml:space="preserve"> </w:t>
      </w:r>
      <w:r w:rsidR="00E80E3D" w:rsidRPr="002A2ECB">
        <w:t xml:space="preserve"> </w:t>
      </w:r>
      <w:r w:rsidR="009E5406">
        <w:t>S</w:t>
      </w:r>
      <w:r w:rsidR="00E80E3D" w:rsidRPr="002A2ECB">
        <w:t>ome of those decisions were arrived at before the development of intermediate bases of liability</w:t>
      </w:r>
      <w:r w:rsidR="002E3958">
        <w:t xml:space="preserve"> and led</w:t>
      </w:r>
      <w:r w:rsidR="007D442E" w:rsidRPr="002A2ECB">
        <w:t xml:space="preserve"> to</w:t>
      </w:r>
      <w:r w:rsidR="00F84EA1" w:rsidRPr="002A2ECB">
        <w:t xml:space="preserve"> conclusions in favour of absolute liability</w:t>
      </w:r>
      <w:r w:rsidR="002E3958">
        <w:t>, indicating the force of that policy</w:t>
      </w:r>
      <w:r w:rsidR="00E80E3D" w:rsidRPr="002A2ECB">
        <w:t xml:space="preserve">.  </w:t>
      </w:r>
      <w:r w:rsidR="002E3958">
        <w:t xml:space="preserve">The existence of </w:t>
      </w:r>
      <w:r w:rsidR="002E3958">
        <w:lastRenderedPageBreak/>
        <w:t>intermediate options</w:t>
      </w:r>
      <w:r w:rsidR="00E21A2B" w:rsidRPr="002A2ECB">
        <w:t xml:space="preserve"> does not affect </w:t>
      </w:r>
      <w:r w:rsidR="002E3958">
        <w:t xml:space="preserve">its </w:t>
      </w:r>
      <w:r w:rsidR="00E21A2B" w:rsidRPr="002A2ECB">
        <w:t xml:space="preserve">continuing vitality.  </w:t>
      </w:r>
      <w:r w:rsidR="00E504A0">
        <w:t>T</w:t>
      </w:r>
      <w:r w:rsidR="00F04ADB">
        <w:t xml:space="preserve">he statutory purpose </w:t>
      </w:r>
      <w:r w:rsidR="002E3958">
        <w:t xml:space="preserve">would plainly be compromised if </w:t>
      </w:r>
      <w:r w:rsidR="00E21A2B" w:rsidRPr="002A2ECB">
        <w:t xml:space="preserve">the presumption of mens rea </w:t>
      </w:r>
      <w:r w:rsidR="002E3958">
        <w:t xml:space="preserve">is not dislodged </w:t>
      </w:r>
      <w:r w:rsidR="00E21A2B" w:rsidRPr="002A2ECB">
        <w:t>in respect of</w:t>
      </w:r>
      <w:r w:rsidR="00F84EA1" w:rsidRPr="002A2ECB">
        <w:t xml:space="preserve"> the girl’s age</w:t>
      </w:r>
      <w:r w:rsidR="00E504A0">
        <w:t xml:space="preserve"> and</w:t>
      </w:r>
      <w:r w:rsidR="002E3958">
        <w:t xml:space="preserve"> </w:t>
      </w:r>
      <w:r w:rsidR="00E21A2B" w:rsidRPr="002A2ECB">
        <w:t xml:space="preserve">the prosecution </w:t>
      </w:r>
      <w:r w:rsidR="00E504A0">
        <w:t>w</w:t>
      </w:r>
      <w:r w:rsidR="00696FFD">
        <w:t>ere</w:t>
      </w:r>
      <w:r w:rsidR="00E504A0">
        <w:t xml:space="preserve"> required </w:t>
      </w:r>
      <w:r w:rsidR="00E21A2B" w:rsidRPr="002A2ECB">
        <w:t xml:space="preserve">to disprove, beyond reasonable doubt, any claim made by the defendant that he honestly believed that </w:t>
      </w:r>
      <w:r w:rsidR="00F84EA1" w:rsidRPr="002A2ECB">
        <w:t xml:space="preserve">she </w:t>
      </w:r>
      <w:r w:rsidR="00E21A2B" w:rsidRPr="002A2ECB">
        <w:t>was aged 16 or over.</w:t>
      </w:r>
      <w:r w:rsidR="002E3958">
        <w:t xml:space="preserve"> </w:t>
      </w:r>
    </w:p>
    <w:p w:rsidR="006E1D42" w:rsidRPr="002A2ECB" w:rsidRDefault="006E1D42" w:rsidP="009F00A4">
      <w:pPr>
        <w:pStyle w:val="docmapheading"/>
      </w:pPr>
      <w:r w:rsidRPr="002A2ECB">
        <w:t>H.</w:t>
      </w:r>
      <w:r w:rsidRPr="002A2ECB">
        <w:tab/>
        <w:t>Displaced by what?</w:t>
      </w:r>
    </w:p>
    <w:p w:rsidR="00592489" w:rsidRPr="002A2ECB" w:rsidRDefault="00592489" w:rsidP="009F00A4">
      <w:pPr>
        <w:pStyle w:val="docmapheading"/>
      </w:pPr>
      <w:r w:rsidRPr="002A2ECB">
        <w:t>H.1</w:t>
      </w:r>
      <w:r w:rsidRPr="002A2ECB">
        <w:tab/>
        <w:t>Absolute lia</w:t>
      </w:r>
      <w:r w:rsidR="00D21E98" w:rsidRPr="002A2ECB">
        <w:t>bility</w:t>
      </w:r>
    </w:p>
    <w:p w:rsidR="00C92A70" w:rsidRPr="002A2ECB" w:rsidRDefault="0076325A" w:rsidP="004F2A11">
      <w:pPr>
        <w:pStyle w:val="Bob1"/>
        <w:tabs>
          <w:tab w:val="clear" w:pos="720"/>
          <w:tab w:val="left" w:pos="1440"/>
        </w:tabs>
        <w:ind w:left="0" w:firstLine="0"/>
        <w:jc w:val="both"/>
      </w:pPr>
      <w:r w:rsidRPr="002A2ECB">
        <w:t xml:space="preserve">Absolute liability departs from basic common law </w:t>
      </w:r>
      <w:r w:rsidR="00765396" w:rsidRPr="002A2ECB">
        <w:t>principles</w:t>
      </w:r>
      <w:r w:rsidRPr="002A2ECB">
        <w:t xml:space="preserve"> of criminal responsibility which generally require some degree of knowledge or intention to accompany the prohibited conduct.  </w:t>
      </w:r>
      <w:r w:rsidR="00C92A70" w:rsidRPr="002A2ECB">
        <w:t>As this Court recognised:</w:t>
      </w:r>
    </w:p>
    <w:p w:rsidR="00C92A70" w:rsidRPr="002A2ECB" w:rsidRDefault="00C92A70" w:rsidP="004F2A11">
      <w:pPr>
        <w:pStyle w:val="Bob1"/>
        <w:numPr>
          <w:ilvl w:val="0"/>
          <w:numId w:val="0"/>
        </w:numPr>
        <w:spacing w:line="240" w:lineRule="auto"/>
        <w:ind w:left="720"/>
        <w:jc w:val="both"/>
        <w:rPr>
          <w:sz w:val="24"/>
        </w:rPr>
      </w:pPr>
      <w:r w:rsidRPr="002A2ECB">
        <w:rPr>
          <w:sz w:val="24"/>
        </w:rPr>
        <w:t xml:space="preserve">“... </w:t>
      </w:r>
      <w:r w:rsidR="005961DD" w:rsidRPr="002A2ECB">
        <w:rPr>
          <w:sz w:val="24"/>
        </w:rPr>
        <w:t xml:space="preserve">it </w:t>
      </w:r>
      <w:r w:rsidRPr="002A2ECB">
        <w:rPr>
          <w:sz w:val="24"/>
        </w:rPr>
        <w:t>is in principle objectionable, especially where the offence is serious, that a person should be made criminally liable where he did not deliberately or recklessly engage in the prohibited conduct or where he was ignorant of circumstances making his conduct criminal or where he acted harbouring an honest and reasonable belief inconsistent with liability.”</w:t>
      </w:r>
      <w:r w:rsidRPr="002A2ECB">
        <w:rPr>
          <w:rStyle w:val="FootnoteReference"/>
          <w:sz w:val="24"/>
        </w:rPr>
        <w:footnoteReference w:id="57"/>
      </w:r>
      <w:r w:rsidRPr="002A2ECB">
        <w:rPr>
          <w:sz w:val="24"/>
        </w:rPr>
        <w:t xml:space="preserve"> </w:t>
      </w:r>
    </w:p>
    <w:p w:rsidR="00F740C3" w:rsidRDefault="0076325A" w:rsidP="004F2A11">
      <w:pPr>
        <w:pStyle w:val="Bob1"/>
        <w:tabs>
          <w:tab w:val="clear" w:pos="720"/>
          <w:tab w:val="left" w:pos="1440"/>
        </w:tabs>
        <w:ind w:left="0" w:firstLine="0"/>
        <w:jc w:val="both"/>
      </w:pPr>
      <w:r w:rsidRPr="002A2ECB">
        <w:t>It is thus never lightly</w:t>
      </w:r>
      <w:r w:rsidR="006F7FDA" w:rsidRPr="002A2ECB">
        <w:t xml:space="preserve"> to be</w:t>
      </w:r>
      <w:r w:rsidRPr="002A2ECB">
        <w:t xml:space="preserve"> inferred that the legislature intended to create an offence </w:t>
      </w:r>
      <w:r w:rsidR="00090492">
        <w:t xml:space="preserve">of absolute liability </w:t>
      </w:r>
      <w:r w:rsidRPr="002A2ECB">
        <w:t xml:space="preserve">since, as Lord Reid put it: “... </w:t>
      </w:r>
      <w:r w:rsidR="00F740C3" w:rsidRPr="002A2ECB">
        <w:t>someone could be convicted of it who by all reasonable and sensible standards is without fault.”</w:t>
      </w:r>
      <w:r w:rsidRPr="002A2ECB">
        <w:rPr>
          <w:rStyle w:val="FootnoteReference"/>
        </w:rPr>
        <w:footnoteReference w:id="58"/>
      </w:r>
      <w:r w:rsidR="00F740C3" w:rsidRPr="002A2ECB">
        <w:t xml:space="preserve"> </w:t>
      </w:r>
    </w:p>
    <w:p w:rsidR="00F740C3" w:rsidRDefault="00242007" w:rsidP="004F2A11">
      <w:pPr>
        <w:pStyle w:val="Bob1"/>
        <w:tabs>
          <w:tab w:val="clear" w:pos="720"/>
          <w:tab w:val="left" w:pos="1440"/>
        </w:tabs>
        <w:ind w:left="0" w:firstLine="0"/>
        <w:jc w:val="both"/>
      </w:pPr>
      <w:r w:rsidRPr="002A2ECB">
        <w:t>A</w:t>
      </w:r>
      <w:r w:rsidR="0076325A" w:rsidRPr="002A2ECB">
        <w:t xml:space="preserve">bsolute liability </w:t>
      </w:r>
      <w:r w:rsidR="00090492">
        <w:t xml:space="preserve">is </w:t>
      </w:r>
      <w:r w:rsidR="00D21E98" w:rsidRPr="002A2ECB">
        <w:t xml:space="preserve">primarily </w:t>
      </w:r>
      <w:r w:rsidR="005961DD" w:rsidRPr="002A2ECB">
        <w:t xml:space="preserve">imposed </w:t>
      </w:r>
      <w:r w:rsidR="0076325A" w:rsidRPr="002A2ECB">
        <w:t>for what are essentially regulatory offences</w:t>
      </w:r>
      <w:r w:rsidR="0026126D" w:rsidRPr="002A2ECB">
        <w:rPr>
          <w:rStyle w:val="FootnoteReference"/>
        </w:rPr>
        <w:footnoteReference w:id="59"/>
      </w:r>
      <w:r w:rsidR="0076325A" w:rsidRPr="002A2ECB">
        <w:t xml:space="preserve"> </w:t>
      </w:r>
      <w:r w:rsidR="00BB505E" w:rsidRPr="002A2ECB">
        <w:t>rather than serious criminal offence</w:t>
      </w:r>
      <w:r w:rsidR="00765396" w:rsidRPr="002A2ECB">
        <w:t>s</w:t>
      </w:r>
      <w:r w:rsidR="00BB505E" w:rsidRPr="002A2ECB">
        <w:t xml:space="preserve">, </w:t>
      </w:r>
      <w:r w:rsidR="0076325A" w:rsidRPr="002A2ECB">
        <w:t xml:space="preserve">and then only where some useful purpose (such as encouraging </w:t>
      </w:r>
      <w:r w:rsidR="005961DD" w:rsidRPr="002A2ECB">
        <w:t xml:space="preserve">preventive </w:t>
      </w:r>
      <w:r w:rsidR="0076325A" w:rsidRPr="002A2ECB">
        <w:t xml:space="preserve">safety measures) may be </w:t>
      </w:r>
      <w:r w:rsidR="0076325A" w:rsidRPr="002A2ECB">
        <w:lastRenderedPageBreak/>
        <w:t>served by the imposition of such liability.</w:t>
      </w:r>
      <w:r w:rsidR="0026126D" w:rsidRPr="002A2ECB">
        <w:rPr>
          <w:rStyle w:val="FootnoteReference"/>
        </w:rPr>
        <w:footnoteReference w:id="60"/>
      </w:r>
      <w:r w:rsidR="00693464">
        <w:t xml:space="preserve">  </w:t>
      </w:r>
      <w:r w:rsidR="0076325A" w:rsidRPr="002A2ECB">
        <w:t xml:space="preserve">As was made clear in </w:t>
      </w:r>
      <w:r w:rsidR="0076325A" w:rsidRPr="004F2A11">
        <w:rPr>
          <w:i/>
        </w:rPr>
        <w:t>Hin Lin Yee</w:t>
      </w:r>
      <w:r w:rsidR="00BB505E" w:rsidRPr="002A2ECB">
        <w:rPr>
          <w:rStyle w:val="FootnoteReference"/>
          <w:i/>
        </w:rPr>
        <w:footnoteReference w:id="61"/>
      </w:r>
      <w:r w:rsidR="0076325A" w:rsidRPr="004F2A11">
        <w:rPr>
          <w:i/>
        </w:rPr>
        <w:t xml:space="preserve"> </w:t>
      </w:r>
      <w:r w:rsidR="0076325A" w:rsidRPr="002A2ECB">
        <w:t xml:space="preserve">and </w:t>
      </w:r>
      <w:r w:rsidR="0076325A" w:rsidRPr="004F2A11">
        <w:rPr>
          <w:i/>
        </w:rPr>
        <w:t>Kulemesin</w:t>
      </w:r>
      <w:r w:rsidR="0076325A" w:rsidRPr="002A2ECB">
        <w:t>,</w:t>
      </w:r>
      <w:r w:rsidR="00BB505E" w:rsidRPr="002A2ECB">
        <w:rPr>
          <w:rStyle w:val="FootnoteReference"/>
        </w:rPr>
        <w:footnoteReference w:id="62"/>
      </w:r>
      <w:r w:rsidR="0076325A" w:rsidRPr="002A2ECB">
        <w:t xml:space="preserve"> before concluding that an offence </w:t>
      </w:r>
      <w:r w:rsidR="00090492">
        <w:t xml:space="preserve">is one of </w:t>
      </w:r>
      <w:r w:rsidR="0076325A" w:rsidRPr="002A2ECB">
        <w:t xml:space="preserve">absolute liability, </w:t>
      </w:r>
      <w:r w:rsidR="00BB505E" w:rsidRPr="002A2ECB">
        <w:t xml:space="preserve">it is necessary to consider whether the statutory purpose can sufficiently </w:t>
      </w:r>
      <w:r w:rsidR="00090492">
        <w:t xml:space="preserve">be </w:t>
      </w:r>
      <w:r w:rsidR="00BB505E" w:rsidRPr="002A2ECB">
        <w:t>met by</w:t>
      </w:r>
      <w:r w:rsidR="00A813DA" w:rsidRPr="002A2ECB">
        <w:t xml:space="preserve"> construing it as laying down a less Draconian,</w:t>
      </w:r>
      <w:r w:rsidR="00BB505E" w:rsidRPr="002A2ECB">
        <w:t xml:space="preserve"> intermediate form of liability.  Absolute liability should only be resorted to if the answer is in the negative.</w:t>
      </w:r>
    </w:p>
    <w:p w:rsidR="006E1D42" w:rsidRPr="002A2ECB" w:rsidRDefault="00592489" w:rsidP="004F2A11">
      <w:pPr>
        <w:pStyle w:val="Bob1"/>
        <w:tabs>
          <w:tab w:val="clear" w:pos="720"/>
          <w:tab w:val="left" w:pos="1440"/>
        </w:tabs>
        <w:ind w:left="0" w:firstLine="0"/>
        <w:jc w:val="both"/>
      </w:pPr>
      <w:r w:rsidRPr="002A2ECB">
        <w:t xml:space="preserve">The main reason for the Judge </w:t>
      </w:r>
      <w:r w:rsidR="00F740C3" w:rsidRPr="002A2ECB">
        <w:t xml:space="preserve">deciding in favour of </w:t>
      </w:r>
      <w:r w:rsidRPr="002A2ECB">
        <w:t>absolute liability was</w:t>
      </w:r>
      <w:r w:rsidR="00F740C3" w:rsidRPr="002A2ECB">
        <w:t xml:space="preserve"> his application of</w:t>
      </w:r>
      <w:r w:rsidRPr="002A2ECB">
        <w:t xml:space="preserve"> the Court of Appeal’s </w:t>
      </w:r>
      <w:r w:rsidR="00F740C3" w:rsidRPr="002A2ECB">
        <w:t xml:space="preserve">judgment </w:t>
      </w:r>
      <w:r w:rsidRPr="002A2ECB">
        <w:t xml:space="preserve">in </w:t>
      </w:r>
      <w:r w:rsidRPr="004F2A11">
        <w:rPr>
          <w:i/>
        </w:rPr>
        <w:t>HKSAR v So Wai Lun</w:t>
      </w:r>
      <w:r w:rsidRPr="002A2ECB">
        <w:rPr>
          <w:rStyle w:val="FootnoteReference"/>
        </w:rPr>
        <w:footnoteReference w:id="63"/>
      </w:r>
      <w:r w:rsidR="005961DD" w:rsidRPr="002A2ECB">
        <w:t xml:space="preserve"> where</w:t>
      </w:r>
      <w:r w:rsidRPr="002A2ECB">
        <w:t xml:space="preserve"> </w:t>
      </w:r>
      <w:r w:rsidR="00F740C3" w:rsidRPr="002A2ECB">
        <w:t xml:space="preserve">it was held that </w:t>
      </w:r>
      <w:r w:rsidR="00674162" w:rsidRPr="002A2ECB">
        <w:t xml:space="preserve">absolute liability </w:t>
      </w:r>
      <w:r w:rsidR="00090492">
        <w:t xml:space="preserve">was applicable </w:t>
      </w:r>
      <w:r w:rsidR="005961DD" w:rsidRPr="002A2ECB">
        <w:t xml:space="preserve">to </w:t>
      </w:r>
      <w:r w:rsidR="00D32A89" w:rsidRPr="002A2ECB">
        <w:t>unlawful sexual intercourse with an under-aged girl</w:t>
      </w:r>
      <w:r w:rsidRPr="002A2ECB">
        <w:t xml:space="preserve"> </w:t>
      </w:r>
      <w:r w:rsidR="00F740C3" w:rsidRPr="002A2ECB">
        <w:t>contrary to section 124 of the Crimes Ordinance</w:t>
      </w:r>
      <w:r w:rsidR="00090492">
        <w:t xml:space="preserve">.  That section </w:t>
      </w:r>
      <w:r w:rsidRPr="002A2ECB">
        <w:t>provides:</w:t>
      </w:r>
    </w:p>
    <w:p w:rsidR="00592489" w:rsidRPr="002A2ECB" w:rsidRDefault="00592489" w:rsidP="004F2A11">
      <w:pPr>
        <w:pStyle w:val="Bob1"/>
        <w:numPr>
          <w:ilvl w:val="0"/>
          <w:numId w:val="0"/>
        </w:numPr>
        <w:spacing w:line="240" w:lineRule="auto"/>
        <w:ind w:left="720"/>
        <w:jc w:val="both"/>
        <w:rPr>
          <w:sz w:val="24"/>
        </w:rPr>
      </w:pPr>
      <w:r w:rsidRPr="002A2ECB">
        <w:rPr>
          <w:sz w:val="24"/>
        </w:rPr>
        <w:t>“Subject to subsection (2),</w:t>
      </w:r>
      <w:r w:rsidRPr="002A2ECB">
        <w:rPr>
          <w:rStyle w:val="FootnoteReference"/>
          <w:sz w:val="24"/>
        </w:rPr>
        <w:footnoteReference w:id="64"/>
      </w:r>
      <w:r w:rsidRPr="002A2ECB">
        <w:rPr>
          <w:sz w:val="24"/>
        </w:rPr>
        <w:t xml:space="preserve"> a man who has unlawful sexual intercourse with a girl under the age of 16 shall be guilty of an offence and shall be liable on conviction on indictment to imprisonment for 5 years.”</w:t>
      </w:r>
    </w:p>
    <w:p w:rsidR="00592489" w:rsidRPr="002A2ECB" w:rsidRDefault="005961DD" w:rsidP="004F2A11">
      <w:pPr>
        <w:pStyle w:val="Bob1"/>
        <w:tabs>
          <w:tab w:val="clear" w:pos="720"/>
          <w:tab w:val="left" w:pos="1440"/>
        </w:tabs>
        <w:ind w:left="0" w:firstLine="0"/>
        <w:jc w:val="both"/>
      </w:pPr>
      <w:r w:rsidRPr="002A2ECB">
        <w:t>That decision is however clearly distinguishable.</w:t>
      </w:r>
      <w:r w:rsidR="003F43A8" w:rsidRPr="002A2ECB">
        <w:t xml:space="preserve">  </w:t>
      </w:r>
      <w:r w:rsidR="0019716A" w:rsidRPr="002A2ECB">
        <w:t>I</w:t>
      </w:r>
      <w:r w:rsidR="003F43A8" w:rsidRPr="002A2ECB">
        <w:t>t was concerned with unlawful sexual intercourse and not indecent assault</w:t>
      </w:r>
      <w:r w:rsidR="00674162" w:rsidRPr="002A2ECB">
        <w:t>,</w:t>
      </w:r>
      <w:r w:rsidR="00A813DA" w:rsidRPr="002A2ECB">
        <w:t xml:space="preserve"> and the Court of Appeal</w:t>
      </w:r>
      <w:r w:rsidR="003F43A8" w:rsidRPr="002A2ECB">
        <w:t xml:space="preserve"> </w:t>
      </w:r>
      <w:r w:rsidR="00090492">
        <w:t xml:space="preserve">determined </w:t>
      </w:r>
      <w:r w:rsidR="003F43A8" w:rsidRPr="002A2ECB">
        <w:t xml:space="preserve">that absolute liability was imposed </w:t>
      </w:r>
      <w:r w:rsidR="00A813DA" w:rsidRPr="002A2ECB">
        <w:t xml:space="preserve">principally </w:t>
      </w:r>
      <w:r w:rsidR="00765396" w:rsidRPr="002A2ECB">
        <w:t xml:space="preserve">on </w:t>
      </w:r>
      <w:r w:rsidR="003F43A8" w:rsidRPr="002A2ECB">
        <w:t xml:space="preserve">the </w:t>
      </w:r>
      <w:r w:rsidR="00090492">
        <w:t xml:space="preserve">basis of the </w:t>
      </w:r>
      <w:r w:rsidR="003F43A8" w:rsidRPr="002A2ECB">
        <w:t xml:space="preserve">legislative history of the section 124 offence which differs significantly from that of section 122.  </w:t>
      </w:r>
    </w:p>
    <w:p w:rsidR="003F43A8" w:rsidRPr="002A2ECB" w:rsidRDefault="003F43A8" w:rsidP="004F2A11">
      <w:pPr>
        <w:pStyle w:val="Bob1"/>
        <w:tabs>
          <w:tab w:val="clear" w:pos="720"/>
          <w:tab w:val="left" w:pos="1440"/>
        </w:tabs>
        <w:ind w:left="0" w:firstLine="0"/>
        <w:jc w:val="both"/>
      </w:pPr>
      <w:r w:rsidRPr="002A2ECB">
        <w:lastRenderedPageBreak/>
        <w:t xml:space="preserve">The Court of Appeal traced section 124 back </w:t>
      </w:r>
      <w:r w:rsidR="00AB4FD3" w:rsidRPr="002A2ECB">
        <w:t>to section 6 of the Women and Girls' Protection Ordinance enacted in 1890</w:t>
      </w:r>
      <w:r w:rsidR="00313DC2" w:rsidRPr="002A2ECB">
        <w:t>,</w:t>
      </w:r>
      <w:r w:rsidR="00AB4FD3" w:rsidRPr="002A2ECB">
        <w:rPr>
          <w:rStyle w:val="FootnoteReference"/>
        </w:rPr>
        <w:footnoteReference w:id="65"/>
      </w:r>
      <w:r w:rsidR="00AB4FD3" w:rsidRPr="002A2ECB">
        <w:t xml:space="preserve"> which provided as follows:</w:t>
      </w:r>
    </w:p>
    <w:p w:rsidR="00313DC2" w:rsidRPr="002A2ECB" w:rsidRDefault="00313DC2" w:rsidP="004F2A11">
      <w:pPr>
        <w:kinsoku w:val="0"/>
        <w:autoSpaceDE w:val="0"/>
        <w:autoSpaceDN w:val="0"/>
        <w:snapToGrid w:val="0"/>
        <w:spacing w:after="240" w:line="240" w:lineRule="auto"/>
        <w:ind w:left="720"/>
        <w:jc w:val="both"/>
        <w:rPr>
          <w:sz w:val="24"/>
        </w:rPr>
      </w:pPr>
      <w:r w:rsidRPr="002A2ECB">
        <w:rPr>
          <w:sz w:val="24"/>
        </w:rPr>
        <w:t xml:space="preserve">“Any person who carnally knows or attempts to have carnal knowledge of any unmarried girl being of or above the age of twelve years and under the age of sixteen shall be guilty of a misdemeanour and on conviction thereof shall be liable to the punishment hereinafter mentioned.  Provided that where both parties are Asiatics a girl shall not be deemed unmarried within the meaning of this ordinance if she is duly married according to the laws and customs of the native country of the girl. </w:t>
      </w:r>
      <w:r w:rsidRPr="002A2ECB">
        <w:rPr>
          <w:i/>
          <w:sz w:val="24"/>
        </w:rPr>
        <w:t>Provided also it shall be a sufficient defence to any charge under this section, if it shall be made to appear to the Court or jury before whom the charge shall be brought that the person so charged had reasonable cause to believe that the girl was of or above the age of sixteen years.</w:t>
      </w:r>
      <w:r w:rsidRPr="002A2ECB">
        <w:rPr>
          <w:sz w:val="24"/>
        </w:rPr>
        <w:t xml:space="preserve"> Provided also that no prosecution shall be commenced for an offence under this section more than three months after the commission of the offence.</w:t>
      </w:r>
      <w:r w:rsidR="00C40C61">
        <w:rPr>
          <w:sz w:val="24"/>
        </w:rPr>
        <w:t>”</w:t>
      </w:r>
      <w:r w:rsidR="00BA53AE" w:rsidRPr="002A2ECB">
        <w:rPr>
          <w:rStyle w:val="FootnoteReference"/>
          <w:sz w:val="24"/>
        </w:rPr>
        <w:footnoteReference w:id="66"/>
      </w:r>
      <w:r w:rsidRPr="002A2ECB">
        <w:rPr>
          <w:sz w:val="24"/>
        </w:rPr>
        <w:t xml:space="preserve"> (Italics supplied)</w:t>
      </w:r>
    </w:p>
    <w:p w:rsidR="00BA53AE" w:rsidRPr="002A2ECB" w:rsidRDefault="00F76397" w:rsidP="004F2A11">
      <w:pPr>
        <w:pStyle w:val="Bob1"/>
        <w:tabs>
          <w:tab w:val="clear" w:pos="720"/>
          <w:tab w:val="left" w:pos="1440"/>
        </w:tabs>
        <w:ind w:left="0" w:firstLine="0"/>
        <w:jc w:val="both"/>
      </w:pPr>
      <w:r w:rsidRPr="002A2ECB">
        <w:t xml:space="preserve">That section was replaced seven years later in 1897 </w:t>
      </w:r>
      <w:r w:rsidR="00BA53AE" w:rsidRPr="002A2ECB">
        <w:t>by section 5 of the Protection of Women and Girls Ordinance</w:t>
      </w:r>
      <w:r w:rsidR="00BA53AE" w:rsidRPr="002A2ECB">
        <w:rPr>
          <w:rStyle w:val="FootnoteReference"/>
        </w:rPr>
        <w:footnoteReference w:id="67"/>
      </w:r>
      <w:r w:rsidR="00BA53AE" w:rsidRPr="002A2ECB">
        <w:t xml:space="preserve"> which </w:t>
      </w:r>
      <w:r w:rsidR="00BA3BC8">
        <w:t>deleted</w:t>
      </w:r>
      <w:r w:rsidR="00BA53AE" w:rsidRPr="002A2ECB">
        <w:t xml:space="preserve"> the </w:t>
      </w:r>
      <w:r w:rsidR="00674162" w:rsidRPr="002A2ECB">
        <w:t xml:space="preserve">italicised </w:t>
      </w:r>
      <w:r w:rsidR="00090492">
        <w:t>defence involving</w:t>
      </w:r>
      <w:r w:rsidR="00BA53AE" w:rsidRPr="002A2ECB">
        <w:t xml:space="preserve"> “reasonable cause to believe”,</w:t>
      </w:r>
      <w:r w:rsidR="009E7A91" w:rsidRPr="002A2ECB">
        <w:rPr>
          <w:rStyle w:val="FootnoteReference"/>
        </w:rPr>
        <w:footnoteReference w:id="68"/>
      </w:r>
      <w:r w:rsidR="009C3A3F" w:rsidRPr="002A2ECB">
        <w:t xml:space="preserve"> leading the Court of Appeal </w:t>
      </w:r>
      <w:r w:rsidR="00A813DA" w:rsidRPr="002A2ECB">
        <w:t xml:space="preserve">in </w:t>
      </w:r>
      <w:r w:rsidR="00A813DA" w:rsidRPr="002A2ECB">
        <w:rPr>
          <w:i/>
        </w:rPr>
        <w:t xml:space="preserve">So Wai Lun </w:t>
      </w:r>
      <w:r w:rsidR="009C3A3F" w:rsidRPr="002A2ECB">
        <w:t>to conclude that “the reasonable belief defence has been expressly rejected in Hong Kong”</w:t>
      </w:r>
      <w:r w:rsidR="0019716A" w:rsidRPr="002A2ECB">
        <w:t>.</w:t>
      </w:r>
      <w:r w:rsidR="009C3A3F" w:rsidRPr="002A2ECB">
        <w:rPr>
          <w:rStyle w:val="FootnoteReference"/>
        </w:rPr>
        <w:footnoteReference w:id="69"/>
      </w:r>
      <w:r w:rsidR="009C3A3F" w:rsidRPr="002A2ECB">
        <w:t xml:space="preserve"> </w:t>
      </w:r>
      <w:r w:rsidR="0019716A" w:rsidRPr="002A2ECB">
        <w:t xml:space="preserve"> </w:t>
      </w:r>
      <w:r w:rsidR="00674162" w:rsidRPr="002A2ECB">
        <w:t>T</w:t>
      </w:r>
      <w:r w:rsidR="0019716A" w:rsidRPr="002A2ECB">
        <w:t xml:space="preserve">his </w:t>
      </w:r>
      <w:r w:rsidR="00674162" w:rsidRPr="002A2ECB">
        <w:t xml:space="preserve">was regarded as </w:t>
      </w:r>
      <w:r w:rsidR="00A813DA" w:rsidRPr="002A2ECB">
        <w:t xml:space="preserve">a </w:t>
      </w:r>
      <w:r w:rsidR="009C3A3F" w:rsidRPr="002A2ECB">
        <w:t xml:space="preserve">decisive </w:t>
      </w:r>
      <w:r w:rsidR="00A813DA" w:rsidRPr="002A2ECB">
        <w:t xml:space="preserve">indication </w:t>
      </w:r>
      <w:r w:rsidR="009C3A3F" w:rsidRPr="002A2ECB">
        <w:t>that the presumption of mens rea was</w:t>
      </w:r>
      <w:r w:rsidR="00090492">
        <w:t xml:space="preserve"> supplanted</w:t>
      </w:r>
      <w:r w:rsidR="0019716A" w:rsidRPr="002A2ECB">
        <w:t>:</w:t>
      </w:r>
    </w:p>
    <w:p w:rsidR="0019716A" w:rsidRPr="002A2ECB" w:rsidRDefault="0019716A" w:rsidP="004F2A11">
      <w:pPr>
        <w:pStyle w:val="Bob1"/>
        <w:numPr>
          <w:ilvl w:val="0"/>
          <w:numId w:val="0"/>
        </w:numPr>
        <w:spacing w:line="240" w:lineRule="auto"/>
        <w:ind w:left="720"/>
        <w:jc w:val="both"/>
        <w:rPr>
          <w:sz w:val="24"/>
        </w:rPr>
      </w:pPr>
      <w:r w:rsidRPr="002A2ECB">
        <w:rPr>
          <w:sz w:val="24"/>
        </w:rPr>
        <w:t xml:space="preserve">“For the above reasons, we are of the view that </w:t>
      </w:r>
      <w:r w:rsidR="00765396" w:rsidRPr="002A2ECB">
        <w:rPr>
          <w:sz w:val="24"/>
        </w:rPr>
        <w:t>in relation to a charge under s </w:t>
      </w:r>
      <w:r w:rsidRPr="002A2ECB">
        <w:rPr>
          <w:sz w:val="24"/>
        </w:rPr>
        <w:t xml:space="preserve">124 of the Crimes Ordinance of unlawful sexual intercourse with a girl under the age of 16, the belief of the defendant that the girl was 16 or more does not provide a defence. </w:t>
      </w:r>
      <w:r w:rsidRPr="002A2ECB">
        <w:rPr>
          <w:i/>
          <w:sz w:val="24"/>
        </w:rPr>
        <w:t>In other words, the offence is accordingly one of absolute liability in this respect</w:t>
      </w:r>
      <w:r w:rsidRPr="002A2ECB">
        <w:rPr>
          <w:sz w:val="24"/>
        </w:rPr>
        <w:t>.”</w:t>
      </w:r>
      <w:r w:rsidR="00C40C61">
        <w:rPr>
          <w:rStyle w:val="FootnoteReference"/>
          <w:sz w:val="24"/>
        </w:rPr>
        <w:footnoteReference w:id="70"/>
      </w:r>
      <w:r w:rsidR="00BC2EA0" w:rsidRPr="002A2ECB">
        <w:rPr>
          <w:sz w:val="24"/>
        </w:rPr>
        <w:t xml:space="preserve"> (Italics supplied)</w:t>
      </w:r>
    </w:p>
    <w:p w:rsidR="0019716A" w:rsidRDefault="00D4332D" w:rsidP="004F2A11">
      <w:pPr>
        <w:pStyle w:val="Bob1"/>
        <w:tabs>
          <w:tab w:val="clear" w:pos="720"/>
          <w:tab w:val="left" w:pos="1440"/>
        </w:tabs>
        <w:ind w:left="0" w:firstLine="0"/>
        <w:jc w:val="both"/>
      </w:pPr>
      <w:r>
        <w:t xml:space="preserve">As indicated above, </w:t>
      </w:r>
      <w:r w:rsidR="00674162" w:rsidRPr="002A2ECB">
        <w:rPr>
          <w:i/>
        </w:rPr>
        <w:t xml:space="preserve">So Wai Lun </w:t>
      </w:r>
      <w:r w:rsidR="008D09AD" w:rsidRPr="002A2ECB">
        <w:t>may be distinguished in two important respects</w:t>
      </w:r>
      <w:r w:rsidR="0019716A" w:rsidRPr="002A2ECB">
        <w:t xml:space="preserve">.  First, </w:t>
      </w:r>
      <w:r w:rsidR="007479BC" w:rsidRPr="002A2ECB">
        <w:t xml:space="preserve">in the legislative history of indecent assault, </w:t>
      </w:r>
      <w:r w:rsidR="0019716A" w:rsidRPr="002A2ECB">
        <w:t xml:space="preserve">there is no </w:t>
      </w:r>
      <w:r w:rsidR="0019716A" w:rsidRPr="002A2ECB">
        <w:lastRenderedPageBreak/>
        <w:t xml:space="preserve">equivalent </w:t>
      </w:r>
      <w:r w:rsidR="007479BC" w:rsidRPr="002A2ECB">
        <w:t xml:space="preserve">of </w:t>
      </w:r>
      <w:r w:rsidR="0019716A" w:rsidRPr="002A2ECB">
        <w:t>a</w:t>
      </w:r>
      <w:r w:rsidR="007479BC" w:rsidRPr="002A2ECB">
        <w:t>n express</w:t>
      </w:r>
      <w:r w:rsidR="0019716A" w:rsidRPr="002A2ECB">
        <w:t xml:space="preserve"> “reasonable belief” defence </w:t>
      </w:r>
      <w:r w:rsidR="007479BC" w:rsidRPr="002A2ECB">
        <w:t xml:space="preserve">later being abolished.  Indecent assault </w:t>
      </w:r>
      <w:r w:rsidR="0019716A" w:rsidRPr="002A2ECB">
        <w:t xml:space="preserve">is traceable </w:t>
      </w:r>
      <w:r w:rsidR="00BC2EA0" w:rsidRPr="002A2ECB">
        <w:t xml:space="preserve">back </w:t>
      </w:r>
      <w:r w:rsidR="0019716A" w:rsidRPr="002A2ECB">
        <w:t>to the Offences Against the Person Ordinance 1865, section 46</w:t>
      </w:r>
      <w:r w:rsidR="00BC2EA0" w:rsidRPr="002A2ECB">
        <w:t>;</w:t>
      </w:r>
      <w:r w:rsidR="0019716A" w:rsidRPr="002A2ECB">
        <w:rPr>
          <w:rStyle w:val="FootnoteReference"/>
        </w:rPr>
        <w:footnoteReference w:id="71"/>
      </w:r>
      <w:r w:rsidR="0019716A" w:rsidRPr="002A2ECB">
        <w:t xml:space="preserve"> </w:t>
      </w:r>
      <w:r w:rsidR="00765396" w:rsidRPr="002A2ECB">
        <w:t xml:space="preserve">which </w:t>
      </w:r>
      <w:r w:rsidR="007479BC" w:rsidRPr="002A2ECB">
        <w:t xml:space="preserve">was succeeded by </w:t>
      </w:r>
      <w:r w:rsidR="00765396" w:rsidRPr="002A2ECB">
        <w:t xml:space="preserve">the </w:t>
      </w:r>
      <w:r w:rsidR="0019716A" w:rsidRPr="002A2ECB">
        <w:t xml:space="preserve">Protection of Women and Girls Ordinance 1897, section </w:t>
      </w:r>
      <w:r w:rsidR="00BC2EA0" w:rsidRPr="002A2ECB">
        <w:t>7</w:t>
      </w:r>
      <w:r w:rsidR="007479BC" w:rsidRPr="002A2ECB">
        <w:t>;</w:t>
      </w:r>
      <w:r w:rsidR="0019716A" w:rsidRPr="002A2ECB">
        <w:rPr>
          <w:rStyle w:val="FootnoteReference"/>
        </w:rPr>
        <w:footnoteReference w:id="72"/>
      </w:r>
      <w:r w:rsidR="00BC2EA0" w:rsidRPr="002A2ECB">
        <w:t xml:space="preserve"> then, in 1978,</w:t>
      </w:r>
      <w:r w:rsidR="00BC2EA0" w:rsidRPr="002A2ECB">
        <w:rPr>
          <w:rStyle w:val="FootnoteReference"/>
        </w:rPr>
        <w:footnoteReference w:id="73"/>
      </w:r>
      <w:r w:rsidR="00BC2EA0" w:rsidRPr="002A2ECB">
        <w:t xml:space="preserve"> </w:t>
      </w:r>
      <w:r w:rsidR="007479BC" w:rsidRPr="002A2ECB">
        <w:t xml:space="preserve">by </w:t>
      </w:r>
      <w:r w:rsidR="00BC2EA0" w:rsidRPr="002A2ECB">
        <w:t>what is essentially the present section 122 of the Crimes Ordinance</w:t>
      </w:r>
      <w:r w:rsidR="007479BC" w:rsidRPr="002A2ECB">
        <w:t xml:space="preserve">.  That provision </w:t>
      </w:r>
      <w:r w:rsidR="00BC2EA0" w:rsidRPr="002A2ECB">
        <w:t xml:space="preserve">was </w:t>
      </w:r>
      <w:r w:rsidR="00674162" w:rsidRPr="002A2ECB">
        <w:t xml:space="preserve">then </w:t>
      </w:r>
      <w:r w:rsidR="00BC2EA0" w:rsidRPr="002A2ECB">
        <w:t>amended in 1991</w:t>
      </w:r>
      <w:r w:rsidR="00BC2EA0" w:rsidRPr="002A2ECB">
        <w:rPr>
          <w:rStyle w:val="FootnoteReference"/>
        </w:rPr>
        <w:footnoteReference w:id="74"/>
      </w:r>
      <w:r w:rsidR="00BC2EA0" w:rsidRPr="002A2ECB">
        <w:t xml:space="preserve"> to</w:t>
      </w:r>
      <w:r w:rsidR="00F9601F" w:rsidRPr="002A2ECB">
        <w:t xml:space="preserve"> increase</w:t>
      </w:r>
      <w:r w:rsidR="00765396" w:rsidRPr="002A2ECB">
        <w:t xml:space="preserve"> </w:t>
      </w:r>
      <w:r w:rsidR="00BC2EA0" w:rsidRPr="002A2ECB">
        <w:t>the maximum penalty from five to ten years’ imprisonment.</w:t>
      </w:r>
      <w:r w:rsidR="007479BC" w:rsidRPr="002A2ECB">
        <w:t xml:space="preserve">  At no point was there an</w:t>
      </w:r>
      <w:r w:rsidR="00BA3BC8">
        <w:t>y</w:t>
      </w:r>
      <w:r w:rsidR="007479BC" w:rsidRPr="002A2ECB">
        <w:t xml:space="preserve"> express reasonable belief defence, much less </w:t>
      </w:r>
      <w:r w:rsidR="00BA3BC8">
        <w:t xml:space="preserve">a </w:t>
      </w:r>
      <w:r w:rsidR="007479BC" w:rsidRPr="002A2ECB">
        <w:t>later abandonment</w:t>
      </w:r>
      <w:r w:rsidR="00693464">
        <w:t xml:space="preserve"> of such a defence</w:t>
      </w:r>
      <w:r w:rsidR="007479BC" w:rsidRPr="002A2ECB">
        <w:t>.</w:t>
      </w:r>
    </w:p>
    <w:p w:rsidR="000D0285" w:rsidRDefault="00BC2EA0" w:rsidP="004F2A11">
      <w:pPr>
        <w:pStyle w:val="Bob1"/>
        <w:tabs>
          <w:tab w:val="clear" w:pos="720"/>
          <w:tab w:val="left" w:pos="1440"/>
        </w:tabs>
        <w:ind w:left="0" w:firstLine="0"/>
        <w:jc w:val="both"/>
      </w:pPr>
      <w:r w:rsidRPr="002A2ECB">
        <w:t xml:space="preserve">Secondly, the Court of Appeal’s judgment in </w:t>
      </w:r>
      <w:r w:rsidRPr="004F2A11">
        <w:rPr>
          <w:i/>
        </w:rPr>
        <w:t xml:space="preserve">So Wai Lun </w:t>
      </w:r>
      <w:r w:rsidRPr="002A2ECB">
        <w:t xml:space="preserve">was delivered before the </w:t>
      </w:r>
      <w:r w:rsidR="000F51A4">
        <w:t>recognition</w:t>
      </w:r>
      <w:r w:rsidRPr="002A2ECB">
        <w:t xml:space="preserve"> of intermediate bases of liability.  Thus, as the italicised last sentence of the </w:t>
      </w:r>
      <w:r w:rsidR="00674162" w:rsidRPr="002A2ECB">
        <w:t xml:space="preserve">abovementioned </w:t>
      </w:r>
      <w:r w:rsidRPr="002A2ECB">
        <w:t>citation indicate</w:t>
      </w:r>
      <w:r w:rsidR="00674162" w:rsidRPr="002A2ECB">
        <w:t>s</w:t>
      </w:r>
      <w:r w:rsidRPr="002A2ECB">
        <w:t xml:space="preserve">, once the Court of Appeal held that the presumption of mens rea was displaced, it </w:t>
      </w:r>
      <w:r w:rsidR="000D0285" w:rsidRPr="002A2ECB">
        <w:t xml:space="preserve">concluded that the offence was “accordingly” one of absolute liability.  </w:t>
      </w:r>
      <w:r w:rsidR="007479BC" w:rsidRPr="002A2ECB">
        <w:t xml:space="preserve">It was a decision reflecting the stark choice </w:t>
      </w:r>
      <w:r w:rsidR="00BA3BC8" w:rsidRPr="002A2ECB">
        <w:t xml:space="preserve">then available </w:t>
      </w:r>
      <w:r w:rsidR="007479BC" w:rsidRPr="002A2ECB">
        <w:t>between full mens rea and absolute liability.</w:t>
      </w:r>
    </w:p>
    <w:p w:rsidR="00BC2EA0" w:rsidRPr="002A2ECB" w:rsidRDefault="007479BC" w:rsidP="004F2A11">
      <w:pPr>
        <w:pStyle w:val="Bob1"/>
        <w:tabs>
          <w:tab w:val="clear" w:pos="720"/>
          <w:tab w:val="left" w:pos="1440"/>
        </w:tabs>
        <w:ind w:left="0" w:firstLine="0"/>
        <w:jc w:val="both"/>
      </w:pPr>
      <w:r w:rsidRPr="002A2ECB">
        <w:t>I</w:t>
      </w:r>
      <w:r w:rsidR="000D0285" w:rsidRPr="002A2ECB">
        <w:t xml:space="preserve">f </w:t>
      </w:r>
      <w:r w:rsidRPr="002A2ECB">
        <w:t xml:space="preserve">that case </w:t>
      </w:r>
      <w:r w:rsidR="00FC5B7E" w:rsidRPr="002A2ECB">
        <w:t xml:space="preserve">had </w:t>
      </w:r>
      <w:r w:rsidRPr="002A2ECB">
        <w:t>be</w:t>
      </w:r>
      <w:r w:rsidR="00FC5B7E" w:rsidRPr="002A2ECB">
        <w:t>en</w:t>
      </w:r>
      <w:r w:rsidRPr="002A2ECB">
        <w:t xml:space="preserve"> </w:t>
      </w:r>
      <w:r w:rsidR="000D0285" w:rsidRPr="002A2ECB">
        <w:t xml:space="preserve">decided today, the Court would </w:t>
      </w:r>
      <w:r w:rsidR="00FC5B7E" w:rsidRPr="002A2ECB">
        <w:t xml:space="preserve">have </w:t>
      </w:r>
      <w:r w:rsidRPr="002A2ECB">
        <w:t>proceed</w:t>
      </w:r>
      <w:r w:rsidR="00FC5B7E" w:rsidRPr="002A2ECB">
        <w:t>ed</w:t>
      </w:r>
      <w:r w:rsidR="000D0285" w:rsidRPr="002A2ECB">
        <w:t xml:space="preserve"> to consider </w:t>
      </w:r>
      <w:r w:rsidR="0029246D" w:rsidRPr="002A2ECB">
        <w:t xml:space="preserve">whether </w:t>
      </w:r>
      <w:r w:rsidR="003347F6" w:rsidRPr="002A2ECB">
        <w:t xml:space="preserve">the statutory purpose of the offence </w:t>
      </w:r>
      <w:r w:rsidR="00FC5B7E" w:rsidRPr="002A2ECB">
        <w:t xml:space="preserve">could </w:t>
      </w:r>
      <w:r w:rsidR="003347F6" w:rsidRPr="002A2ECB">
        <w:t xml:space="preserve">be sufficiently met by construing section 124 as </w:t>
      </w:r>
      <w:r w:rsidR="00FC5B7E" w:rsidRPr="002A2ECB">
        <w:t xml:space="preserve">laying down </w:t>
      </w:r>
      <w:r w:rsidR="003347F6" w:rsidRPr="002A2ECB">
        <w:t xml:space="preserve">an intermediate mental </w:t>
      </w:r>
      <w:r w:rsidR="000D0285" w:rsidRPr="002A2ECB">
        <w:t>requirement</w:t>
      </w:r>
      <w:r w:rsidR="0029246D" w:rsidRPr="002A2ECB">
        <w:t xml:space="preserve"> </w:t>
      </w:r>
      <w:r w:rsidR="00FC5B7E" w:rsidRPr="002A2ECB">
        <w:t xml:space="preserve">in place of </w:t>
      </w:r>
      <w:r w:rsidR="00674162" w:rsidRPr="002A2ECB">
        <w:t xml:space="preserve">full </w:t>
      </w:r>
      <w:r w:rsidR="003347F6" w:rsidRPr="002A2ECB">
        <w:t>mens rea.</w:t>
      </w:r>
      <w:r w:rsidR="00390845" w:rsidRPr="002A2ECB">
        <w:rPr>
          <w:rStyle w:val="FootnoteReference"/>
        </w:rPr>
        <w:footnoteReference w:id="75"/>
      </w:r>
      <w:r w:rsidR="003347F6" w:rsidRPr="002A2ECB">
        <w:t xml:space="preserve">  </w:t>
      </w:r>
      <w:r w:rsidR="00765396" w:rsidRPr="002A2ECB">
        <w:t>I</w:t>
      </w:r>
      <w:r w:rsidR="00674162" w:rsidRPr="002A2ECB">
        <w:t xml:space="preserve">t </w:t>
      </w:r>
      <w:r w:rsidR="003C2EC8" w:rsidRPr="002A2ECB">
        <w:t xml:space="preserve">seems </w:t>
      </w:r>
      <w:r w:rsidR="00BA3BC8">
        <w:t>entirely</w:t>
      </w:r>
      <w:r w:rsidR="000D0285" w:rsidRPr="002A2ECB">
        <w:t xml:space="preserve"> </w:t>
      </w:r>
      <w:r w:rsidR="00B512EE" w:rsidRPr="002A2ECB">
        <w:t xml:space="preserve">possible </w:t>
      </w:r>
      <w:r w:rsidR="00674162" w:rsidRPr="002A2ECB">
        <w:t xml:space="preserve">that </w:t>
      </w:r>
      <w:r w:rsidR="000D0285" w:rsidRPr="002A2ECB">
        <w:t>a different conclusion</w:t>
      </w:r>
      <w:r w:rsidR="0029246D" w:rsidRPr="002A2ECB">
        <w:t xml:space="preserve"> </w:t>
      </w:r>
      <w:r w:rsidR="0029246D" w:rsidRPr="002A2ECB">
        <w:lastRenderedPageBreak/>
        <w:t xml:space="preserve">would </w:t>
      </w:r>
      <w:r w:rsidR="00FC5B7E" w:rsidRPr="002A2ECB">
        <w:t xml:space="preserve">have </w:t>
      </w:r>
      <w:r w:rsidR="0029246D" w:rsidRPr="002A2ECB">
        <w:t>be</w:t>
      </w:r>
      <w:r w:rsidR="00FC5B7E" w:rsidRPr="002A2ECB">
        <w:t>en</w:t>
      </w:r>
      <w:r w:rsidR="0029246D" w:rsidRPr="002A2ECB">
        <w:t xml:space="preserve"> reached</w:t>
      </w:r>
      <w:r w:rsidR="003C2EC8" w:rsidRPr="002A2ECB">
        <w:t xml:space="preserve"> since</w:t>
      </w:r>
      <w:r w:rsidR="000D0285" w:rsidRPr="002A2ECB">
        <w:t xml:space="preserve"> the Court was much troubled by its having to </w:t>
      </w:r>
      <w:r w:rsidR="003347F6" w:rsidRPr="002A2ECB">
        <w:t xml:space="preserve">decide </w:t>
      </w:r>
      <w:r w:rsidR="000D0285" w:rsidRPr="002A2ECB">
        <w:t>in favour of absolute liability</w:t>
      </w:r>
      <w:r w:rsidR="003C2EC8" w:rsidRPr="002A2ECB">
        <w:t xml:space="preserve">.  </w:t>
      </w:r>
      <w:r w:rsidR="00015A44">
        <w:t>This was because</w:t>
      </w:r>
      <w:r w:rsidR="000D0285" w:rsidRPr="002A2ECB">
        <w:t xml:space="preserve"> </w:t>
      </w:r>
      <w:r w:rsidR="003C2EC8" w:rsidRPr="002A2ECB">
        <w:t>it</w:t>
      </w:r>
      <w:r w:rsidR="00967FEB">
        <w:t>s decision</w:t>
      </w:r>
      <w:r w:rsidR="003C2EC8" w:rsidRPr="002A2ECB">
        <w:t xml:space="preserve"> </w:t>
      </w:r>
      <w:r w:rsidR="00015A44">
        <w:t xml:space="preserve">logically </w:t>
      </w:r>
      <w:r w:rsidR="000D0285" w:rsidRPr="002A2ECB">
        <w:t>meant that an offence under section 123</w:t>
      </w:r>
      <w:r w:rsidR="00015A44">
        <w:t>,</w:t>
      </w:r>
      <w:r w:rsidR="003347F6" w:rsidRPr="002A2ECB">
        <w:rPr>
          <w:rStyle w:val="FootnoteReference"/>
        </w:rPr>
        <w:footnoteReference w:id="76"/>
      </w:r>
      <w:r w:rsidR="000D0285" w:rsidRPr="002A2ECB">
        <w:t xml:space="preserve"> punishable by life imprisonment, </w:t>
      </w:r>
      <w:r w:rsidR="00967FEB">
        <w:t xml:space="preserve">ought also </w:t>
      </w:r>
      <w:r w:rsidR="0029246D" w:rsidRPr="002A2ECB">
        <w:t xml:space="preserve">to </w:t>
      </w:r>
      <w:r w:rsidR="000D0285" w:rsidRPr="002A2ECB">
        <w:t>be construed as one of absolute liability:</w:t>
      </w:r>
    </w:p>
    <w:p w:rsidR="000D0285" w:rsidRPr="002A2ECB" w:rsidRDefault="000D0285" w:rsidP="00FC47C1">
      <w:pPr>
        <w:pStyle w:val="Footer"/>
        <w:spacing w:after="240"/>
        <w:ind w:left="720"/>
        <w:jc w:val="both"/>
        <w:rPr>
          <w:sz w:val="24"/>
        </w:rPr>
      </w:pPr>
      <w:r w:rsidRPr="002A2ECB">
        <w:t>“</w:t>
      </w:r>
      <w:r w:rsidRPr="002A2ECB">
        <w:rPr>
          <w:sz w:val="24"/>
        </w:rPr>
        <w:t xml:space="preserve">The aspect that has taxed us most about this conclusion is that there is no doubt that s 124(1) involves a </w:t>
      </w:r>
      <w:r w:rsidR="00674162" w:rsidRPr="002A2ECB">
        <w:rPr>
          <w:sz w:val="24"/>
        </w:rPr>
        <w:t>‘</w:t>
      </w:r>
      <w:r w:rsidRPr="002A2ECB">
        <w:rPr>
          <w:sz w:val="24"/>
        </w:rPr>
        <w:t>truly criminal</w:t>
      </w:r>
      <w:r w:rsidR="00674162" w:rsidRPr="002A2ECB">
        <w:rPr>
          <w:sz w:val="24"/>
        </w:rPr>
        <w:t>’</w:t>
      </w:r>
      <w:r w:rsidRPr="002A2ECB">
        <w:rPr>
          <w:sz w:val="24"/>
        </w:rPr>
        <w:t xml:space="preserve"> offence with serious consequences (a maximum of 5 years' imprisonment). Moreover, our conclusion on s 124 must equally apply to the s 123 offence of unlawful sexual intercourse with a girl below the age of 12. For this latter offence, the maximum penalty is life imprisonment. The provisions of ss 123 and 124 are virtually identical save that in respect of the latter, a statutory defence is available (s 124(2)). It seems at first startling that a crime that carries with it such severe penalties (in fact the severest in the case of s 123) should be one of absolute liability (not even strict liability as defined above). Yet, this remains the position in many common law jurisdictions and is a conclusion that is, given the matters already discussed as to the statutory construction and the legislative history, compelling.”</w:t>
      </w:r>
      <w:r w:rsidRPr="002A2ECB">
        <w:rPr>
          <w:rStyle w:val="FootnoteReference"/>
          <w:sz w:val="24"/>
        </w:rPr>
        <w:footnoteReference w:id="77"/>
      </w:r>
    </w:p>
    <w:p w:rsidR="000D0285" w:rsidRDefault="005E4095" w:rsidP="00FC47C1">
      <w:pPr>
        <w:pStyle w:val="Bob1"/>
        <w:tabs>
          <w:tab w:val="clear" w:pos="720"/>
          <w:tab w:val="left" w:pos="1440"/>
        </w:tabs>
        <w:ind w:left="0" w:firstLine="0"/>
        <w:jc w:val="both"/>
      </w:pPr>
      <w:r w:rsidRPr="002A2ECB">
        <w:t>It is true that in this Court, it was later acknowledged</w:t>
      </w:r>
      <w:r w:rsidRPr="002A2ECB">
        <w:rPr>
          <w:rStyle w:val="FootnoteReference"/>
        </w:rPr>
        <w:footnoteReference w:id="78"/>
      </w:r>
      <w:r w:rsidRPr="002A2ECB">
        <w:t xml:space="preserve"> that </w:t>
      </w:r>
      <w:r w:rsidRPr="002A2ECB">
        <w:rPr>
          <w:i/>
        </w:rPr>
        <w:t xml:space="preserve">So Wai Lun </w:t>
      </w:r>
      <w:r w:rsidRPr="002A2ECB">
        <w:t>had held a section 124 offence to be one of absolute liability</w:t>
      </w:r>
      <w:r w:rsidR="0058093F">
        <w:t>, but</w:t>
      </w:r>
      <w:r w:rsidRPr="002A2ECB">
        <w:t xml:space="preserve"> the basis of the Court of Appeal’s decision was not subject to </w:t>
      </w:r>
      <w:r w:rsidR="006C56D7" w:rsidRPr="002A2ECB">
        <w:t>argument or</w:t>
      </w:r>
      <w:r w:rsidR="00FC5B7E" w:rsidRPr="002A2ECB">
        <w:t xml:space="preserve"> scrutiny</w:t>
      </w:r>
      <w:r w:rsidRPr="002A2ECB">
        <w:t>.</w:t>
      </w:r>
      <w:r w:rsidR="00E95D45" w:rsidRPr="002A2ECB">
        <w:t xml:space="preserve">  </w:t>
      </w:r>
      <w:r w:rsidR="00966687">
        <w:t>It was merely assumed to be correct in its conclusion.</w:t>
      </w:r>
    </w:p>
    <w:p w:rsidR="00ED4AA8" w:rsidRDefault="00B933BD" w:rsidP="00FC47C1">
      <w:pPr>
        <w:pStyle w:val="Bob1"/>
        <w:tabs>
          <w:tab w:val="clear" w:pos="720"/>
          <w:tab w:val="left" w:pos="1440"/>
        </w:tabs>
        <w:ind w:left="0" w:firstLine="0"/>
        <w:jc w:val="both"/>
      </w:pPr>
      <w:r w:rsidRPr="002A2ECB">
        <w:t>T</w:t>
      </w:r>
      <w:r w:rsidR="00DF206F" w:rsidRPr="002A2ECB">
        <w:t xml:space="preserve">he </w:t>
      </w:r>
      <w:r w:rsidRPr="002A2ECB">
        <w:t xml:space="preserve">question whether the </w:t>
      </w:r>
      <w:r w:rsidR="00DF206F" w:rsidRPr="002A2ECB">
        <w:t>Court of Appeal</w:t>
      </w:r>
      <w:r w:rsidR="00742D57" w:rsidRPr="002A2ECB">
        <w:t>’s</w:t>
      </w:r>
      <w:r w:rsidR="00DF206F" w:rsidRPr="002A2ECB">
        <w:t xml:space="preserve"> </w:t>
      </w:r>
      <w:r w:rsidR="00742D57" w:rsidRPr="002A2ECB">
        <w:t>decision was right</w:t>
      </w:r>
      <w:r w:rsidR="00D7696E" w:rsidRPr="002A2ECB">
        <w:t xml:space="preserve">, </w:t>
      </w:r>
      <w:r w:rsidR="00742D57" w:rsidRPr="002A2ECB">
        <w:t xml:space="preserve">in particular </w:t>
      </w:r>
      <w:r w:rsidR="00D7696E" w:rsidRPr="002A2ECB">
        <w:t xml:space="preserve">in </w:t>
      </w:r>
      <w:r w:rsidR="00F9601F" w:rsidRPr="002A2ECB">
        <w:t>treating</w:t>
      </w:r>
      <w:r w:rsidR="00DF206F" w:rsidRPr="002A2ECB">
        <w:t xml:space="preserve"> the removal by the </w:t>
      </w:r>
      <w:r w:rsidR="005C01E1" w:rsidRPr="002A2ECB">
        <w:t xml:space="preserve">1897 </w:t>
      </w:r>
      <w:r w:rsidR="00DF206F" w:rsidRPr="002A2ECB">
        <w:t xml:space="preserve">Ordinance of the reasonable belief defence introduced in 1890 </w:t>
      </w:r>
      <w:r w:rsidR="00742D57" w:rsidRPr="002A2ECB">
        <w:t xml:space="preserve">as </w:t>
      </w:r>
      <w:r w:rsidR="00DF206F" w:rsidRPr="002A2ECB">
        <w:t xml:space="preserve">a </w:t>
      </w:r>
      <w:r w:rsidR="00D81BEA" w:rsidRPr="002A2ECB">
        <w:t xml:space="preserve">decisive indication of </w:t>
      </w:r>
      <w:r w:rsidR="003347F6" w:rsidRPr="002A2ECB">
        <w:t>legislative</w:t>
      </w:r>
      <w:r w:rsidR="00DF206F" w:rsidRPr="002A2ECB">
        <w:t xml:space="preserve"> policy </w:t>
      </w:r>
      <w:r w:rsidR="00D81BEA" w:rsidRPr="002A2ECB">
        <w:t xml:space="preserve">which </w:t>
      </w:r>
      <w:r w:rsidR="00DF206F" w:rsidRPr="002A2ECB">
        <w:t>carries down to the present</w:t>
      </w:r>
      <w:r w:rsidRPr="002A2ECB">
        <w:t>,</w:t>
      </w:r>
      <w:r w:rsidR="00742D57" w:rsidRPr="002A2ECB">
        <w:t xml:space="preserve"> should be left open</w:t>
      </w:r>
      <w:r w:rsidR="00DF206F" w:rsidRPr="002A2ECB">
        <w:t xml:space="preserve">.  </w:t>
      </w:r>
      <w:r w:rsidR="00742D57" w:rsidRPr="002A2ECB">
        <w:t xml:space="preserve">If </w:t>
      </w:r>
      <w:r w:rsidR="00015A44">
        <w:t xml:space="preserve">it is </w:t>
      </w:r>
      <w:r w:rsidR="00742D57" w:rsidRPr="002A2ECB">
        <w:t>revisited</w:t>
      </w:r>
      <w:r w:rsidR="00015A44">
        <w:t xml:space="preserve"> in the future</w:t>
      </w:r>
      <w:r w:rsidR="00742D57" w:rsidRPr="002A2ECB">
        <w:t xml:space="preserve">, it </w:t>
      </w:r>
      <w:r w:rsidR="00015A44">
        <w:t xml:space="preserve">would no doubt </w:t>
      </w:r>
      <w:r w:rsidR="00742D57" w:rsidRPr="002A2ECB">
        <w:t xml:space="preserve">be necessary to consider </w:t>
      </w:r>
      <w:r w:rsidR="00015A44">
        <w:t xml:space="preserve">whether </w:t>
      </w:r>
      <w:r w:rsidR="00742D57" w:rsidRPr="002A2ECB">
        <w:t>t</w:t>
      </w:r>
      <w:r w:rsidR="00DF206F" w:rsidRPr="002A2ECB">
        <w:t xml:space="preserve">he 1890 offence </w:t>
      </w:r>
      <w:r w:rsidR="009C2A7C">
        <w:t>may be said to be</w:t>
      </w:r>
      <w:r w:rsidR="0058093F">
        <w:t xml:space="preserve"> a different offence from that created by </w:t>
      </w:r>
      <w:r w:rsidR="00DF206F" w:rsidRPr="002A2ECB">
        <w:t>section 124</w:t>
      </w:r>
      <w:r w:rsidR="00DF206F" w:rsidRPr="002A2ECB">
        <w:rPr>
          <w:rStyle w:val="FootnoteReference"/>
        </w:rPr>
        <w:footnoteReference w:id="79"/>
      </w:r>
      <w:r w:rsidR="00167206" w:rsidRPr="002A2ECB">
        <w:t xml:space="preserve"> </w:t>
      </w:r>
      <w:r w:rsidR="00015A44">
        <w:t>and also relevant</w:t>
      </w:r>
      <w:r w:rsidR="007444B4" w:rsidRPr="002A2ECB">
        <w:t xml:space="preserve"> to </w:t>
      </w:r>
      <w:r w:rsidR="007444B4" w:rsidRPr="002A2ECB">
        <w:lastRenderedPageBreak/>
        <w:t xml:space="preserve">consider any </w:t>
      </w:r>
      <w:r w:rsidR="00742D57" w:rsidRPr="002A2ECB">
        <w:t xml:space="preserve">changes to the </w:t>
      </w:r>
      <w:r w:rsidR="005C01E1" w:rsidRPr="002A2ECB">
        <w:t xml:space="preserve">general criminal law </w:t>
      </w:r>
      <w:r w:rsidR="00742D57" w:rsidRPr="002A2ECB">
        <w:t xml:space="preserve">providing the </w:t>
      </w:r>
      <w:r w:rsidR="00D81BEA" w:rsidRPr="002A2ECB">
        <w:t xml:space="preserve">context </w:t>
      </w:r>
      <w:r w:rsidR="00F9601F" w:rsidRPr="002A2ECB">
        <w:t xml:space="preserve">in which </w:t>
      </w:r>
      <w:r w:rsidR="00742D57" w:rsidRPr="002A2ECB">
        <w:t xml:space="preserve">the two </w:t>
      </w:r>
      <w:r w:rsidR="005C01E1" w:rsidRPr="002A2ECB">
        <w:t>offence</w:t>
      </w:r>
      <w:r w:rsidR="00742D57" w:rsidRPr="002A2ECB">
        <w:t>s</w:t>
      </w:r>
      <w:r w:rsidR="00F9601F" w:rsidRPr="002A2ECB">
        <w:t xml:space="preserve"> operate</w:t>
      </w:r>
      <w:r w:rsidR="00742D57" w:rsidRPr="002A2ECB">
        <w:t xml:space="preserve">. </w:t>
      </w:r>
    </w:p>
    <w:p w:rsidR="00DF206F" w:rsidRDefault="00015A44" w:rsidP="00FC47C1">
      <w:pPr>
        <w:pStyle w:val="Bob1"/>
        <w:tabs>
          <w:tab w:val="clear" w:pos="720"/>
          <w:tab w:val="left" w:pos="1440"/>
        </w:tabs>
        <w:ind w:left="0" w:firstLine="0"/>
        <w:jc w:val="both"/>
      </w:pPr>
      <w:r>
        <w:t>T</w:t>
      </w:r>
      <w:r w:rsidR="00ED4AA8" w:rsidRPr="002A2ECB">
        <w:t>he relevance</w:t>
      </w:r>
      <w:r w:rsidR="00F9601F" w:rsidRPr="002A2ECB">
        <w:t>, if any,</w:t>
      </w:r>
      <w:r w:rsidR="00ED4AA8" w:rsidRPr="002A2ECB">
        <w:t xml:space="preserve"> of </w:t>
      </w:r>
      <w:r w:rsidR="00ED4AA8" w:rsidRPr="00FC47C1">
        <w:rPr>
          <w:i/>
        </w:rPr>
        <w:t>R</w:t>
      </w:r>
      <w:r w:rsidR="00ED4AA8" w:rsidRPr="002A2ECB">
        <w:t xml:space="preserve"> </w:t>
      </w:r>
      <w:r w:rsidR="00ED4AA8" w:rsidRPr="00FC47C1">
        <w:rPr>
          <w:rFonts w:eastAsia="宋体"/>
          <w:i/>
          <w:szCs w:val="28"/>
          <w:lang w:eastAsia="zh-CN"/>
        </w:rPr>
        <w:t>v Brown</w:t>
      </w:r>
      <w:r w:rsidR="00ED4AA8" w:rsidRPr="00FC47C1">
        <w:rPr>
          <w:rFonts w:eastAsia="宋体"/>
          <w:sz w:val="24"/>
          <w:lang w:eastAsia="zh-CN"/>
        </w:rPr>
        <w:t>,</w:t>
      </w:r>
      <w:r w:rsidR="00ED4AA8" w:rsidRPr="002A2ECB">
        <w:rPr>
          <w:rStyle w:val="FootnoteReference"/>
          <w:rFonts w:eastAsia="宋体"/>
          <w:sz w:val="24"/>
          <w:lang w:eastAsia="zh-CN"/>
        </w:rPr>
        <w:footnoteReference w:id="80"/>
      </w:r>
      <w:r w:rsidR="00742D57" w:rsidRPr="002A2ECB">
        <w:t xml:space="preserve"> </w:t>
      </w:r>
      <w:r>
        <w:t>would</w:t>
      </w:r>
      <w:r w:rsidR="00D548A8">
        <w:t xml:space="preserve"> also have to be considered.  The </w:t>
      </w:r>
      <w:r>
        <w:t xml:space="preserve">United Kingdom Supreme Court </w:t>
      </w:r>
      <w:r w:rsidR="00D548A8">
        <w:t xml:space="preserve">there </w:t>
      </w:r>
      <w:r>
        <w:t xml:space="preserve">held that the </w:t>
      </w:r>
      <w:r w:rsidR="00ED4AA8" w:rsidRPr="002A2ECB">
        <w:t xml:space="preserve">offence of unlawful carnal knowledge of a girl under the age of 14 under the Criminal Law Amendment Acts (Northern Ireland) 1885-1923, section 4 </w:t>
      </w:r>
      <w:r>
        <w:t xml:space="preserve">is </w:t>
      </w:r>
      <w:r w:rsidR="00ED4AA8" w:rsidRPr="002A2ECB">
        <w:t xml:space="preserve">one of absolute liability in respect of the girl’s age.  While </w:t>
      </w:r>
      <w:r>
        <w:t>it</w:t>
      </w:r>
      <w:r w:rsidR="002D2D75">
        <w:t>s judgment</w:t>
      </w:r>
      <w:r>
        <w:t xml:space="preserve"> may be thought to contain </w:t>
      </w:r>
      <w:r w:rsidR="00F9601F" w:rsidRPr="002A2ECB">
        <w:t xml:space="preserve">some </w:t>
      </w:r>
      <w:r w:rsidR="00ED4AA8" w:rsidRPr="002A2ECB">
        <w:t xml:space="preserve">echoes of the reasoning of the Court of Appeal in </w:t>
      </w:r>
      <w:r w:rsidR="00ED4AA8" w:rsidRPr="00FC47C1">
        <w:rPr>
          <w:i/>
        </w:rPr>
        <w:t>So Wai Lun</w:t>
      </w:r>
      <w:r w:rsidR="00ED4AA8" w:rsidRPr="002A2ECB">
        <w:t xml:space="preserve">, </w:t>
      </w:r>
      <w:r w:rsidR="002D2D75" w:rsidRPr="00FC47C1">
        <w:rPr>
          <w:i/>
        </w:rPr>
        <w:t xml:space="preserve">R v Brown </w:t>
      </w:r>
      <w:r w:rsidR="002D2D75">
        <w:t xml:space="preserve">is </w:t>
      </w:r>
      <w:r w:rsidR="00F9601F" w:rsidRPr="002A2ECB">
        <w:t xml:space="preserve">a </w:t>
      </w:r>
      <w:r w:rsidR="00234023" w:rsidRPr="002A2ECB">
        <w:t xml:space="preserve">case with </w:t>
      </w:r>
      <w:r>
        <w:t xml:space="preserve">markedly </w:t>
      </w:r>
      <w:r w:rsidR="00F9601F" w:rsidRPr="002A2ECB">
        <w:t>special</w:t>
      </w:r>
      <w:r w:rsidR="00234023" w:rsidRPr="002A2ECB">
        <w:t xml:space="preserve"> features</w:t>
      </w:r>
      <w:r w:rsidR="00F9601F" w:rsidRPr="002A2ECB">
        <w:t>.  S</w:t>
      </w:r>
      <w:r w:rsidR="005123B2" w:rsidRPr="002A2ECB">
        <w:t xml:space="preserve">ection 4 </w:t>
      </w:r>
      <w:r w:rsidR="00F9601F" w:rsidRPr="002A2ECB">
        <w:t xml:space="preserve">of the Northern Irish Act </w:t>
      </w:r>
      <w:r w:rsidR="005123B2" w:rsidRPr="002A2ECB">
        <w:t xml:space="preserve">was </w:t>
      </w:r>
      <w:r w:rsidR="00A552C9" w:rsidRPr="002A2ECB">
        <w:t xml:space="preserve">held </w:t>
      </w:r>
      <w:r w:rsidR="00F9601F" w:rsidRPr="002A2ECB">
        <w:t xml:space="preserve">to be </w:t>
      </w:r>
      <w:r w:rsidR="005123B2" w:rsidRPr="002A2ECB">
        <w:t xml:space="preserve">a specific response to the decision in </w:t>
      </w:r>
      <w:r w:rsidR="005123B2" w:rsidRPr="00FC47C1">
        <w:rPr>
          <w:i/>
        </w:rPr>
        <w:t>R v Prince</w:t>
      </w:r>
      <w:r w:rsidR="005123B2" w:rsidRPr="002A2ECB">
        <w:rPr>
          <w:rStyle w:val="FootnoteReference"/>
        </w:rPr>
        <w:footnoteReference w:id="81"/>
      </w:r>
      <w:r w:rsidR="00234023" w:rsidRPr="002A2ECB">
        <w:t xml:space="preserve"> </w:t>
      </w:r>
      <w:r w:rsidR="004415E3">
        <w:t xml:space="preserve">having been </w:t>
      </w:r>
      <w:r w:rsidR="00234023" w:rsidRPr="002A2ECB">
        <w:t xml:space="preserve">enacted </w:t>
      </w:r>
      <w:r w:rsidR="00230211" w:rsidRPr="002A2ECB">
        <w:t xml:space="preserve">some </w:t>
      </w:r>
      <w:r w:rsidR="00234023" w:rsidRPr="002A2ECB">
        <w:t>10 years after that decision</w:t>
      </w:r>
      <w:r w:rsidR="005123B2" w:rsidRPr="002A2ECB">
        <w:t xml:space="preserve">, deliberately </w:t>
      </w:r>
      <w:r w:rsidR="004415E3">
        <w:t xml:space="preserve">preserving </w:t>
      </w:r>
      <w:r w:rsidR="005123B2" w:rsidRPr="002A2ECB">
        <w:t xml:space="preserve">absolute liability </w:t>
      </w:r>
      <w:r w:rsidR="00234023" w:rsidRPr="002A2ECB">
        <w:t xml:space="preserve">in relation to </w:t>
      </w:r>
      <w:r w:rsidR="005123B2" w:rsidRPr="002A2ECB">
        <w:t>girls under the age of 13 (later raised to 14).</w:t>
      </w:r>
      <w:r w:rsidR="005123B2" w:rsidRPr="002A2ECB">
        <w:rPr>
          <w:rStyle w:val="FootnoteReference"/>
        </w:rPr>
        <w:footnoteReference w:id="82"/>
      </w:r>
      <w:r w:rsidR="005123B2" w:rsidRPr="002A2ECB">
        <w:t xml:space="preserve">  </w:t>
      </w:r>
      <w:r w:rsidR="00A552C9" w:rsidRPr="002A2ECB">
        <w:t>I</w:t>
      </w:r>
      <w:r w:rsidR="005123B2" w:rsidRPr="002A2ECB">
        <w:t xml:space="preserve">t </w:t>
      </w:r>
      <w:r w:rsidR="00A552C9" w:rsidRPr="002A2ECB">
        <w:t xml:space="preserve">also </w:t>
      </w:r>
      <w:r w:rsidR="005123B2" w:rsidRPr="002A2ECB">
        <w:t xml:space="preserve">involved two </w:t>
      </w:r>
      <w:r w:rsidR="00A552C9" w:rsidRPr="002A2ECB">
        <w:t xml:space="preserve">directly </w:t>
      </w:r>
      <w:r w:rsidR="005123B2" w:rsidRPr="002A2ECB">
        <w:t>overlapping</w:t>
      </w:r>
      <w:r w:rsidR="00A552C9" w:rsidRPr="002A2ECB">
        <w:t xml:space="preserve"> provision</w:t>
      </w:r>
      <w:r w:rsidR="00230211" w:rsidRPr="002A2ECB">
        <w:t>s</w:t>
      </w:r>
      <w:r w:rsidR="00A552C9" w:rsidRPr="002A2ECB">
        <w:t>,</w:t>
      </w:r>
      <w:r w:rsidR="00A552C9" w:rsidRPr="002A2ECB">
        <w:rPr>
          <w:rStyle w:val="FootnoteReference"/>
        </w:rPr>
        <w:footnoteReference w:id="83"/>
      </w:r>
      <w:r w:rsidR="00A552C9" w:rsidRPr="002A2ECB">
        <w:t xml:space="preserve"> and, when </w:t>
      </w:r>
      <w:r w:rsidR="003D12F2" w:rsidRPr="002A2ECB">
        <w:t xml:space="preserve">a proviso allowing for a </w:t>
      </w:r>
      <w:r w:rsidR="00A552C9" w:rsidRPr="002A2ECB">
        <w:t xml:space="preserve">reasonable belief </w:t>
      </w:r>
      <w:r w:rsidR="003D12F2" w:rsidRPr="002A2ECB">
        <w:t xml:space="preserve">defence was </w:t>
      </w:r>
      <w:r w:rsidR="00230211" w:rsidRPr="002A2ECB">
        <w:t xml:space="preserve">eliminated </w:t>
      </w:r>
      <w:r w:rsidR="00234023" w:rsidRPr="002A2ECB">
        <w:t>from one of them</w:t>
      </w:r>
      <w:r w:rsidR="00230211" w:rsidRPr="002A2ECB">
        <w:t xml:space="preserve"> (section 5)</w:t>
      </w:r>
      <w:r w:rsidR="00234023" w:rsidRPr="002A2ECB">
        <w:t xml:space="preserve">, </w:t>
      </w:r>
      <w:r w:rsidR="00230211" w:rsidRPr="002A2ECB">
        <w:t xml:space="preserve">it was </w:t>
      </w:r>
      <w:r w:rsidR="003D12F2" w:rsidRPr="002A2ECB">
        <w:t xml:space="preserve">expressly </w:t>
      </w:r>
      <w:r w:rsidR="00230211" w:rsidRPr="002A2ECB">
        <w:t xml:space="preserve">enacted </w:t>
      </w:r>
      <w:r w:rsidR="003D12F2" w:rsidRPr="002A2ECB">
        <w:t xml:space="preserve">that reasonable cause to believe the girl was 17 or above </w:t>
      </w:r>
      <w:r w:rsidR="00A552C9" w:rsidRPr="002A2ECB">
        <w:t>“</w:t>
      </w:r>
      <w:r w:rsidR="003D12F2" w:rsidRPr="002A2ECB">
        <w:t xml:space="preserve">shall not be a </w:t>
      </w:r>
      <w:r w:rsidR="00230211" w:rsidRPr="002A2ECB">
        <w:t xml:space="preserve">defence” to a charge under that </w:t>
      </w:r>
      <w:r w:rsidR="003D12F2" w:rsidRPr="002A2ECB">
        <w:t>section</w:t>
      </w:r>
      <w:r w:rsidR="00C04774">
        <w:t>.</w:t>
      </w:r>
      <w:r w:rsidR="006467A9">
        <w:rPr>
          <w:rStyle w:val="FootnoteReference"/>
        </w:rPr>
        <w:footnoteReference w:id="84"/>
      </w:r>
      <w:r w:rsidR="003D12F2" w:rsidRPr="002A2ECB">
        <w:t xml:space="preserve">  </w:t>
      </w:r>
      <w:r w:rsidR="00234023" w:rsidRPr="002A2ECB">
        <w:t>Th</w:t>
      </w:r>
      <w:r w:rsidR="00230211" w:rsidRPr="002A2ECB">
        <w:t>o</w:t>
      </w:r>
      <w:r w:rsidR="00234023" w:rsidRPr="002A2ECB">
        <w:t>se features had a weighty bearing on the construction of section 4.</w:t>
      </w:r>
    </w:p>
    <w:p w:rsidR="00E95D45" w:rsidRDefault="00E95D45" w:rsidP="00FC47C1">
      <w:pPr>
        <w:pStyle w:val="Bob1"/>
        <w:tabs>
          <w:tab w:val="clear" w:pos="720"/>
          <w:tab w:val="left" w:pos="1440"/>
        </w:tabs>
        <w:ind w:left="0" w:firstLine="0"/>
        <w:jc w:val="both"/>
      </w:pPr>
      <w:r w:rsidRPr="002A2ECB">
        <w:t>The Judge</w:t>
      </w:r>
      <w:r w:rsidR="00044C9E" w:rsidRPr="002A2ECB">
        <w:rPr>
          <w:rStyle w:val="FootnoteReference"/>
        </w:rPr>
        <w:footnoteReference w:id="85"/>
      </w:r>
      <w:r w:rsidRPr="002A2ECB">
        <w:t xml:space="preserve"> </w:t>
      </w:r>
      <w:r w:rsidR="00F7104A">
        <w:t xml:space="preserve">also </w:t>
      </w:r>
      <w:r w:rsidR="00D548A8">
        <w:t xml:space="preserve">considered the doubling of </w:t>
      </w:r>
      <w:r w:rsidRPr="002A2ECB">
        <w:t xml:space="preserve">the maximum sentence for indecent assault from five to ten years’ imprisonment </w:t>
      </w:r>
      <w:r w:rsidR="00696FFD">
        <w:t xml:space="preserve">in 1991 </w:t>
      </w:r>
      <w:r w:rsidRPr="002A2ECB">
        <w:t xml:space="preserve">an indication </w:t>
      </w:r>
      <w:r w:rsidRPr="002A2ECB">
        <w:lastRenderedPageBreak/>
        <w:t xml:space="preserve">that absolute liability was intended.  </w:t>
      </w:r>
      <w:r w:rsidR="00A65AE4" w:rsidRPr="002A2ECB">
        <w:t>However, t</w:t>
      </w:r>
      <w:r w:rsidR="00044C9E" w:rsidRPr="002A2ECB">
        <w:t>he authorities generally hold that the more serious an offence is in terms of penalty and social obloquy, the more likely it is that the presumption of mens rea is sustained.</w:t>
      </w:r>
      <w:r w:rsidR="00044C9E" w:rsidRPr="002A2ECB">
        <w:rPr>
          <w:rStyle w:val="FootnoteReference"/>
        </w:rPr>
        <w:footnoteReference w:id="86"/>
      </w:r>
      <w:r w:rsidR="00044C9E" w:rsidRPr="002A2ECB">
        <w:t xml:space="preserve">  Hence the doubling of the maximum militates against</w:t>
      </w:r>
      <w:r w:rsidR="003347F6" w:rsidRPr="002A2ECB">
        <w:t>, rather than in favour of,</w:t>
      </w:r>
      <w:r w:rsidR="00044C9E" w:rsidRPr="002A2ECB">
        <w:t xml:space="preserve"> a construction favouring absolute liability.</w:t>
      </w:r>
    </w:p>
    <w:p w:rsidR="003347F6" w:rsidRPr="002A2ECB" w:rsidRDefault="003347F6" w:rsidP="00FC47C1">
      <w:pPr>
        <w:pStyle w:val="Bob1"/>
        <w:tabs>
          <w:tab w:val="clear" w:pos="720"/>
          <w:tab w:val="left" w:pos="1440"/>
        </w:tabs>
        <w:ind w:left="0" w:firstLine="0"/>
        <w:jc w:val="both"/>
      </w:pPr>
      <w:r w:rsidRPr="002A2ECB">
        <w:t>For the aforesaid reasons and because</w:t>
      </w:r>
      <w:r w:rsidR="00F7104A">
        <w:t xml:space="preserve">, as </w:t>
      </w:r>
      <w:r w:rsidR="00D548A8">
        <w:t>indicated</w:t>
      </w:r>
      <w:r w:rsidR="00F7104A">
        <w:t xml:space="preserve"> below,</w:t>
      </w:r>
      <w:r w:rsidRPr="002A2ECB">
        <w:t xml:space="preserve"> I do not consider absolute liability </w:t>
      </w:r>
      <w:r w:rsidR="00D548A8">
        <w:t xml:space="preserve">necessary </w:t>
      </w:r>
      <w:r w:rsidRPr="002A2ECB">
        <w:t xml:space="preserve">to achieve the statutory purposes of section 122, </w:t>
      </w:r>
      <w:r w:rsidR="00770236" w:rsidRPr="002A2ECB">
        <w:t xml:space="preserve">I would reject the </w:t>
      </w:r>
      <w:r w:rsidR="00D548A8">
        <w:t>prosecution’s submission</w:t>
      </w:r>
      <w:r w:rsidR="00770236" w:rsidRPr="002A2ECB">
        <w:t xml:space="preserve"> that the presumption of mens rea is displaced in favour of absolute liability regarding the girl’s age.</w:t>
      </w:r>
    </w:p>
    <w:p w:rsidR="003347F6" w:rsidRPr="002A2ECB" w:rsidRDefault="003347F6" w:rsidP="009F00A4">
      <w:pPr>
        <w:pStyle w:val="docmapheading"/>
      </w:pPr>
      <w:r w:rsidRPr="002A2ECB">
        <w:t>H.2</w:t>
      </w:r>
      <w:r w:rsidRPr="002A2ECB">
        <w:tab/>
        <w:t xml:space="preserve">The fourth </w:t>
      </w:r>
      <w:r w:rsidR="00FF6627">
        <w:t xml:space="preserve">Kulemesin </w:t>
      </w:r>
      <w:r w:rsidRPr="002A2ECB">
        <w:t>alternative</w:t>
      </w:r>
    </w:p>
    <w:p w:rsidR="0073308D" w:rsidRPr="002A2ECB" w:rsidRDefault="0073308D" w:rsidP="00FC47C1">
      <w:pPr>
        <w:pStyle w:val="Bob1"/>
        <w:tabs>
          <w:tab w:val="clear" w:pos="720"/>
          <w:tab w:val="left" w:pos="1440"/>
        </w:tabs>
        <w:ind w:left="0" w:firstLine="0"/>
        <w:jc w:val="both"/>
      </w:pPr>
      <w:r w:rsidRPr="002A2ECB">
        <w:t>Sections 122(3) and 122(4) state as follows:</w:t>
      </w:r>
    </w:p>
    <w:p w:rsidR="003E0231" w:rsidRPr="002A2ECB" w:rsidRDefault="003E0231" w:rsidP="00FC47C1">
      <w:pPr>
        <w:pStyle w:val="Bob1"/>
        <w:numPr>
          <w:ilvl w:val="0"/>
          <w:numId w:val="0"/>
        </w:numPr>
        <w:spacing w:line="240" w:lineRule="auto"/>
        <w:ind w:left="1440" w:hanging="720"/>
        <w:jc w:val="both"/>
        <w:rPr>
          <w:sz w:val="24"/>
        </w:rPr>
      </w:pPr>
      <w:r w:rsidRPr="002A2ECB">
        <w:rPr>
          <w:sz w:val="24"/>
        </w:rPr>
        <w:t xml:space="preserve">(3) </w:t>
      </w:r>
      <w:r w:rsidRPr="002A2ECB">
        <w:rPr>
          <w:sz w:val="24"/>
        </w:rPr>
        <w:tab/>
        <w:t xml:space="preserve">A person is not, by virtue of subsection (2), guilty of indecently assaulting another person, if that person is, or believes on reasonable grounds that he or she is, married to that other person. </w:t>
      </w:r>
    </w:p>
    <w:p w:rsidR="0073308D" w:rsidRPr="002A2ECB" w:rsidRDefault="003E0231" w:rsidP="00FC47C1">
      <w:pPr>
        <w:pStyle w:val="Bob1"/>
        <w:numPr>
          <w:ilvl w:val="0"/>
          <w:numId w:val="0"/>
        </w:numPr>
        <w:spacing w:line="240" w:lineRule="auto"/>
        <w:ind w:left="1440" w:hanging="720"/>
        <w:jc w:val="both"/>
        <w:rPr>
          <w:sz w:val="24"/>
        </w:rPr>
      </w:pPr>
      <w:r w:rsidRPr="002A2ECB">
        <w:rPr>
          <w:sz w:val="24"/>
        </w:rPr>
        <w:t xml:space="preserve">(4) </w:t>
      </w:r>
      <w:r w:rsidRPr="002A2ECB">
        <w:rPr>
          <w:sz w:val="24"/>
        </w:rPr>
        <w:tab/>
        <w:t>A woman who is a mentally incapacitated person cannot in law give any consent which would prevent an act being an assault for the purposes of this section, but a person is only to be treated as guilty of indecently assaulting a mentally incapacitated person by reason of that incapacity to consent, if that person knew or had reason to suspect her to be a mentally incapacitated person.</w:t>
      </w:r>
    </w:p>
    <w:p w:rsidR="008B1476" w:rsidRDefault="008B1476" w:rsidP="00FC47C1">
      <w:pPr>
        <w:pStyle w:val="Bob1"/>
        <w:numPr>
          <w:ilvl w:val="0"/>
          <w:numId w:val="1"/>
        </w:numPr>
        <w:tabs>
          <w:tab w:val="clear" w:pos="720"/>
          <w:tab w:val="left" w:pos="1440"/>
        </w:tabs>
        <w:ind w:left="0" w:firstLine="0"/>
        <w:jc w:val="both"/>
      </w:pPr>
      <w:r w:rsidRPr="002A2ECB">
        <w:t>The Judge</w:t>
      </w:r>
      <w:r w:rsidRPr="002A2ECB">
        <w:rPr>
          <w:rStyle w:val="FootnoteReference"/>
        </w:rPr>
        <w:footnoteReference w:id="87"/>
      </w:r>
      <w:r w:rsidRPr="002A2ECB">
        <w:t xml:space="preserve"> </w:t>
      </w:r>
      <w:r w:rsidR="00F7104A">
        <w:t>furthermore held</w:t>
      </w:r>
      <w:r w:rsidRPr="002A2ECB">
        <w:t xml:space="preserve"> that because </w:t>
      </w:r>
      <w:r w:rsidR="005F6E8A" w:rsidRPr="002A2ECB">
        <w:t xml:space="preserve">reasonable belief </w:t>
      </w:r>
      <w:r w:rsidRPr="002A2ECB">
        <w:t xml:space="preserve">defences </w:t>
      </w:r>
      <w:r w:rsidR="005F6E8A" w:rsidRPr="002A2ECB">
        <w:t>are</w:t>
      </w:r>
      <w:r w:rsidR="00200F04" w:rsidRPr="002A2ECB">
        <w:t xml:space="preserve"> </w:t>
      </w:r>
      <w:r w:rsidRPr="002A2ECB">
        <w:t>provided for by subsections (3) and (4)</w:t>
      </w:r>
      <w:r w:rsidR="00200F04" w:rsidRPr="002A2ECB">
        <w:t xml:space="preserve">, </w:t>
      </w:r>
      <w:r w:rsidRPr="002A2ECB">
        <w:t xml:space="preserve">defendants falling outside those subsections </w:t>
      </w:r>
      <w:r w:rsidR="005F6E8A" w:rsidRPr="002A2ECB">
        <w:t xml:space="preserve">are </w:t>
      </w:r>
      <w:r w:rsidRPr="002A2ECB">
        <w:t>not intended to have a</w:t>
      </w:r>
      <w:r w:rsidR="0045705C" w:rsidRPr="002A2ECB">
        <w:t>ny</w:t>
      </w:r>
      <w:r w:rsidRPr="002A2ECB">
        <w:t xml:space="preserve"> defence and </w:t>
      </w:r>
      <w:r w:rsidR="005F6E8A" w:rsidRPr="002A2ECB">
        <w:t xml:space="preserve">are </w:t>
      </w:r>
      <w:r w:rsidRPr="002A2ECB">
        <w:t>subject to absolute liability.</w:t>
      </w:r>
      <w:r w:rsidR="00200F04" w:rsidRPr="002A2ECB">
        <w:t xml:space="preserve">  In other words, his Lordship held that the presumption of mens rea was displaced by the </w:t>
      </w:r>
      <w:r w:rsidR="00ED19A2" w:rsidRPr="002A2ECB">
        <w:t xml:space="preserve">fourth </w:t>
      </w:r>
      <w:r w:rsidR="00200F04" w:rsidRPr="002A2ECB">
        <w:rPr>
          <w:i/>
        </w:rPr>
        <w:t xml:space="preserve">Kulemesin </w:t>
      </w:r>
      <w:r w:rsidR="00431E15" w:rsidRPr="002A2ECB">
        <w:t>alternative, subjecting the appellant to absolute liability</w:t>
      </w:r>
      <w:r w:rsidR="00F7104A">
        <w:t xml:space="preserve"> when he fell outside those defences</w:t>
      </w:r>
      <w:r w:rsidR="00200F04" w:rsidRPr="002A2ECB">
        <w:t>.</w:t>
      </w:r>
    </w:p>
    <w:p w:rsidR="005F6E8A" w:rsidRPr="002A2ECB" w:rsidRDefault="00234E6B" w:rsidP="00FC47C1">
      <w:pPr>
        <w:pStyle w:val="Bob1"/>
        <w:numPr>
          <w:ilvl w:val="0"/>
          <w:numId w:val="1"/>
        </w:numPr>
        <w:tabs>
          <w:tab w:val="clear" w:pos="720"/>
          <w:tab w:val="left" w:pos="1440"/>
        </w:tabs>
        <w:ind w:left="0" w:firstLine="0"/>
        <w:jc w:val="both"/>
      </w:pPr>
      <w:r w:rsidRPr="002A2ECB">
        <w:lastRenderedPageBreak/>
        <w:t xml:space="preserve">A similar argument was rejected </w:t>
      </w:r>
      <w:r w:rsidR="00F7104A">
        <w:t xml:space="preserve">by </w:t>
      </w:r>
      <w:r w:rsidR="00F7104A" w:rsidRPr="002A2ECB">
        <w:t xml:space="preserve">Lord Bingham of Cornhill </w:t>
      </w:r>
      <w:r w:rsidRPr="002A2ECB">
        <w:t xml:space="preserve">in </w:t>
      </w:r>
      <w:r w:rsidRPr="00FC47C1">
        <w:rPr>
          <w:i/>
        </w:rPr>
        <w:t>R v K</w:t>
      </w:r>
      <w:r w:rsidR="00F829B4" w:rsidRPr="002A2ECB">
        <w:rPr>
          <w:rStyle w:val="FootnoteReference"/>
          <w:i/>
        </w:rPr>
        <w:footnoteReference w:id="88"/>
      </w:r>
      <w:r w:rsidR="006233AB" w:rsidRPr="002A2ECB">
        <w:t xml:space="preserve"> </w:t>
      </w:r>
      <w:r w:rsidR="00F7104A">
        <w:t xml:space="preserve">when </w:t>
      </w:r>
      <w:r w:rsidR="006233AB" w:rsidRPr="002A2ECB">
        <w:t xml:space="preserve">construing </w:t>
      </w:r>
      <w:r w:rsidR="00F829B4" w:rsidRPr="002A2ECB">
        <w:t xml:space="preserve">section 14 of the Sexual Offences Act 1956 which </w:t>
      </w:r>
      <w:r w:rsidR="00431E15" w:rsidRPr="002A2ECB">
        <w:t xml:space="preserve">is replicated in </w:t>
      </w:r>
      <w:r w:rsidR="00F829B4" w:rsidRPr="002A2ECB">
        <w:t>sectio</w:t>
      </w:r>
      <w:r w:rsidR="00431E15" w:rsidRPr="002A2ECB">
        <w:t>n 122 of the Crimes Ordinance.</w:t>
      </w:r>
      <w:r w:rsidR="00F829B4" w:rsidRPr="002A2ECB">
        <w:rPr>
          <w:rStyle w:val="FootnoteReference"/>
        </w:rPr>
        <w:footnoteReference w:id="89"/>
      </w:r>
      <w:r w:rsidR="00F829B4" w:rsidRPr="002A2ECB">
        <w:t xml:space="preserve">  </w:t>
      </w:r>
      <w:r w:rsidR="00F7104A">
        <w:t xml:space="preserve">His Lordship </w:t>
      </w:r>
      <w:r w:rsidR="004C21C0" w:rsidRPr="002A2ECB">
        <w:t xml:space="preserve">summarised the argument </w:t>
      </w:r>
      <w:r w:rsidR="006B485D" w:rsidRPr="002A2ECB">
        <w:t xml:space="preserve">(which corresponds to the </w:t>
      </w:r>
      <w:r w:rsidR="00ED19A2" w:rsidRPr="002A2ECB">
        <w:t xml:space="preserve">fourth </w:t>
      </w:r>
      <w:r w:rsidR="006B485D" w:rsidRPr="00FC47C1">
        <w:rPr>
          <w:i/>
        </w:rPr>
        <w:t xml:space="preserve">Kulemesin </w:t>
      </w:r>
      <w:r w:rsidR="006B485D" w:rsidRPr="002A2ECB">
        <w:t xml:space="preserve">alternative) </w:t>
      </w:r>
      <w:r w:rsidR="004C21C0" w:rsidRPr="002A2ECB">
        <w:t>thus:</w:t>
      </w:r>
    </w:p>
    <w:p w:rsidR="004C21C0" w:rsidRPr="002A2ECB" w:rsidRDefault="004C21C0" w:rsidP="00FC47C1">
      <w:pPr>
        <w:pStyle w:val="Bob1"/>
        <w:numPr>
          <w:ilvl w:val="0"/>
          <w:numId w:val="0"/>
        </w:numPr>
        <w:spacing w:line="240" w:lineRule="auto"/>
        <w:ind w:left="720"/>
        <w:jc w:val="both"/>
        <w:rPr>
          <w:sz w:val="24"/>
        </w:rPr>
      </w:pPr>
      <w:r w:rsidRPr="002A2ECB">
        <w:rPr>
          <w:sz w:val="24"/>
        </w:rPr>
        <w:t>“... subsections (3) and (4) define circumstances in which a defendant's belief, knowledge or suspicion exonerate a defendant from liability for what would otherwise be an indecent assault; if it had been intended to exonerate a defendant who believed a complainant to be 16 or over, this ground of exoneration would have been expressed in subsection (2); the omission of such a provision makes plain that no such ground of exoneration was intended.”</w:t>
      </w:r>
      <w:r w:rsidRPr="002A2ECB">
        <w:rPr>
          <w:rStyle w:val="FootnoteReference"/>
          <w:sz w:val="24"/>
        </w:rPr>
        <w:footnoteReference w:id="90"/>
      </w:r>
    </w:p>
    <w:p w:rsidR="004C21C0" w:rsidRPr="002A2ECB" w:rsidRDefault="004C21C0" w:rsidP="00FC47C1">
      <w:pPr>
        <w:pStyle w:val="Bob1"/>
        <w:tabs>
          <w:tab w:val="clear" w:pos="720"/>
          <w:tab w:val="left" w:pos="1440"/>
        </w:tabs>
        <w:ind w:left="0" w:firstLine="0"/>
        <w:jc w:val="both"/>
      </w:pPr>
      <w:r w:rsidRPr="002A2ECB">
        <w:t>H</w:t>
      </w:r>
      <w:r w:rsidR="00F7104A">
        <w:t xml:space="preserve">e </w:t>
      </w:r>
      <w:r w:rsidRPr="002A2ECB">
        <w:t>commented that this submission would have</w:t>
      </w:r>
      <w:r w:rsidR="002E719A" w:rsidRPr="002A2ECB">
        <w:t xml:space="preserve"> had</w:t>
      </w:r>
      <w:r w:rsidRPr="002A2ECB">
        <w:t xml:space="preserve"> great force “[if] the provisions of section 14 were part of a single, coherent legislative scheme </w:t>
      </w:r>
      <w:r w:rsidRPr="002A2ECB">
        <w:rPr>
          <w:szCs w:val="28"/>
        </w:rPr>
        <w:t xml:space="preserve">and were read without reference to any overriding presumption of statutory interpretation.”  However, </w:t>
      </w:r>
      <w:r w:rsidR="00F7104A">
        <w:rPr>
          <w:szCs w:val="28"/>
        </w:rPr>
        <w:t>his Lordship</w:t>
      </w:r>
      <w:r w:rsidRPr="002A2ECB">
        <w:rPr>
          <w:szCs w:val="28"/>
        </w:rPr>
        <w:t xml:space="preserve"> pointed out that it was plainly “not part of a singl</w:t>
      </w:r>
      <w:r w:rsidR="00BA69CB">
        <w:rPr>
          <w:szCs w:val="28"/>
        </w:rPr>
        <w:t>e, coherent legislative scheme” since</w:t>
      </w:r>
      <w:r w:rsidRPr="002A2ECB">
        <w:rPr>
          <w:szCs w:val="28"/>
        </w:rPr>
        <w:t xml:space="preserve"> the 1956 Act </w:t>
      </w:r>
      <w:r w:rsidR="00BA69CB">
        <w:rPr>
          <w:szCs w:val="28"/>
        </w:rPr>
        <w:t xml:space="preserve">was </w:t>
      </w:r>
      <w:r w:rsidRPr="002A2ECB">
        <w:rPr>
          <w:szCs w:val="28"/>
        </w:rPr>
        <w:t xml:space="preserve">a consolidation Act with its provisions derived from diverse sources, giving the Act a </w:t>
      </w:r>
      <w:r w:rsidR="006B485D" w:rsidRPr="002A2ECB">
        <w:rPr>
          <w:szCs w:val="28"/>
        </w:rPr>
        <w:t xml:space="preserve">patchwork or </w:t>
      </w:r>
      <w:r w:rsidRPr="002A2ECB">
        <w:rPr>
          <w:szCs w:val="28"/>
        </w:rPr>
        <w:t>“rag-bag</w:t>
      </w:r>
      <w:r w:rsidR="006B485D" w:rsidRPr="002A2ECB">
        <w:rPr>
          <w:szCs w:val="28"/>
        </w:rPr>
        <w:t>”</w:t>
      </w:r>
      <w:r w:rsidRPr="002A2ECB">
        <w:rPr>
          <w:szCs w:val="28"/>
        </w:rPr>
        <w:t xml:space="preserve"> nature.</w:t>
      </w:r>
      <w:r w:rsidR="006B485D" w:rsidRPr="002A2ECB">
        <w:rPr>
          <w:rStyle w:val="FootnoteReference"/>
          <w:szCs w:val="28"/>
        </w:rPr>
        <w:footnoteReference w:id="91"/>
      </w:r>
      <w:r w:rsidR="00F7104A">
        <w:rPr>
          <w:szCs w:val="28"/>
        </w:rPr>
        <w:t xml:space="preserve"> Lord Bingham</w:t>
      </w:r>
      <w:r w:rsidR="006B485D" w:rsidRPr="002A2ECB">
        <w:rPr>
          <w:szCs w:val="28"/>
        </w:rPr>
        <w:t xml:space="preserve"> therefore concluded (after examining the legislative history and</w:t>
      </w:r>
      <w:r w:rsidR="00BA69CB">
        <w:rPr>
          <w:szCs w:val="28"/>
        </w:rPr>
        <w:t xml:space="preserve"> decided cases</w:t>
      </w:r>
      <w:r w:rsidR="006B485D" w:rsidRPr="002A2ECB">
        <w:rPr>
          <w:szCs w:val="28"/>
        </w:rPr>
        <w:t>) that:</w:t>
      </w:r>
    </w:p>
    <w:p w:rsidR="006B485D" w:rsidRPr="002A2ECB" w:rsidRDefault="006B485D" w:rsidP="00FC47C1">
      <w:pPr>
        <w:pStyle w:val="Bob1"/>
        <w:numPr>
          <w:ilvl w:val="0"/>
          <w:numId w:val="0"/>
        </w:numPr>
        <w:spacing w:line="240" w:lineRule="auto"/>
        <w:ind w:left="720"/>
        <w:jc w:val="both"/>
        <w:rPr>
          <w:sz w:val="24"/>
        </w:rPr>
      </w:pPr>
      <w:r w:rsidRPr="002A2ECB">
        <w:rPr>
          <w:sz w:val="24"/>
        </w:rPr>
        <w:t xml:space="preserve">“... significance cannot be attached to the inclusion of grounds of exoneration in subsections (3) and (4) and the omission of such a ground from subsection (2), although subsections (3) and (4) do reflect parliamentary recognition that a defendant should not </w:t>
      </w:r>
      <w:r w:rsidRPr="002A2ECB">
        <w:rPr>
          <w:sz w:val="24"/>
        </w:rPr>
        <w:lastRenderedPageBreak/>
        <w:t>be criminally liable if he misapprehends a factual matter on which his criminal liability depends. There is nothing in the language of this statute which justifies, as a matter of necessary implication, the conclusion that Parliament must have intended to exclude this ingredient of mens rea in section 14 any more than in section 1.”</w:t>
      </w:r>
      <w:r w:rsidR="00C40C61">
        <w:rPr>
          <w:rStyle w:val="FootnoteReference"/>
          <w:sz w:val="24"/>
        </w:rPr>
        <w:footnoteReference w:id="92"/>
      </w:r>
    </w:p>
    <w:p w:rsidR="00ED19A2" w:rsidRDefault="00F7104A" w:rsidP="00FC47C1">
      <w:pPr>
        <w:pStyle w:val="Bob1"/>
        <w:tabs>
          <w:tab w:val="clear" w:pos="720"/>
          <w:tab w:val="left" w:pos="1440"/>
        </w:tabs>
        <w:ind w:left="0" w:firstLine="0"/>
        <w:jc w:val="both"/>
      </w:pPr>
      <w:r>
        <w:t>His Lordship</w:t>
      </w:r>
      <w:r w:rsidR="006B485D" w:rsidRPr="002A2ECB">
        <w:t>’s refutation of the argument is equally applicable to the submission made in connection with sections 122(3) and (4)</w:t>
      </w:r>
      <w:r>
        <w:t xml:space="preserve"> which are </w:t>
      </w:r>
      <w:r w:rsidR="006B485D" w:rsidRPr="002A2ECB">
        <w:t>an enactment of section 14 of the 1956 Act with its “rag</w:t>
      </w:r>
      <w:r w:rsidR="002E719A" w:rsidRPr="002A2ECB">
        <w:t>-</w:t>
      </w:r>
      <w:r w:rsidR="006B485D" w:rsidRPr="002A2ECB">
        <w:t xml:space="preserve">bag” pedigree.  The legislative history of </w:t>
      </w:r>
      <w:r w:rsidR="00ED19A2" w:rsidRPr="002A2ECB">
        <w:t xml:space="preserve">indecent assault and related offences </w:t>
      </w:r>
      <w:r w:rsidR="006B485D" w:rsidRPr="002A2ECB">
        <w:t xml:space="preserve">in Hong Kong has no greater coherence.  </w:t>
      </w:r>
      <w:r w:rsidR="00FE16A0" w:rsidRPr="002A2ECB">
        <w:t>Th</w:t>
      </w:r>
      <w:r w:rsidR="009B3DD4">
        <w:t xml:space="preserve">us, for instance, </w:t>
      </w:r>
      <w:r w:rsidR="00ED19A2" w:rsidRPr="002A2ECB">
        <w:t xml:space="preserve">the maximum penalty of 10 years’ imprisonment for indecent assault (introduced in 1991) is twice that </w:t>
      </w:r>
      <w:r w:rsidR="00FE16A0" w:rsidRPr="002A2ECB">
        <w:t xml:space="preserve">prescribed </w:t>
      </w:r>
      <w:r w:rsidR="00ED19A2" w:rsidRPr="002A2ECB">
        <w:t>for unlawful sexual intercourse with a girl under 16</w:t>
      </w:r>
      <w:r w:rsidR="00BA69CB">
        <w:t xml:space="preserve"> under section 124</w:t>
      </w:r>
      <w:r w:rsidR="00ED19A2" w:rsidRPr="002A2ECB">
        <w:t xml:space="preserve">, the latter offence </w:t>
      </w:r>
      <w:r w:rsidR="00FE16A0" w:rsidRPr="002A2ECB">
        <w:t xml:space="preserve">potentially being far </w:t>
      </w:r>
      <w:r w:rsidR="00ED19A2" w:rsidRPr="002A2ECB">
        <w:t>more serious</w:t>
      </w:r>
      <w:r w:rsidR="00FE16A0" w:rsidRPr="002A2ECB">
        <w:t xml:space="preserve">, </w:t>
      </w:r>
      <w:r w:rsidR="00BA69CB">
        <w:t xml:space="preserve">involving </w:t>
      </w:r>
      <w:r w:rsidR="00FE16A0" w:rsidRPr="002A2ECB">
        <w:t>a risk of unwanted pregnancy</w:t>
      </w:r>
      <w:r w:rsidR="00ED19A2" w:rsidRPr="002A2ECB">
        <w:t xml:space="preserve">. </w:t>
      </w:r>
    </w:p>
    <w:p w:rsidR="006B485D" w:rsidRPr="002A2ECB" w:rsidRDefault="00DB3E33" w:rsidP="00FC47C1">
      <w:pPr>
        <w:pStyle w:val="Bob1"/>
        <w:tabs>
          <w:tab w:val="clear" w:pos="720"/>
          <w:tab w:val="left" w:pos="1440"/>
        </w:tabs>
        <w:ind w:left="0" w:firstLine="0"/>
        <w:jc w:val="both"/>
      </w:pPr>
      <w:r w:rsidRPr="002A2ECB">
        <w:t>T</w:t>
      </w:r>
      <w:r w:rsidR="006B485D" w:rsidRPr="002A2ECB">
        <w:t xml:space="preserve">he fourth </w:t>
      </w:r>
      <w:r w:rsidRPr="00FC47C1">
        <w:rPr>
          <w:i/>
        </w:rPr>
        <w:t xml:space="preserve">Kulemesin </w:t>
      </w:r>
      <w:r w:rsidR="006B485D" w:rsidRPr="002A2ECB">
        <w:t>alternative</w:t>
      </w:r>
      <w:r w:rsidR="00ED19A2" w:rsidRPr="002A2ECB">
        <w:t xml:space="preserve"> is only adopted if </w:t>
      </w:r>
      <w:r w:rsidR="009B3DD4">
        <w:t>the availability of the expressly enacted defences</w:t>
      </w:r>
      <w:r w:rsidR="00ED19A2" w:rsidRPr="002A2ECB">
        <w:t xml:space="preserve"> is inconsistent with </w:t>
      </w:r>
      <w:r w:rsidR="009B3DD4">
        <w:t xml:space="preserve">the </w:t>
      </w:r>
      <w:r w:rsidR="00ED19A2" w:rsidRPr="002A2ECB">
        <w:t xml:space="preserve">second </w:t>
      </w:r>
      <w:r w:rsidR="00BA69CB">
        <w:t xml:space="preserve">and </w:t>
      </w:r>
      <w:r w:rsidR="00ED19A2" w:rsidRPr="002A2ECB">
        <w:t>third alternatives</w:t>
      </w:r>
      <w:r w:rsidR="00BA69CB">
        <w:t xml:space="preserve"> also being available</w:t>
      </w:r>
      <w:r w:rsidR="00ED19A2" w:rsidRPr="002A2ECB">
        <w:t>.  No such inconsistency arise</w:t>
      </w:r>
      <w:r w:rsidR="002E719A" w:rsidRPr="002A2ECB">
        <w:t>s</w:t>
      </w:r>
      <w:r w:rsidR="00ED19A2" w:rsidRPr="002A2ECB">
        <w:t xml:space="preserve"> here.  </w:t>
      </w:r>
      <w:r w:rsidR="009B3DD4">
        <w:t>S</w:t>
      </w:r>
      <w:r w:rsidRPr="002A2ECB">
        <w:t xml:space="preserve">ubsections (3) and (4) </w:t>
      </w:r>
      <w:r w:rsidR="00DC0E7E" w:rsidRPr="002A2ECB">
        <w:t xml:space="preserve">provide </w:t>
      </w:r>
      <w:r w:rsidR="00ED19A2" w:rsidRPr="002A2ECB">
        <w:t xml:space="preserve">defences in </w:t>
      </w:r>
      <w:r w:rsidR="00DC0E7E" w:rsidRPr="002A2ECB">
        <w:t xml:space="preserve">narrow and rare </w:t>
      </w:r>
      <w:r w:rsidRPr="002A2ECB">
        <w:t>circumstances</w:t>
      </w:r>
      <w:r w:rsidR="00DC0E7E" w:rsidRPr="002A2ECB">
        <w:t xml:space="preserve"> involving </w:t>
      </w:r>
      <w:r w:rsidR="00ED19A2" w:rsidRPr="002A2ECB">
        <w:t>an honest and reasonable belief that one is married to the alleged victim</w:t>
      </w:r>
      <w:r w:rsidRPr="002A2ECB">
        <w:t>;</w:t>
      </w:r>
      <w:r w:rsidR="00ED19A2" w:rsidRPr="002A2ECB">
        <w:t xml:space="preserve"> or </w:t>
      </w:r>
      <w:r w:rsidR="00DC0E7E" w:rsidRPr="002A2ECB">
        <w:t xml:space="preserve">the </w:t>
      </w:r>
      <w:r w:rsidRPr="002A2ECB">
        <w:t>absence of any</w:t>
      </w:r>
      <w:r w:rsidR="00ED19A2" w:rsidRPr="002A2ECB">
        <w:t xml:space="preserve"> reason to suspect that the alleged victim is </w:t>
      </w:r>
      <w:r w:rsidR="00DC0E7E" w:rsidRPr="002A2ECB">
        <w:t xml:space="preserve">a </w:t>
      </w:r>
      <w:r w:rsidR="00ED19A2" w:rsidRPr="002A2ECB">
        <w:t>mentally incapacitated person</w:t>
      </w:r>
      <w:r w:rsidR="00DC0E7E" w:rsidRPr="002A2ECB">
        <w:t>.  The existence of such specialised defence</w:t>
      </w:r>
      <w:r w:rsidR="00BA69CB">
        <w:t>s</w:t>
      </w:r>
      <w:r w:rsidR="00DC0E7E" w:rsidRPr="002A2ECB">
        <w:t xml:space="preserve"> </w:t>
      </w:r>
      <w:r w:rsidR="009B3DD4">
        <w:t xml:space="preserve">is not </w:t>
      </w:r>
      <w:r w:rsidR="00DC0E7E" w:rsidRPr="002A2ECB">
        <w:t>inconsisten</w:t>
      </w:r>
      <w:r w:rsidR="009B3DD4">
        <w:t>t</w:t>
      </w:r>
      <w:r w:rsidRPr="002A2ECB">
        <w:t xml:space="preserve"> with </w:t>
      </w:r>
      <w:r w:rsidR="00966687">
        <w:t xml:space="preserve">having a defence based on belief that the victim was aged 16 or over, nor accordingly with </w:t>
      </w:r>
      <w:r w:rsidRPr="002A2ECB">
        <w:t>construing section 122(2) as accommodating</w:t>
      </w:r>
      <w:r w:rsidR="00DC0E7E" w:rsidRPr="002A2ECB">
        <w:t xml:space="preserve"> the second or third </w:t>
      </w:r>
      <w:r w:rsidR="00DC0E7E" w:rsidRPr="00FC47C1">
        <w:rPr>
          <w:i/>
        </w:rPr>
        <w:t xml:space="preserve">Kulemesin </w:t>
      </w:r>
      <w:r w:rsidR="00DC0E7E" w:rsidRPr="002A2ECB">
        <w:t>alternatives</w:t>
      </w:r>
      <w:r w:rsidR="009B3DD4">
        <w:t xml:space="preserve"> </w:t>
      </w:r>
      <w:r w:rsidR="00BA69CB">
        <w:t xml:space="preserve">generally </w:t>
      </w:r>
      <w:r w:rsidR="009B3DD4">
        <w:t>in cases falling outside subsections (3) and (4)</w:t>
      </w:r>
      <w:r w:rsidRPr="002A2ECB">
        <w:t>.</w:t>
      </w:r>
      <w:r w:rsidR="00F02D74">
        <w:t xml:space="preserve"> </w:t>
      </w:r>
      <w:r w:rsidR="009B3DD4">
        <w:t xml:space="preserve"> </w:t>
      </w:r>
    </w:p>
    <w:p w:rsidR="001B0643" w:rsidRPr="002A2ECB" w:rsidRDefault="001B0643" w:rsidP="009F00A4">
      <w:pPr>
        <w:pStyle w:val="docmapheading"/>
      </w:pPr>
      <w:r w:rsidRPr="002A2ECB">
        <w:t>H.3</w:t>
      </w:r>
      <w:r w:rsidRPr="002A2ECB">
        <w:tab/>
        <w:t>The second or third Kulemesin alternatives</w:t>
      </w:r>
    </w:p>
    <w:p w:rsidR="001B0643" w:rsidRDefault="00A20B93" w:rsidP="00FC47C1">
      <w:pPr>
        <w:pStyle w:val="Bob1"/>
        <w:tabs>
          <w:tab w:val="clear" w:pos="720"/>
          <w:tab w:val="left" w:pos="1440"/>
        </w:tabs>
        <w:ind w:left="0" w:firstLine="0"/>
        <w:jc w:val="both"/>
      </w:pPr>
      <w:r w:rsidRPr="002A2ECB">
        <w:t xml:space="preserve">Having decided that the presumption of mens rea is </w:t>
      </w:r>
      <w:r w:rsidR="00F02D74">
        <w:t>dislodged</w:t>
      </w:r>
      <w:r w:rsidRPr="002A2ECB">
        <w:t xml:space="preserve"> and that </w:t>
      </w:r>
      <w:r w:rsidR="000D2AAC" w:rsidRPr="002A2ECB">
        <w:t>neither</w:t>
      </w:r>
      <w:r w:rsidRPr="002A2ECB">
        <w:t xml:space="preserve"> absolute liability </w:t>
      </w:r>
      <w:r w:rsidR="000D2AAC" w:rsidRPr="002A2ECB">
        <w:t xml:space="preserve">nor </w:t>
      </w:r>
      <w:r w:rsidRPr="002A2ECB">
        <w:t xml:space="preserve">the fourth </w:t>
      </w:r>
      <w:r w:rsidRPr="002A2ECB">
        <w:rPr>
          <w:i/>
        </w:rPr>
        <w:t xml:space="preserve">Kulemesin </w:t>
      </w:r>
      <w:r w:rsidRPr="002A2ECB">
        <w:t xml:space="preserve">alternative are applicable, </w:t>
      </w:r>
      <w:r w:rsidRPr="002A2ECB">
        <w:lastRenderedPageBreak/>
        <w:t xml:space="preserve">the choices devolve down to either the second or the third </w:t>
      </w:r>
      <w:r w:rsidRPr="002A2ECB">
        <w:rPr>
          <w:i/>
        </w:rPr>
        <w:t xml:space="preserve">Kulemesin </w:t>
      </w:r>
      <w:r w:rsidRPr="002A2ECB">
        <w:t>alternative</w:t>
      </w:r>
      <w:r w:rsidR="000D2AAC" w:rsidRPr="002A2ECB">
        <w:t xml:space="preserve"> as the appropriate mental requirement for an offence under section 122(2)</w:t>
      </w:r>
      <w:r w:rsidRPr="002A2ECB">
        <w:t xml:space="preserve">.  </w:t>
      </w:r>
    </w:p>
    <w:p w:rsidR="0020482A" w:rsidRDefault="004415E3" w:rsidP="00FC47C1">
      <w:pPr>
        <w:pStyle w:val="Bob1"/>
        <w:tabs>
          <w:tab w:val="clear" w:pos="720"/>
          <w:tab w:val="left" w:pos="1440"/>
        </w:tabs>
        <w:ind w:left="0" w:firstLine="0"/>
        <w:jc w:val="both"/>
      </w:pPr>
      <w:r>
        <w:t>Both</w:t>
      </w:r>
      <w:r w:rsidR="0020482A" w:rsidRPr="002A2ECB">
        <w:t xml:space="preserve"> alternatives admit by way of defence, an honest and reasonable belief on the part of the accused that the circumstances or likely consequences of his conduct were such that, if true, he would not be guilty of the offence.  The difference between them is that under the second alternative, the defendant bears only an evidential burden whereas the third alternative requires him to discharge a persuasive burden</w:t>
      </w:r>
      <w:r w:rsidR="00F02D74">
        <w:t xml:space="preserve"> as to his belief</w:t>
      </w:r>
      <w:r w:rsidR="0020482A" w:rsidRPr="002A2ECB">
        <w:t>.</w:t>
      </w:r>
    </w:p>
    <w:p w:rsidR="0020482A" w:rsidRPr="002A2ECB" w:rsidRDefault="0020482A" w:rsidP="00FC47C1">
      <w:pPr>
        <w:pStyle w:val="Bob1"/>
        <w:tabs>
          <w:tab w:val="clear" w:pos="720"/>
          <w:tab w:val="left" w:pos="1440"/>
        </w:tabs>
        <w:ind w:left="0" w:firstLine="0"/>
        <w:jc w:val="both"/>
      </w:pPr>
      <w:r w:rsidRPr="002A2ECB">
        <w:t xml:space="preserve">In </w:t>
      </w:r>
      <w:r w:rsidRPr="00FC47C1">
        <w:rPr>
          <w:i/>
          <w:szCs w:val="28"/>
        </w:rPr>
        <w:t>HKSAR v Lam Kwong Wai</w:t>
      </w:r>
      <w:r w:rsidRPr="00FC47C1">
        <w:rPr>
          <w:sz w:val="24"/>
        </w:rPr>
        <w:t>,</w:t>
      </w:r>
      <w:r w:rsidRPr="002A2ECB">
        <w:rPr>
          <w:rStyle w:val="FootnoteReference"/>
          <w:sz w:val="24"/>
        </w:rPr>
        <w:footnoteReference w:id="93"/>
      </w:r>
      <w:r w:rsidRPr="00FC47C1">
        <w:rPr>
          <w:sz w:val="24"/>
        </w:rPr>
        <w:t xml:space="preserve"> </w:t>
      </w:r>
      <w:r w:rsidRPr="002A2ECB">
        <w:t>Sir Anthony Mason NPJ explain</w:t>
      </w:r>
      <w:r w:rsidR="00D0457F" w:rsidRPr="002A2ECB">
        <w:t>s</w:t>
      </w:r>
      <w:r w:rsidRPr="002A2ECB">
        <w:t xml:space="preserve"> the difference as follows:</w:t>
      </w:r>
    </w:p>
    <w:p w:rsidR="0020482A" w:rsidRPr="002A2ECB" w:rsidRDefault="0020482A" w:rsidP="00FC47C1">
      <w:pPr>
        <w:pStyle w:val="Bob1"/>
        <w:numPr>
          <w:ilvl w:val="0"/>
          <w:numId w:val="0"/>
        </w:numPr>
        <w:spacing w:line="240" w:lineRule="auto"/>
        <w:ind w:left="720"/>
        <w:jc w:val="both"/>
        <w:rPr>
          <w:sz w:val="24"/>
        </w:rPr>
      </w:pPr>
      <w:r w:rsidRPr="002A2ECB">
        <w:rPr>
          <w:sz w:val="24"/>
        </w:rPr>
        <w:t>“An evidential burden, unlike a persuasive burden, does not expose the defendant to the risk of conviction because he fails to prove some matter on which he bears an evidential onus. An evidential burden: ‘… requires only that the accused must adduce sufficient evidence to raise an issue before it has to be determined as one of the facts in the case. The prosecution does not need to lead any evidence about it, so the accused needs to do this if he wishes to put the point in issue. But if it is put in issue, the burden of proof remains with the prosecution. The accused need only raise a reasonable doubt about his guilt.’</w:t>
      </w:r>
      <w:r w:rsidR="007F3DC5" w:rsidRPr="002A2ECB">
        <w:rPr>
          <w:sz w:val="24"/>
        </w:rPr>
        <w:t>...</w:t>
      </w:r>
      <w:r w:rsidR="007F3DC5" w:rsidRPr="002A2ECB">
        <w:rPr>
          <w:rStyle w:val="FootnoteReference"/>
          <w:sz w:val="24"/>
        </w:rPr>
        <w:footnoteReference w:id="94"/>
      </w:r>
      <w:r w:rsidRPr="002A2ECB">
        <w:rPr>
          <w:sz w:val="24"/>
        </w:rPr>
        <w:t xml:space="preserve">  See also </w:t>
      </w:r>
      <w:r w:rsidRPr="002A2ECB">
        <w:rPr>
          <w:i/>
          <w:iCs/>
          <w:sz w:val="24"/>
        </w:rPr>
        <w:t>R v Lambert</w:t>
      </w:r>
      <w:r w:rsidRPr="002A2ECB">
        <w:rPr>
          <w:sz w:val="24"/>
        </w:rPr>
        <w:t xml:space="preserve"> [2002] 2 AC 545 at p 588H, where his Lordship said: ‘What the accused must do is put evidence before the court which, if believed, could be taken by a reasonable jury to support his defence.’</w:t>
      </w:r>
    </w:p>
    <w:p w:rsidR="0020482A" w:rsidRPr="002A2ECB" w:rsidRDefault="0020482A" w:rsidP="00FC47C1">
      <w:pPr>
        <w:pStyle w:val="Bob1"/>
        <w:numPr>
          <w:ilvl w:val="0"/>
          <w:numId w:val="0"/>
        </w:numPr>
        <w:spacing w:line="240" w:lineRule="auto"/>
        <w:ind w:left="720"/>
        <w:jc w:val="both"/>
        <w:rPr>
          <w:sz w:val="24"/>
        </w:rPr>
      </w:pPr>
      <w:r w:rsidRPr="002A2ECB">
        <w:rPr>
          <w:sz w:val="24"/>
        </w:rPr>
        <w:t>A persuasive burden, on the other hand, requires a defendant to prove, on a balance of probabilities, an ultimate fact which is necessary to the determination of his guilt or innocence. The burden relates to an essential element of the offence.  It reverses the burden of proof by transferring it from the prosecution to the defendant.</w:t>
      </w:r>
      <w:r w:rsidR="007F3DC5" w:rsidRPr="002A2ECB">
        <w:rPr>
          <w:rStyle w:val="FootnoteReference"/>
          <w:sz w:val="24"/>
        </w:rPr>
        <w:footnoteReference w:id="95"/>
      </w:r>
      <w:r w:rsidRPr="002A2ECB">
        <w:rPr>
          <w:sz w:val="24"/>
        </w:rPr>
        <w:t xml:space="preserve"> It may be either mandatory or discretionary in its operation. With a mandatory persuasive burden, it is possible for a conviction to be returned, even where the tribunal of fact entertains a doubt as to the defendant's guilt.</w:t>
      </w:r>
      <w:r w:rsidR="007F3DC5" w:rsidRPr="002A2ECB">
        <w:rPr>
          <w:rStyle w:val="FootnoteReference"/>
          <w:sz w:val="24"/>
        </w:rPr>
        <w:footnoteReference w:id="96"/>
      </w:r>
      <w:r w:rsidR="007F3DC5" w:rsidRPr="002A2ECB">
        <w:rPr>
          <w:sz w:val="24"/>
        </w:rPr>
        <w:t>”</w:t>
      </w:r>
    </w:p>
    <w:p w:rsidR="007F3DC5" w:rsidRDefault="00653A86" w:rsidP="00FC47C1">
      <w:pPr>
        <w:pStyle w:val="Bob1"/>
        <w:tabs>
          <w:tab w:val="clear" w:pos="720"/>
          <w:tab w:val="left" w:pos="1440"/>
        </w:tabs>
        <w:ind w:left="0" w:firstLine="0"/>
        <w:jc w:val="both"/>
      </w:pPr>
      <w:r>
        <w:t xml:space="preserve">Under the second alternative, a </w:t>
      </w:r>
      <w:r w:rsidR="002A2ECB">
        <w:t xml:space="preserve">defendant </w:t>
      </w:r>
      <w:r w:rsidR="00484C2B">
        <w:t xml:space="preserve">charged with </w:t>
      </w:r>
      <w:r w:rsidR="002A2ECB">
        <w:t xml:space="preserve">indecent assault </w:t>
      </w:r>
      <w:r w:rsidR="00484C2B">
        <w:t xml:space="preserve">on </w:t>
      </w:r>
      <w:r>
        <w:t xml:space="preserve">an under-aged </w:t>
      </w:r>
      <w:r w:rsidR="00484C2B">
        <w:t xml:space="preserve">girl </w:t>
      </w:r>
      <w:r>
        <w:t>is required to</w:t>
      </w:r>
      <w:r w:rsidR="002A2ECB">
        <w:t xml:space="preserve"> </w:t>
      </w:r>
      <w:r w:rsidR="002A2ECB" w:rsidRPr="002A2ECB">
        <w:t>put evidence before the court</w:t>
      </w:r>
      <w:r w:rsidR="002A2ECB">
        <w:t xml:space="preserve"> that he </w:t>
      </w:r>
      <w:r w:rsidR="002A2ECB">
        <w:lastRenderedPageBreak/>
        <w:t>honestly and reasonably believed that she was 16 or over, leaving it to the prosecution</w:t>
      </w:r>
      <w:r>
        <w:t>, if it can,</w:t>
      </w:r>
      <w:r w:rsidR="002A2ECB">
        <w:t xml:space="preserve"> to negative that</w:t>
      </w:r>
      <w:r>
        <w:t xml:space="preserve"> belief beyond reasonable doubt.  And</w:t>
      </w:r>
      <w:r w:rsidR="002A2ECB">
        <w:t xml:space="preserve"> </w:t>
      </w:r>
      <w:r w:rsidR="00484C2B">
        <w:t>on</w:t>
      </w:r>
      <w:r w:rsidR="002A2ECB">
        <w:t xml:space="preserve"> the third alternative, </w:t>
      </w:r>
      <w:r>
        <w:t>the defendant must</w:t>
      </w:r>
      <w:r w:rsidR="009F2081">
        <w:t xml:space="preserve"> satisfy</w:t>
      </w:r>
      <w:r w:rsidR="002A2ECB">
        <w:t xml:space="preserve"> the court or jury on the balance of probabilities that he did </w:t>
      </w:r>
      <w:r w:rsidR="00484C2B">
        <w:t>honestly and reasonably believe</w:t>
      </w:r>
      <w:r w:rsidR="002A2ECB">
        <w:t xml:space="preserve"> that she was 16 or over.</w:t>
      </w:r>
    </w:p>
    <w:p w:rsidR="009F2081" w:rsidRDefault="009F2081" w:rsidP="00FC47C1">
      <w:pPr>
        <w:pStyle w:val="Bob1"/>
        <w:tabs>
          <w:tab w:val="clear" w:pos="720"/>
          <w:tab w:val="left" w:pos="1440"/>
        </w:tabs>
        <w:ind w:left="0" w:firstLine="0"/>
        <w:jc w:val="both"/>
      </w:pPr>
      <w:r>
        <w:t xml:space="preserve">The Court </w:t>
      </w:r>
      <w:r w:rsidR="004415E3">
        <w:t>must determine</w:t>
      </w:r>
      <w:r>
        <w:t xml:space="preserve"> which </w:t>
      </w:r>
      <w:r w:rsidR="00653A86">
        <w:t xml:space="preserve">of those </w:t>
      </w:r>
      <w:r>
        <w:t>alternative</w:t>
      </w:r>
      <w:r w:rsidR="00653A86">
        <w:t>s</w:t>
      </w:r>
      <w:r>
        <w:t xml:space="preserve"> </w:t>
      </w:r>
      <w:r w:rsidR="00484C2B">
        <w:t>most closely</w:t>
      </w:r>
      <w:r>
        <w:t xml:space="preserve"> </w:t>
      </w:r>
      <w:r w:rsidR="004415E3">
        <w:t xml:space="preserve">reflects </w:t>
      </w:r>
      <w:r>
        <w:t xml:space="preserve">the </w:t>
      </w:r>
      <w:r w:rsidR="00653A86">
        <w:t xml:space="preserve">statutory purpose of </w:t>
      </w:r>
      <w:r>
        <w:t xml:space="preserve">section 122.  </w:t>
      </w:r>
      <w:r w:rsidR="00C14859">
        <w:t>It is clear t</w:t>
      </w:r>
      <w:r>
        <w:t xml:space="preserve">hat </w:t>
      </w:r>
      <w:r w:rsidR="004415E3">
        <w:t xml:space="preserve">such </w:t>
      </w:r>
      <w:r w:rsidR="00653A86">
        <w:t xml:space="preserve">purpose </w:t>
      </w:r>
      <w:r>
        <w:t>is to</w:t>
      </w:r>
      <w:r w:rsidR="00DB148A">
        <w:t xml:space="preserve"> </w:t>
      </w:r>
      <w:r w:rsidR="00C14859">
        <w:t xml:space="preserve">treat </w:t>
      </w:r>
      <w:r w:rsidR="00DB148A">
        <w:t xml:space="preserve">girls (and boys) under the age of 16 as a vulnerable class in need of a high degree of protection against sexual exploitation.  Hence, section 122(2) deems them incapable of giving consent to indecent conduct and holds the defendant guilty even though he can prove that consent was, to his knowledge, in fact given. </w:t>
      </w:r>
      <w:r w:rsidR="00C14859">
        <w:t xml:space="preserve"> </w:t>
      </w:r>
      <w:r w:rsidR="004415E3">
        <w:t xml:space="preserve">As we have seen, in furtherance of that policy, the Hong Kong courts have </w:t>
      </w:r>
      <w:r w:rsidR="004415E3" w:rsidRPr="002A2ECB">
        <w:t>constru</w:t>
      </w:r>
      <w:r w:rsidR="004415E3">
        <w:t>ed</w:t>
      </w:r>
      <w:r w:rsidR="004415E3" w:rsidRPr="002A2ECB">
        <w:t xml:space="preserve"> age-related sexual offences as requiring potential defendants to take care “to avoid what may be unlawful and steering well away from the line between legality and illegality”</w:t>
      </w:r>
      <w:r w:rsidR="004415E3">
        <w:t xml:space="preserve"> to the extent of imposing absolute liability (when intermediate bases of liability had not yet been developed).</w:t>
      </w:r>
      <w:r w:rsidR="004415E3" w:rsidRPr="002A2ECB">
        <w:rPr>
          <w:rStyle w:val="FootnoteReference"/>
        </w:rPr>
        <w:footnoteReference w:id="97"/>
      </w:r>
      <w:r w:rsidR="004415E3">
        <w:t xml:space="preserve"> </w:t>
      </w:r>
      <w:r w:rsidR="003661FD">
        <w:t xml:space="preserve">As Lord Kerr JSC put it in </w:t>
      </w:r>
      <w:r w:rsidR="003661FD">
        <w:rPr>
          <w:i/>
        </w:rPr>
        <w:t>R v Brown</w:t>
      </w:r>
      <w:r w:rsidR="003661FD">
        <w:t>,</w:t>
      </w:r>
      <w:r w:rsidR="003661FD">
        <w:rPr>
          <w:rStyle w:val="FootnoteReference"/>
        </w:rPr>
        <w:footnoteReference w:id="98"/>
      </w:r>
      <w:r w:rsidR="003661FD">
        <w:t xml:space="preserve"> it is a policy designed to “</w:t>
      </w:r>
      <w:r w:rsidR="003661FD" w:rsidRPr="003661FD">
        <w:t xml:space="preserve">promote the objects of the statute by encouraging greater vigilance against sexual intercourse with girls under the age of </w:t>
      </w:r>
      <w:r w:rsidR="003661FD">
        <w:t>[</w:t>
      </w:r>
      <w:r w:rsidR="003661FD" w:rsidRPr="003661FD">
        <w:t>1</w:t>
      </w:r>
      <w:r w:rsidR="003661FD">
        <w:t>6].”</w:t>
      </w:r>
    </w:p>
    <w:p w:rsidR="00FF3159" w:rsidRDefault="00FF3159" w:rsidP="00FC47C1">
      <w:pPr>
        <w:pStyle w:val="Bob1"/>
        <w:tabs>
          <w:tab w:val="clear" w:pos="720"/>
          <w:tab w:val="left" w:pos="1440"/>
        </w:tabs>
        <w:ind w:left="0" w:firstLine="0"/>
        <w:jc w:val="both"/>
      </w:pPr>
      <w:r>
        <w:t xml:space="preserve">In my view, that </w:t>
      </w:r>
      <w:r w:rsidR="00653A86">
        <w:t>purpose</w:t>
      </w:r>
      <w:r>
        <w:t xml:space="preserve"> is achieved by construing section 122(2) in accordance with the third </w:t>
      </w:r>
      <w:r w:rsidRPr="00FC47C1">
        <w:rPr>
          <w:i/>
        </w:rPr>
        <w:t xml:space="preserve">Kulemesin </w:t>
      </w:r>
      <w:r>
        <w:t xml:space="preserve">alternative, </w:t>
      </w:r>
      <w:r w:rsidR="00A56018">
        <w:t xml:space="preserve">imposing a persuasive burden on the accused, </w:t>
      </w:r>
      <w:r>
        <w:t>in preference over the second alternative.</w:t>
      </w:r>
    </w:p>
    <w:p w:rsidR="00FF3159" w:rsidRDefault="00004FE3" w:rsidP="00FC47C1">
      <w:pPr>
        <w:pStyle w:val="Bob1"/>
        <w:tabs>
          <w:tab w:val="clear" w:pos="720"/>
          <w:tab w:val="left" w:pos="1440"/>
        </w:tabs>
        <w:ind w:left="0" w:firstLine="0"/>
        <w:jc w:val="both"/>
      </w:pPr>
      <w:r>
        <w:t>T</w:t>
      </w:r>
      <w:r w:rsidR="00FF3159">
        <w:t xml:space="preserve">he second alternative provides greater protection than </w:t>
      </w:r>
      <w:r>
        <w:t xml:space="preserve">a requirement of full mens rea since guilt is established by the prosecution </w:t>
      </w:r>
      <w:r>
        <w:lastRenderedPageBreak/>
        <w:t xml:space="preserve">negativing </w:t>
      </w:r>
      <w:r w:rsidRPr="00FC47C1">
        <w:rPr>
          <w:i/>
        </w:rPr>
        <w:t>either</w:t>
      </w:r>
      <w:r>
        <w:t xml:space="preserve"> the accused’s alleged honest belief as to the victim’s age </w:t>
      </w:r>
      <w:r w:rsidRPr="00FC47C1">
        <w:rPr>
          <w:i/>
        </w:rPr>
        <w:t>or</w:t>
      </w:r>
      <w:r>
        <w:t xml:space="preserve"> the reasonableness of his alleged belief.</w:t>
      </w:r>
      <w:r w:rsidRPr="00004FE3">
        <w:rPr>
          <w:rStyle w:val="FootnoteReference"/>
        </w:rPr>
        <w:t xml:space="preserve"> </w:t>
      </w:r>
      <w:r w:rsidRPr="002A2ECB">
        <w:rPr>
          <w:rStyle w:val="FootnoteReference"/>
        </w:rPr>
        <w:footnoteReference w:id="99"/>
      </w:r>
      <w:r>
        <w:t xml:space="preserve">  However, </w:t>
      </w:r>
      <w:r w:rsidR="004F7E80">
        <w:t xml:space="preserve">such protection </w:t>
      </w:r>
      <w:r w:rsidR="00A56018">
        <w:t>does</w:t>
      </w:r>
      <w:r w:rsidR="004F7E80">
        <w:t xml:space="preserve"> not </w:t>
      </w:r>
      <w:r w:rsidR="00A56018">
        <w:t xml:space="preserve">appear to me to </w:t>
      </w:r>
      <w:r w:rsidR="004F7E80">
        <w:t>go far enough.  S</w:t>
      </w:r>
      <w:r>
        <w:t xml:space="preserve">ince the prosecution bears the burden of </w:t>
      </w:r>
      <w:r w:rsidR="004F7E80">
        <w:t>establishing the aforesaid</w:t>
      </w:r>
      <w:r>
        <w:t xml:space="preserve"> negatives, an accused would still be acquitted if the court or jury thinks that </w:t>
      </w:r>
      <w:r w:rsidR="00653A86">
        <w:t xml:space="preserve">it </w:t>
      </w:r>
      <w:r>
        <w:t xml:space="preserve">may well </w:t>
      </w:r>
      <w:r w:rsidR="00653A86">
        <w:t xml:space="preserve">be the case that he did not </w:t>
      </w:r>
      <w:r>
        <w:t>honest</w:t>
      </w:r>
      <w:r w:rsidR="00653A86">
        <w:t>ly and reasonably believe she was of sufficient age,</w:t>
      </w:r>
      <w:r>
        <w:t xml:space="preserve"> but </w:t>
      </w:r>
      <w:r w:rsidR="00653A86">
        <w:t xml:space="preserve">that </w:t>
      </w:r>
      <w:r>
        <w:t xml:space="preserve">a reasonable doubt </w:t>
      </w:r>
      <w:r w:rsidR="00A56018">
        <w:t xml:space="preserve">remains </w:t>
      </w:r>
      <w:r>
        <w:t xml:space="preserve">as to whether he did </w:t>
      </w:r>
      <w:r w:rsidR="004F7E80">
        <w:t xml:space="preserve">harbour </w:t>
      </w:r>
      <w:r>
        <w:t>such a belief.</w:t>
      </w:r>
      <w:r w:rsidR="00F735BB">
        <w:t xml:space="preserve">  </w:t>
      </w:r>
    </w:p>
    <w:p w:rsidR="003661FD" w:rsidRDefault="00A56018" w:rsidP="00FC47C1">
      <w:pPr>
        <w:pStyle w:val="Bob1"/>
        <w:tabs>
          <w:tab w:val="clear" w:pos="720"/>
          <w:tab w:val="left" w:pos="1440"/>
        </w:tabs>
        <w:ind w:left="0" w:firstLine="0"/>
        <w:jc w:val="both"/>
      </w:pPr>
      <w:r>
        <w:t>T</w:t>
      </w:r>
      <w:r w:rsidR="003661FD">
        <w:t>he third alternative</w:t>
      </w:r>
      <w:r w:rsidR="003D36C1">
        <w:t xml:space="preserve"> better reflects the statutory purpose.  </w:t>
      </w:r>
      <w:r w:rsidR="00326026">
        <w:t xml:space="preserve">A </w:t>
      </w:r>
      <w:r w:rsidR="003661FD">
        <w:t xml:space="preserve">man who says: “I honestly and reasonably believed </w:t>
      </w:r>
      <w:r w:rsidR="003D36C1">
        <w:t xml:space="preserve">the girl </w:t>
      </w:r>
      <w:r w:rsidR="003661FD">
        <w:t xml:space="preserve">was old enough to consent” </w:t>
      </w:r>
      <w:r w:rsidR="004F7E80">
        <w:t xml:space="preserve">ought to be </w:t>
      </w:r>
      <w:r w:rsidR="00326026">
        <w:t>required to persuade the court or jury that he probably did in fact so believe</w:t>
      </w:r>
      <w:r w:rsidR="00F735BB">
        <w:t>, a matter which he is best placed to</w:t>
      </w:r>
      <w:r>
        <w:t xml:space="preserve"> explain</w:t>
      </w:r>
      <w:r w:rsidR="00326026">
        <w:t xml:space="preserve">.  It is a </w:t>
      </w:r>
      <w:r w:rsidR="003D36C1">
        <w:t xml:space="preserve">suitably </w:t>
      </w:r>
      <w:r w:rsidR="00326026">
        <w:t xml:space="preserve">demanding standard designed to encourage men to steer clear of indecent conduct with young girls who may fall within the protected class, </w:t>
      </w:r>
      <w:r>
        <w:t xml:space="preserve">placing them otherwise at </w:t>
      </w:r>
      <w:r w:rsidR="00326026">
        <w:t>peril of being unable to discharge the persuasive burden.</w:t>
      </w:r>
    </w:p>
    <w:p w:rsidR="009635AD" w:rsidRDefault="000C3DB3" w:rsidP="00FC47C1">
      <w:pPr>
        <w:pStyle w:val="Bob1"/>
        <w:tabs>
          <w:tab w:val="clear" w:pos="720"/>
          <w:tab w:val="left" w:pos="1440"/>
        </w:tabs>
        <w:ind w:left="0" w:firstLine="0"/>
        <w:jc w:val="both"/>
      </w:pPr>
      <w:r>
        <w:t xml:space="preserve">A reverse onus </w:t>
      </w:r>
      <w:r w:rsidR="00840E6F">
        <w:t>derogates from</w:t>
      </w:r>
      <w:r>
        <w:t xml:space="preserve"> the constitutional right to be presumed innocent.</w:t>
      </w:r>
      <w:r w:rsidR="00F735BB">
        <w:rPr>
          <w:rStyle w:val="FootnoteReference"/>
        </w:rPr>
        <w:footnoteReference w:id="100"/>
      </w:r>
      <w:r w:rsidR="00F735BB">
        <w:t xml:space="preserve">  For such a derogation to be justified, </w:t>
      </w:r>
      <w:r w:rsidR="00840E6F">
        <w:t xml:space="preserve">it must pass the rationality and proportionality tests: </w:t>
      </w:r>
      <w:r w:rsidR="00F735BB">
        <w:t xml:space="preserve">the Court must be satisfied that </w:t>
      </w:r>
      <w:r w:rsidR="00840E6F">
        <w:t>the reverse onus</w:t>
      </w:r>
      <w:r w:rsidR="00F735BB" w:rsidRPr="00F735BB">
        <w:t xml:space="preserve"> ha</w:t>
      </w:r>
      <w:r w:rsidR="00F735BB">
        <w:t>s</w:t>
      </w:r>
      <w:r w:rsidR="00F735BB" w:rsidRPr="00F735BB">
        <w:t xml:space="preserve"> a rational connection with the pursuit of a legitimate aim and </w:t>
      </w:r>
      <w:r w:rsidR="00F735BB">
        <w:t>that</w:t>
      </w:r>
      <w:r w:rsidR="00F735BB" w:rsidRPr="00F735BB">
        <w:t xml:space="preserve"> it </w:t>
      </w:r>
      <w:r w:rsidR="00F735BB">
        <w:t xml:space="preserve">is </w:t>
      </w:r>
      <w:r w:rsidR="00F735BB" w:rsidRPr="00F735BB">
        <w:t>no more than necessary for the achievement of that aim.</w:t>
      </w:r>
      <w:r w:rsidR="00F735BB">
        <w:rPr>
          <w:rStyle w:val="FootnoteReference"/>
        </w:rPr>
        <w:footnoteReference w:id="101"/>
      </w:r>
      <w:r w:rsidR="00840E6F">
        <w:t xml:space="preserve">  If those tests are met, the Court must be satisfied </w:t>
      </w:r>
      <w:r w:rsidR="009635AD">
        <w:t xml:space="preserve">overall </w:t>
      </w:r>
      <w:r w:rsidR="00840E6F">
        <w:t xml:space="preserve">that adoption of a reverse onus strikes </w:t>
      </w:r>
      <w:r w:rsidR="00840E6F" w:rsidRPr="00840E6F">
        <w:t xml:space="preserve">a reasonable balance between the societal benefits </w:t>
      </w:r>
      <w:r w:rsidR="00A56018">
        <w:t xml:space="preserve">promoted and </w:t>
      </w:r>
      <w:r w:rsidR="00840E6F" w:rsidRPr="00840E6F">
        <w:t xml:space="preserve">the inroads made </w:t>
      </w:r>
      <w:r w:rsidR="00840E6F" w:rsidRPr="00840E6F">
        <w:lastRenderedPageBreak/>
        <w:t xml:space="preserve">into the constitutionally protected </w:t>
      </w:r>
      <w:r w:rsidR="00840E6F">
        <w:t xml:space="preserve">presumption of innocence </w:t>
      </w:r>
      <w:r w:rsidR="009635AD">
        <w:t xml:space="preserve">and that it does not place an </w:t>
      </w:r>
      <w:r w:rsidR="00840E6F" w:rsidRPr="00840E6F">
        <w:t>unacceptably harsh burden on the individual</w:t>
      </w:r>
      <w:r w:rsidR="00840E6F">
        <w:t>.</w:t>
      </w:r>
      <w:r w:rsidR="00840E6F">
        <w:rPr>
          <w:rStyle w:val="FootnoteReference"/>
        </w:rPr>
        <w:footnoteReference w:id="102"/>
      </w:r>
      <w:r w:rsidR="00840E6F">
        <w:t xml:space="preserve">  </w:t>
      </w:r>
    </w:p>
    <w:p w:rsidR="00326026" w:rsidRDefault="00840E6F" w:rsidP="00FC47C1">
      <w:pPr>
        <w:pStyle w:val="Bob1"/>
        <w:tabs>
          <w:tab w:val="clear" w:pos="720"/>
          <w:tab w:val="left" w:pos="1440"/>
        </w:tabs>
        <w:ind w:left="0" w:firstLine="0"/>
        <w:jc w:val="both"/>
      </w:pPr>
      <w:r>
        <w:t>In my view, constru</w:t>
      </w:r>
      <w:r w:rsidR="00EB3990">
        <w:t>ing</w:t>
      </w:r>
      <w:r>
        <w:t xml:space="preserve"> section 122(2) as imposing a</w:t>
      </w:r>
      <w:r w:rsidR="00A56018">
        <w:t xml:space="preserve"> burden</w:t>
      </w:r>
      <w:r>
        <w:t xml:space="preserve"> on the accused to prove on the balance of probabilities that he honestly and reasonably believed that the girl in question was aged 16 or </w:t>
      </w:r>
      <w:r w:rsidR="00A56018">
        <w:t xml:space="preserve">more </w:t>
      </w:r>
      <w:r>
        <w:t xml:space="preserve">passes those tests.  It is rationally connected with the legitimate aim of giving heightened protection to vulnerable under-aged girls and is no more than necessary to achieve such a level of protection.  </w:t>
      </w:r>
      <w:r w:rsidR="009635AD">
        <w:t xml:space="preserve">The </w:t>
      </w:r>
      <w:r w:rsidR="00EB3990">
        <w:t xml:space="preserve">inroad </w:t>
      </w:r>
      <w:r w:rsidR="009635AD">
        <w:t xml:space="preserve">it makes </w:t>
      </w:r>
      <w:r w:rsidR="00EB3990">
        <w:t xml:space="preserve">into the presumption of innocence </w:t>
      </w:r>
      <w:r w:rsidR="009635AD">
        <w:t xml:space="preserve">as </w:t>
      </w:r>
      <w:r w:rsidR="00FE3FAC">
        <w:t xml:space="preserve">the price of promoting </w:t>
      </w:r>
      <w:r w:rsidR="009635AD">
        <w:t xml:space="preserve">necessary </w:t>
      </w:r>
      <w:r w:rsidR="00EB3990">
        <w:t>protection of a vulnerable class</w:t>
      </w:r>
      <w:r w:rsidR="009635AD">
        <w:t xml:space="preserve"> strikes a reasonable </w:t>
      </w:r>
      <w:r>
        <w:t xml:space="preserve">balance </w:t>
      </w:r>
      <w:r w:rsidR="00EB3990">
        <w:t>in the context of a fair trial for the accused.</w:t>
      </w:r>
    </w:p>
    <w:p w:rsidR="0091656F" w:rsidRDefault="0091656F" w:rsidP="009F00A4">
      <w:pPr>
        <w:pStyle w:val="docmapheading"/>
      </w:pPr>
      <w:r>
        <w:t>I.</w:t>
      </w:r>
      <w:r>
        <w:tab/>
        <w:t xml:space="preserve">Conclusion </w:t>
      </w:r>
    </w:p>
    <w:p w:rsidR="00FE3FAC" w:rsidRDefault="00FE3FAC" w:rsidP="00FC47C1">
      <w:pPr>
        <w:pStyle w:val="Bob1"/>
        <w:tabs>
          <w:tab w:val="clear" w:pos="720"/>
          <w:tab w:val="left" w:pos="1440"/>
        </w:tabs>
        <w:ind w:left="0" w:firstLine="0"/>
        <w:jc w:val="both"/>
      </w:pPr>
      <w:r>
        <w:t xml:space="preserve">For the foregoing reasons, I conclude that the Judge was wrong to hold that section 122(2) imposes absolute liability where the victim is in fact under the age of 16.  On its proper construction, </w:t>
      </w:r>
      <w:r w:rsidRPr="00FE3FAC">
        <w:t xml:space="preserve">the presumption has been displaced so that the prosecution </w:t>
      </w:r>
      <w:r w:rsidR="00971968">
        <w:t xml:space="preserve">does not </w:t>
      </w:r>
      <w:r w:rsidRPr="00FE3FAC">
        <w:t xml:space="preserve">need </w:t>
      </w:r>
      <w:r w:rsidR="00971968">
        <w:t xml:space="preserve">to </w:t>
      </w:r>
      <w:r w:rsidRPr="00FE3FAC">
        <w:t>prove mens rea</w:t>
      </w:r>
      <w:r w:rsidR="001928DA">
        <w:t xml:space="preserve"> as to the girl’s age</w:t>
      </w:r>
      <w:r>
        <w:t>,</w:t>
      </w:r>
      <w:r w:rsidRPr="00FE3FAC">
        <w:t xml:space="preserve"> but the accused has a good defence if he can prove on the balance of probabilities that he </w:t>
      </w:r>
      <w:r>
        <w:t xml:space="preserve">honestly and reasonably believed </w:t>
      </w:r>
      <w:r w:rsidRPr="00FE3FAC">
        <w:t>that</w:t>
      </w:r>
      <w:r>
        <w:t xml:space="preserve"> the girl was</w:t>
      </w:r>
      <w:r w:rsidR="009635AD">
        <w:t xml:space="preserve"> </w:t>
      </w:r>
      <w:r w:rsidR="006C1B7E">
        <w:t>16 or over.</w:t>
      </w:r>
    </w:p>
    <w:p w:rsidR="0091656F" w:rsidRDefault="0091656F" w:rsidP="009F00A4">
      <w:pPr>
        <w:pStyle w:val="docmapheading"/>
      </w:pPr>
      <w:r>
        <w:t>J.</w:t>
      </w:r>
      <w:r>
        <w:tab/>
        <w:t xml:space="preserve">Disposal of the appeal </w:t>
      </w:r>
    </w:p>
    <w:p w:rsidR="0091656F" w:rsidRDefault="00937666" w:rsidP="00FC47C1">
      <w:pPr>
        <w:pStyle w:val="Bob1"/>
        <w:tabs>
          <w:tab w:val="clear" w:pos="720"/>
          <w:tab w:val="left" w:pos="1440"/>
        </w:tabs>
        <w:ind w:left="0" w:firstLine="0"/>
      </w:pPr>
      <w:r>
        <w:t>In acquitting the defendant, the magistrate stated:</w:t>
      </w:r>
    </w:p>
    <w:p w:rsidR="00937666" w:rsidRDefault="00937666" w:rsidP="00FC47C1">
      <w:pPr>
        <w:pStyle w:val="Bob1"/>
        <w:numPr>
          <w:ilvl w:val="0"/>
          <w:numId w:val="0"/>
        </w:numPr>
        <w:spacing w:line="240" w:lineRule="auto"/>
        <w:ind w:left="720"/>
        <w:jc w:val="both"/>
        <w:rPr>
          <w:sz w:val="24"/>
        </w:rPr>
      </w:pPr>
      <w:r w:rsidRPr="00937666">
        <w:rPr>
          <w:sz w:val="24"/>
        </w:rPr>
        <w:t>“It is my conclusion that the defence that the defendant honestly and reasonably believed that PW1 was aged 16 or above is not rebutted, and as the benefit of doubt -- reasonable doubt should go to the defendant, I find the defendant not guilty of the charge.”</w:t>
      </w:r>
      <w:r>
        <w:rPr>
          <w:rStyle w:val="FootnoteReference"/>
          <w:sz w:val="24"/>
        </w:rPr>
        <w:footnoteReference w:id="103"/>
      </w:r>
    </w:p>
    <w:p w:rsidR="00296E1D" w:rsidRDefault="00140F25" w:rsidP="00FC47C1">
      <w:pPr>
        <w:pStyle w:val="Bob1"/>
        <w:tabs>
          <w:tab w:val="clear" w:pos="720"/>
          <w:tab w:val="left" w:pos="1440"/>
        </w:tabs>
        <w:ind w:left="0" w:firstLine="0"/>
        <w:jc w:val="both"/>
      </w:pPr>
      <w:r>
        <w:lastRenderedPageBreak/>
        <w:t xml:space="preserve">It is unclear </w:t>
      </w:r>
      <w:r w:rsidR="00937666">
        <w:t xml:space="preserve">whether the </w:t>
      </w:r>
      <w:r w:rsidR="00F150CF">
        <w:t xml:space="preserve">magistrate regarded the </w:t>
      </w:r>
      <w:r w:rsidR="00937666">
        <w:t xml:space="preserve">honest and reasonable belief referred to </w:t>
      </w:r>
      <w:r w:rsidR="00F150CF">
        <w:t xml:space="preserve">as </w:t>
      </w:r>
      <w:r w:rsidR="00937666">
        <w:t xml:space="preserve">a defence established by the accused or </w:t>
      </w:r>
      <w:r>
        <w:t xml:space="preserve">as </w:t>
      </w:r>
      <w:r w:rsidR="003A1652">
        <w:t xml:space="preserve">an allegation </w:t>
      </w:r>
      <w:r w:rsidR="00F150CF">
        <w:t xml:space="preserve">which </w:t>
      </w:r>
      <w:r w:rsidR="00937666">
        <w:t>the prosecution</w:t>
      </w:r>
      <w:r w:rsidR="00F150CF">
        <w:t xml:space="preserve"> failed to negative</w:t>
      </w:r>
      <w:r w:rsidR="003A1652">
        <w:t xml:space="preserve">.  Although </w:t>
      </w:r>
      <w:r w:rsidR="003A1652">
        <w:rPr>
          <w:i/>
        </w:rPr>
        <w:t xml:space="preserve">Hin Lin Yee </w:t>
      </w:r>
      <w:r w:rsidR="003A1652">
        <w:t xml:space="preserve">and </w:t>
      </w:r>
      <w:r w:rsidR="003A1652">
        <w:rPr>
          <w:i/>
        </w:rPr>
        <w:t xml:space="preserve">Kulemesin </w:t>
      </w:r>
      <w:r>
        <w:t xml:space="preserve">were not cited, </w:t>
      </w:r>
      <w:r w:rsidR="00F150CF">
        <w:t xml:space="preserve">his </w:t>
      </w:r>
      <w:r>
        <w:t>statement</w:t>
      </w:r>
      <w:r w:rsidR="00937666">
        <w:t xml:space="preserve"> effectively </w:t>
      </w:r>
      <w:r w:rsidR="00296E1D">
        <w:t>conflat</w:t>
      </w:r>
      <w:r w:rsidR="003A1652">
        <w:t>es</w:t>
      </w:r>
      <w:r w:rsidR="00296E1D">
        <w:t xml:space="preserve"> the second and third </w:t>
      </w:r>
      <w:r w:rsidR="00296E1D">
        <w:rPr>
          <w:i/>
        </w:rPr>
        <w:t xml:space="preserve">Kulemesin </w:t>
      </w:r>
      <w:r w:rsidR="00296E1D">
        <w:t>alternatives.</w:t>
      </w:r>
    </w:p>
    <w:p w:rsidR="00937666" w:rsidRDefault="00296E1D" w:rsidP="00FC47C1">
      <w:pPr>
        <w:pStyle w:val="Bob1"/>
        <w:tabs>
          <w:tab w:val="clear" w:pos="720"/>
          <w:tab w:val="left" w:pos="1440"/>
        </w:tabs>
        <w:ind w:left="0" w:firstLine="0"/>
        <w:jc w:val="both"/>
      </w:pPr>
      <w:r>
        <w:t xml:space="preserve">If the </w:t>
      </w:r>
      <w:r w:rsidR="00140F25">
        <w:t xml:space="preserve">magistrate held </w:t>
      </w:r>
      <w:r>
        <w:t>that the defendant discharged the persuasive burden and established a defence</w:t>
      </w:r>
      <w:r w:rsidR="007874CD">
        <w:t xml:space="preserve"> along the lines of the third alternative</w:t>
      </w:r>
      <w:r>
        <w:t>, his acquittal should be upheld</w:t>
      </w:r>
      <w:r w:rsidR="00F150CF">
        <w:t xml:space="preserve"> as it would be</w:t>
      </w:r>
      <w:r>
        <w:t xml:space="preserve"> in line with the conclusion reached in this judgment.  If, however, </w:t>
      </w:r>
      <w:r w:rsidR="003A1652">
        <w:t xml:space="preserve">the </w:t>
      </w:r>
      <w:r w:rsidR="00F150CF">
        <w:t>magistrate determined</w:t>
      </w:r>
      <w:r w:rsidR="007874CD">
        <w:t xml:space="preserve"> that </w:t>
      </w:r>
      <w:r w:rsidR="003A1652">
        <w:t xml:space="preserve">the </w:t>
      </w:r>
      <w:r w:rsidR="007874CD">
        <w:t xml:space="preserve">prosecution failed to negative the </w:t>
      </w:r>
      <w:r w:rsidR="003A1652">
        <w:t xml:space="preserve">alleged honest and reasonable belief </w:t>
      </w:r>
      <w:r w:rsidR="007874CD">
        <w:t xml:space="preserve">as to </w:t>
      </w:r>
      <w:r w:rsidR="003A1652">
        <w:t>the girl’s age</w:t>
      </w:r>
      <w:r w:rsidR="007874CD">
        <w:t xml:space="preserve"> beyond reasonable doubt</w:t>
      </w:r>
      <w:r w:rsidR="003A1652">
        <w:t xml:space="preserve">, </w:t>
      </w:r>
      <w:r w:rsidR="00140F25">
        <w:t xml:space="preserve">the </w:t>
      </w:r>
      <w:r w:rsidR="007874CD">
        <w:t xml:space="preserve">question of </w:t>
      </w:r>
      <w:r w:rsidR="00140F25">
        <w:t xml:space="preserve">a </w:t>
      </w:r>
      <w:r w:rsidR="008406EA">
        <w:t xml:space="preserve">possible </w:t>
      </w:r>
      <w:r w:rsidR="007874CD">
        <w:t>re</w:t>
      </w:r>
      <w:r w:rsidR="007E12AB">
        <w:noBreakHyphen/>
      </w:r>
      <w:r w:rsidR="007874CD">
        <w:t xml:space="preserve">trial would arise since the defendant </w:t>
      </w:r>
      <w:r w:rsidR="008406EA">
        <w:t xml:space="preserve">would not have been found </w:t>
      </w:r>
      <w:r w:rsidR="007874CD">
        <w:t xml:space="preserve">to </w:t>
      </w:r>
      <w:r w:rsidR="008406EA">
        <w:t xml:space="preserve">have </w:t>
      </w:r>
      <w:r w:rsidR="007874CD">
        <w:t>establish</w:t>
      </w:r>
      <w:r w:rsidR="008406EA">
        <w:t xml:space="preserve">ed </w:t>
      </w:r>
      <w:r w:rsidR="00F150CF">
        <w:t>a</w:t>
      </w:r>
      <w:r w:rsidR="008406EA">
        <w:t xml:space="preserve"> reasonable belief </w:t>
      </w:r>
      <w:r w:rsidR="00F150CF">
        <w:t xml:space="preserve">defence </w:t>
      </w:r>
      <w:r w:rsidR="008406EA">
        <w:t>on a balance of probabilities</w:t>
      </w:r>
      <w:r w:rsidR="007874CD">
        <w:t>.</w:t>
      </w:r>
    </w:p>
    <w:p w:rsidR="008406EA" w:rsidRDefault="008406EA" w:rsidP="00FC47C1">
      <w:pPr>
        <w:pStyle w:val="Bob1"/>
        <w:tabs>
          <w:tab w:val="clear" w:pos="720"/>
          <w:tab w:val="left" w:pos="1440"/>
        </w:tabs>
        <w:ind w:left="0" w:firstLine="0"/>
        <w:jc w:val="both"/>
      </w:pPr>
      <w:r>
        <w:t>However, Ms Anna Y K Lai SC</w:t>
      </w:r>
      <w:r>
        <w:rPr>
          <w:rStyle w:val="FootnoteReference"/>
        </w:rPr>
        <w:footnoteReference w:id="104"/>
      </w:r>
      <w:r>
        <w:t xml:space="preserve"> accepted that the acquittal should be upheld on either</w:t>
      </w:r>
      <w:r w:rsidR="00F150CF">
        <w:t xml:space="preserve"> reading of the Reasons for Verdict</w:t>
      </w:r>
      <w:r>
        <w:t xml:space="preserve">.  The Court should therefore resolve the ambiguity by assuming that the accused </w:t>
      </w:r>
      <w:r w:rsidR="00140F25">
        <w:t xml:space="preserve">was held to have successfully </w:t>
      </w:r>
      <w:r>
        <w:t xml:space="preserve">established </w:t>
      </w:r>
      <w:r w:rsidR="00140F25">
        <w:t xml:space="preserve">a third alternative </w:t>
      </w:r>
      <w:r>
        <w:t>defence</w:t>
      </w:r>
      <w:r w:rsidR="00F150CF">
        <w:t xml:space="preserve"> along the lines indicated in this judgment</w:t>
      </w:r>
      <w:r>
        <w:t xml:space="preserve">.  Ms Lai SC also </w:t>
      </w:r>
      <w:r w:rsidR="00F150CF">
        <w:t xml:space="preserve">stated </w:t>
      </w:r>
      <w:r>
        <w:t xml:space="preserve">that </w:t>
      </w:r>
      <w:r w:rsidR="00F150CF">
        <w:t xml:space="preserve">in such event, </w:t>
      </w:r>
      <w:r>
        <w:t xml:space="preserve">she would not oppose an order for costs in the accused’s favour comprising his costs before the magistrate and his legal aid contributions in the Court of First Instance and in this Court.  </w:t>
      </w:r>
    </w:p>
    <w:p w:rsidR="007874CD" w:rsidRDefault="00140F25" w:rsidP="00FC47C1">
      <w:pPr>
        <w:pStyle w:val="Bob1"/>
        <w:tabs>
          <w:tab w:val="clear" w:pos="720"/>
          <w:tab w:val="left" w:pos="1440"/>
        </w:tabs>
        <w:ind w:left="0" w:firstLine="0"/>
        <w:jc w:val="both"/>
      </w:pPr>
      <w:r>
        <w:t xml:space="preserve">I would </w:t>
      </w:r>
      <w:r w:rsidR="008406EA">
        <w:t xml:space="preserve">accordingly allow the appeal, </w:t>
      </w:r>
      <w:r w:rsidR="00F150CF">
        <w:t xml:space="preserve">set aside the Judge’s decision and </w:t>
      </w:r>
      <w:r w:rsidR="008406EA">
        <w:t>restore the defendant’s acquittal</w:t>
      </w:r>
      <w:r w:rsidR="00F150CF">
        <w:t>.  I would also</w:t>
      </w:r>
      <w:r w:rsidR="008406EA">
        <w:t xml:space="preserve"> make the order as to costs referred to in the preceding paragraph.</w:t>
      </w:r>
    </w:p>
    <w:p w:rsidR="008406EA" w:rsidRDefault="002219F2" w:rsidP="00FC47C1">
      <w:pPr>
        <w:pStyle w:val="Bob1"/>
        <w:tabs>
          <w:tab w:val="clear" w:pos="720"/>
          <w:tab w:val="left" w:pos="1440"/>
        </w:tabs>
        <w:ind w:left="0" w:firstLine="0"/>
        <w:jc w:val="both"/>
      </w:pPr>
      <w:r>
        <w:lastRenderedPageBreak/>
        <w:t>My answers to the certified questions are as follows:</w:t>
      </w:r>
    </w:p>
    <w:p w:rsidR="002219F2" w:rsidRDefault="002219F2" w:rsidP="002219F2">
      <w:pPr>
        <w:pStyle w:val="Bob1"/>
        <w:numPr>
          <w:ilvl w:val="0"/>
          <w:numId w:val="0"/>
        </w:numPr>
        <w:ind w:left="1440" w:hanging="720"/>
      </w:pPr>
      <w:r>
        <w:t>(i)</w:t>
      </w:r>
      <w:r>
        <w:tab/>
        <w:t>No.</w:t>
      </w:r>
    </w:p>
    <w:p w:rsidR="002219F2" w:rsidRDefault="002219F2" w:rsidP="00FC47C1">
      <w:pPr>
        <w:pStyle w:val="Bob1"/>
        <w:numPr>
          <w:ilvl w:val="0"/>
          <w:numId w:val="0"/>
        </w:numPr>
        <w:ind w:left="1440" w:hanging="720"/>
        <w:jc w:val="both"/>
      </w:pPr>
      <w:r>
        <w:t>(ii)</w:t>
      </w:r>
      <w:r>
        <w:tab/>
        <w:t>No.  Actual consent is deemed irrelevant.  The defence requires proof of an honest and reasonable belief that the girl was aged 16 or over.</w:t>
      </w:r>
    </w:p>
    <w:p w:rsidR="002219F2" w:rsidRDefault="002219F2" w:rsidP="002219F2">
      <w:pPr>
        <w:pStyle w:val="Bob1"/>
        <w:numPr>
          <w:ilvl w:val="0"/>
          <w:numId w:val="0"/>
        </w:numPr>
        <w:ind w:left="1440" w:hanging="720"/>
      </w:pPr>
      <w:r>
        <w:t>(iii)</w:t>
      </w:r>
      <w:r>
        <w:tab/>
        <w:t>No.</w:t>
      </w:r>
    </w:p>
    <w:p w:rsidR="00FC47C1" w:rsidRDefault="00FC47C1" w:rsidP="00FC47C1">
      <w:pPr>
        <w:pStyle w:val="Bob1"/>
        <w:numPr>
          <w:ilvl w:val="0"/>
          <w:numId w:val="0"/>
        </w:numPr>
        <w:ind w:hanging="11"/>
        <w:rPr>
          <w:b/>
        </w:rPr>
      </w:pPr>
      <w:r>
        <w:rPr>
          <w:b/>
        </w:rPr>
        <w:t>Mr Justice Tang PJ</w:t>
      </w:r>
      <w:r w:rsidRPr="005B2D2F">
        <w:rPr>
          <w:b/>
        </w:rPr>
        <w:t>:</w:t>
      </w:r>
    </w:p>
    <w:p w:rsidR="00FC47C1" w:rsidRDefault="00AA21FC" w:rsidP="00FC47C1">
      <w:pPr>
        <w:pStyle w:val="Bob1"/>
        <w:tabs>
          <w:tab w:val="clear" w:pos="720"/>
          <w:tab w:val="num" w:pos="1440"/>
        </w:tabs>
        <w:ind w:left="0" w:firstLine="0"/>
      </w:pPr>
      <w:r>
        <w:t>I agree with the judgment of Mr Justice Ribeiro PJ.</w:t>
      </w:r>
    </w:p>
    <w:p w:rsidR="00FC47C1" w:rsidRDefault="00FC47C1" w:rsidP="00FC47C1">
      <w:pPr>
        <w:pStyle w:val="Bob1"/>
        <w:numPr>
          <w:ilvl w:val="0"/>
          <w:numId w:val="0"/>
        </w:numPr>
        <w:ind w:hanging="11"/>
        <w:rPr>
          <w:b/>
        </w:rPr>
      </w:pPr>
      <w:r>
        <w:rPr>
          <w:b/>
        </w:rPr>
        <w:t>Mr Justice Fok PJ:</w:t>
      </w:r>
    </w:p>
    <w:p w:rsidR="00FC47C1" w:rsidRDefault="00FC47C1" w:rsidP="00FC47C1">
      <w:pPr>
        <w:pStyle w:val="Bob1"/>
        <w:tabs>
          <w:tab w:val="clear" w:pos="720"/>
          <w:tab w:val="num" w:pos="1440"/>
        </w:tabs>
        <w:ind w:left="0" w:firstLine="0"/>
      </w:pPr>
      <w:r>
        <w:t>I agree with the judgment of Mr Justice Ribeiro PJ.</w:t>
      </w:r>
    </w:p>
    <w:p w:rsidR="00FC47C1" w:rsidRPr="002C3523" w:rsidRDefault="00FC47C1" w:rsidP="00FC47C1">
      <w:pPr>
        <w:pStyle w:val="Bob1"/>
        <w:numPr>
          <w:ilvl w:val="0"/>
          <w:numId w:val="0"/>
        </w:numPr>
        <w:ind w:hanging="11"/>
        <w:rPr>
          <w:b/>
        </w:rPr>
      </w:pPr>
      <w:r w:rsidRPr="002C3523">
        <w:rPr>
          <w:b/>
        </w:rPr>
        <w:t xml:space="preserve">Lord Collins </w:t>
      </w:r>
      <w:r w:rsidR="002C3523" w:rsidRPr="002C3523">
        <w:rPr>
          <w:b/>
          <w:bCs/>
          <w:color w:val="000000" w:themeColor="text1"/>
          <w:szCs w:val="28"/>
        </w:rPr>
        <w:t>of Mapesbury</w:t>
      </w:r>
      <w:r w:rsidR="002C3523" w:rsidRPr="002C3523">
        <w:rPr>
          <w:b/>
        </w:rPr>
        <w:t xml:space="preserve"> </w:t>
      </w:r>
      <w:r w:rsidRPr="002C3523">
        <w:rPr>
          <w:b/>
        </w:rPr>
        <w:t>NPJ:</w:t>
      </w:r>
    </w:p>
    <w:p w:rsidR="00FC47C1" w:rsidRDefault="00FC47C1" w:rsidP="00FC47C1">
      <w:pPr>
        <w:pStyle w:val="Bob1"/>
        <w:tabs>
          <w:tab w:val="clear" w:pos="720"/>
          <w:tab w:val="num" w:pos="1440"/>
        </w:tabs>
        <w:ind w:left="0" w:firstLine="0"/>
      </w:pPr>
      <w:r>
        <w:t>I agree with the judgment of Mr Justice Ribeiro PJ.</w:t>
      </w:r>
    </w:p>
    <w:p w:rsidR="00FC47C1" w:rsidRDefault="00FC47C1" w:rsidP="00FC47C1">
      <w:pPr>
        <w:pStyle w:val="Bob1"/>
        <w:numPr>
          <w:ilvl w:val="0"/>
          <w:numId w:val="0"/>
        </w:numPr>
        <w:ind w:hanging="11"/>
        <w:rPr>
          <w:b/>
        </w:rPr>
      </w:pPr>
      <w:r>
        <w:rPr>
          <w:b/>
        </w:rPr>
        <w:t>Chief Justice Ma:</w:t>
      </w:r>
    </w:p>
    <w:p w:rsidR="00D5461D" w:rsidRPr="00D5461D" w:rsidRDefault="00D5461D" w:rsidP="00D5461D">
      <w:pPr>
        <w:pStyle w:val="Bob1"/>
        <w:tabs>
          <w:tab w:val="clear" w:pos="720"/>
          <w:tab w:val="left" w:pos="1440"/>
        </w:tabs>
        <w:ind w:left="0" w:firstLine="0"/>
        <w:jc w:val="both"/>
        <w:rPr>
          <w:lang w:eastAsia="zh-CN"/>
        </w:rPr>
      </w:pPr>
      <w:r w:rsidRPr="00D5461D">
        <w:rPr>
          <w:lang w:eastAsia="zh-CN"/>
        </w:rPr>
        <w:t>The Court unanimously allows the appeal, sets aside the Judge’s decision, restores the defendant’s acquittal and awards the appellant costs comprising his costs before the magistrate and his legal aid contributions in the Court of First Instance and in this Court.</w:t>
      </w:r>
    </w:p>
    <w:p w:rsidR="00FC47C1" w:rsidRDefault="00FC47C1" w:rsidP="002219F2">
      <w:pPr>
        <w:pStyle w:val="Bob1"/>
        <w:numPr>
          <w:ilvl w:val="0"/>
          <w:numId w:val="0"/>
        </w:numPr>
        <w:ind w:left="1440" w:hanging="720"/>
      </w:pPr>
    </w:p>
    <w:p w:rsidR="00574544" w:rsidRDefault="00574544" w:rsidP="002219F2">
      <w:pPr>
        <w:pStyle w:val="Bob1"/>
        <w:numPr>
          <w:ilvl w:val="0"/>
          <w:numId w:val="0"/>
        </w:numPr>
        <w:ind w:left="1440" w:hanging="720"/>
      </w:pPr>
    </w:p>
    <w:p w:rsidR="00574544" w:rsidRDefault="00574544" w:rsidP="002219F2">
      <w:pPr>
        <w:pStyle w:val="Bob1"/>
        <w:numPr>
          <w:ilvl w:val="0"/>
          <w:numId w:val="0"/>
        </w:numPr>
        <w:ind w:left="1440" w:hanging="720"/>
      </w:pPr>
    </w:p>
    <w:p w:rsidR="00574544" w:rsidRDefault="00574544" w:rsidP="002219F2">
      <w:pPr>
        <w:pStyle w:val="Bob1"/>
        <w:numPr>
          <w:ilvl w:val="0"/>
          <w:numId w:val="0"/>
        </w:numPr>
        <w:ind w:left="1440" w:hanging="720"/>
      </w:pPr>
    </w:p>
    <w:p w:rsidR="00574544" w:rsidRDefault="00574544" w:rsidP="002219F2">
      <w:pPr>
        <w:pStyle w:val="Bob1"/>
        <w:numPr>
          <w:ilvl w:val="0"/>
          <w:numId w:val="0"/>
        </w:numPr>
        <w:ind w:left="1440" w:hanging="720"/>
      </w:pPr>
    </w:p>
    <w:p w:rsidR="00FC47C1" w:rsidRDefault="00FC47C1" w:rsidP="002219F2">
      <w:pPr>
        <w:pStyle w:val="Bob1"/>
        <w:numPr>
          <w:ilvl w:val="0"/>
          <w:numId w:val="0"/>
        </w:numPr>
        <w:ind w:left="1440" w:hanging="720"/>
      </w:pPr>
    </w:p>
    <w:tbl>
      <w:tblPr>
        <w:tblW w:w="0" w:type="auto"/>
        <w:jc w:val="center"/>
        <w:tblLook w:val="0000" w:firstRow="0" w:lastRow="0" w:firstColumn="0" w:lastColumn="0" w:noHBand="0" w:noVBand="0"/>
      </w:tblPr>
      <w:tblGrid>
        <w:gridCol w:w="2952"/>
        <w:gridCol w:w="2952"/>
        <w:gridCol w:w="2952"/>
      </w:tblGrid>
      <w:tr w:rsidR="005B2D2F" w:rsidRPr="00013FD3" w:rsidTr="00B8244F">
        <w:trPr>
          <w:jc w:val="center"/>
        </w:trPr>
        <w:tc>
          <w:tcPr>
            <w:tcW w:w="2952" w:type="dxa"/>
          </w:tcPr>
          <w:p w:rsidR="005B2D2F" w:rsidRPr="00013FD3" w:rsidRDefault="005B2D2F" w:rsidP="00B8244F">
            <w:pPr>
              <w:tabs>
                <w:tab w:val="left" w:pos="6660"/>
              </w:tabs>
              <w:spacing w:after="0"/>
              <w:jc w:val="center"/>
              <w:rPr>
                <w:szCs w:val="28"/>
              </w:rPr>
            </w:pPr>
            <w:r w:rsidRPr="00013FD3">
              <w:rPr>
                <w:rFonts w:hint="eastAsia"/>
                <w:szCs w:val="28"/>
              </w:rPr>
              <w:t>(Geoffrey Ma)</w:t>
            </w:r>
          </w:p>
          <w:p w:rsidR="005B2D2F" w:rsidRPr="00013FD3" w:rsidRDefault="005B2D2F" w:rsidP="00B8244F">
            <w:pPr>
              <w:tabs>
                <w:tab w:val="left" w:pos="6660"/>
              </w:tabs>
              <w:spacing w:after="0"/>
              <w:jc w:val="center"/>
              <w:rPr>
                <w:szCs w:val="28"/>
              </w:rPr>
            </w:pPr>
            <w:r w:rsidRPr="00013FD3">
              <w:rPr>
                <w:rFonts w:hint="eastAsia"/>
                <w:szCs w:val="28"/>
              </w:rPr>
              <w:t>Chief Justice</w:t>
            </w:r>
          </w:p>
        </w:tc>
        <w:tc>
          <w:tcPr>
            <w:tcW w:w="2952" w:type="dxa"/>
          </w:tcPr>
          <w:p w:rsidR="005B2D2F" w:rsidRPr="00013FD3" w:rsidRDefault="005B2D2F" w:rsidP="00B8244F">
            <w:pPr>
              <w:tabs>
                <w:tab w:val="left" w:pos="6660"/>
              </w:tabs>
              <w:spacing w:after="0"/>
              <w:jc w:val="center"/>
              <w:rPr>
                <w:szCs w:val="28"/>
              </w:rPr>
            </w:pPr>
            <w:r w:rsidRPr="00013FD3">
              <w:rPr>
                <w:rFonts w:hint="eastAsia"/>
                <w:szCs w:val="28"/>
              </w:rPr>
              <w:t>(R A V Ribeiro)</w:t>
            </w:r>
          </w:p>
          <w:p w:rsidR="005B2D2F" w:rsidRPr="00013FD3" w:rsidRDefault="005B2D2F" w:rsidP="00B8244F">
            <w:pPr>
              <w:tabs>
                <w:tab w:val="left" w:pos="6660"/>
              </w:tabs>
              <w:spacing w:after="0"/>
              <w:jc w:val="center"/>
              <w:rPr>
                <w:szCs w:val="28"/>
              </w:rPr>
            </w:pPr>
            <w:r w:rsidRPr="00013FD3">
              <w:rPr>
                <w:rFonts w:hint="eastAsia"/>
                <w:szCs w:val="28"/>
              </w:rPr>
              <w:t>Permanent Judge</w:t>
            </w:r>
          </w:p>
        </w:tc>
        <w:tc>
          <w:tcPr>
            <w:tcW w:w="2952" w:type="dxa"/>
          </w:tcPr>
          <w:p w:rsidR="005B2D2F" w:rsidRPr="00013FD3" w:rsidRDefault="005B2D2F" w:rsidP="00B8244F">
            <w:pPr>
              <w:spacing w:after="0"/>
              <w:jc w:val="center"/>
              <w:rPr>
                <w:szCs w:val="28"/>
              </w:rPr>
            </w:pPr>
            <w:r w:rsidRPr="00013FD3">
              <w:rPr>
                <w:rFonts w:hint="eastAsia"/>
                <w:szCs w:val="28"/>
              </w:rPr>
              <w:t>(</w:t>
            </w:r>
            <w:r>
              <w:rPr>
                <w:szCs w:val="28"/>
              </w:rPr>
              <w:t>Robert Tang</w:t>
            </w:r>
            <w:r w:rsidRPr="00013FD3">
              <w:rPr>
                <w:rFonts w:hint="eastAsia"/>
                <w:szCs w:val="28"/>
              </w:rPr>
              <w:t>)</w:t>
            </w:r>
          </w:p>
          <w:p w:rsidR="005B2D2F" w:rsidRPr="00013FD3" w:rsidRDefault="005B2D2F" w:rsidP="00B8244F">
            <w:pPr>
              <w:tabs>
                <w:tab w:val="left" w:pos="6660"/>
              </w:tabs>
              <w:spacing w:after="0"/>
              <w:jc w:val="center"/>
              <w:rPr>
                <w:szCs w:val="28"/>
              </w:rPr>
            </w:pPr>
            <w:r w:rsidRPr="00013FD3">
              <w:rPr>
                <w:rFonts w:hint="eastAsia"/>
                <w:szCs w:val="28"/>
              </w:rPr>
              <w:t>Permanent Judge</w:t>
            </w:r>
          </w:p>
        </w:tc>
      </w:tr>
    </w:tbl>
    <w:p w:rsidR="005B2D2F" w:rsidRPr="001D2872" w:rsidRDefault="005B2D2F" w:rsidP="005B2D2F">
      <w:pPr>
        <w:pStyle w:val="Bob1"/>
        <w:numPr>
          <w:ilvl w:val="0"/>
          <w:numId w:val="0"/>
        </w:numPr>
        <w:ind w:left="720"/>
        <w:rPr>
          <w:sz w:val="52"/>
          <w:szCs w:val="52"/>
        </w:rPr>
      </w:pPr>
    </w:p>
    <w:tbl>
      <w:tblPr>
        <w:tblW w:w="0" w:type="auto"/>
        <w:tblLook w:val="0000" w:firstRow="0" w:lastRow="0" w:firstColumn="0" w:lastColumn="0" w:noHBand="0" w:noVBand="0"/>
      </w:tblPr>
      <w:tblGrid>
        <w:gridCol w:w="4428"/>
        <w:gridCol w:w="4428"/>
      </w:tblGrid>
      <w:tr w:rsidR="005B2D2F" w:rsidRPr="00013FD3" w:rsidTr="00B8244F">
        <w:tc>
          <w:tcPr>
            <w:tcW w:w="4428" w:type="dxa"/>
          </w:tcPr>
          <w:p w:rsidR="005B2D2F" w:rsidRPr="00013FD3" w:rsidRDefault="005B2D2F" w:rsidP="00B8244F">
            <w:pPr>
              <w:spacing w:after="0"/>
              <w:jc w:val="center"/>
              <w:rPr>
                <w:szCs w:val="28"/>
              </w:rPr>
            </w:pPr>
            <w:r>
              <w:rPr>
                <w:rFonts w:hint="eastAsia"/>
                <w:szCs w:val="28"/>
              </w:rPr>
              <w:t>(Joseph Fok</w:t>
            </w:r>
            <w:r w:rsidRPr="00013FD3">
              <w:rPr>
                <w:rFonts w:hint="eastAsia"/>
                <w:szCs w:val="28"/>
              </w:rPr>
              <w:t>)</w:t>
            </w:r>
          </w:p>
          <w:p w:rsidR="005B2D2F" w:rsidRPr="00013FD3" w:rsidRDefault="005B2D2F" w:rsidP="00B8244F">
            <w:pPr>
              <w:spacing w:after="0"/>
              <w:jc w:val="center"/>
              <w:rPr>
                <w:szCs w:val="28"/>
              </w:rPr>
            </w:pPr>
            <w:r w:rsidRPr="00013FD3">
              <w:rPr>
                <w:rFonts w:hint="eastAsia"/>
                <w:szCs w:val="28"/>
              </w:rPr>
              <w:t>Permanent Judge</w:t>
            </w:r>
          </w:p>
        </w:tc>
        <w:tc>
          <w:tcPr>
            <w:tcW w:w="4428" w:type="dxa"/>
          </w:tcPr>
          <w:p w:rsidR="005B2D2F" w:rsidRPr="00F10E0B" w:rsidRDefault="005B2D2F" w:rsidP="00B8244F">
            <w:pPr>
              <w:spacing w:after="0"/>
              <w:jc w:val="center"/>
              <w:rPr>
                <w:szCs w:val="28"/>
              </w:rPr>
            </w:pPr>
            <w:r w:rsidRPr="00F10E0B">
              <w:rPr>
                <w:rFonts w:hint="eastAsia"/>
                <w:szCs w:val="28"/>
              </w:rPr>
              <w:t>(</w:t>
            </w:r>
            <w:r w:rsidRPr="00F10E0B">
              <w:rPr>
                <w:szCs w:val="28"/>
              </w:rPr>
              <w:t xml:space="preserve">Lord </w:t>
            </w:r>
            <w:r>
              <w:rPr>
                <w:rFonts w:eastAsia="宋体"/>
                <w:szCs w:val="28"/>
              </w:rPr>
              <w:t>Collins</w:t>
            </w:r>
            <w:r w:rsidR="002C3523">
              <w:rPr>
                <w:rFonts w:eastAsia="宋体"/>
                <w:szCs w:val="28"/>
              </w:rPr>
              <w:t xml:space="preserve"> </w:t>
            </w:r>
            <w:r w:rsidR="002C3523">
              <w:rPr>
                <w:bCs/>
                <w:color w:val="000000" w:themeColor="text1"/>
                <w:szCs w:val="28"/>
              </w:rPr>
              <w:t>of Mapesbury</w:t>
            </w:r>
            <w:r w:rsidRPr="00F10E0B">
              <w:rPr>
                <w:rFonts w:hint="eastAsia"/>
                <w:szCs w:val="28"/>
              </w:rPr>
              <w:t>)</w:t>
            </w:r>
          </w:p>
          <w:p w:rsidR="005B2D2F" w:rsidRPr="00013FD3" w:rsidRDefault="005B2D2F" w:rsidP="00B8244F">
            <w:pPr>
              <w:spacing w:after="0"/>
              <w:jc w:val="center"/>
              <w:rPr>
                <w:szCs w:val="28"/>
              </w:rPr>
            </w:pPr>
            <w:r w:rsidRPr="00F10E0B">
              <w:rPr>
                <w:rFonts w:hint="eastAsia"/>
                <w:szCs w:val="28"/>
              </w:rPr>
              <w:t>Non-Permanent Judge</w:t>
            </w:r>
          </w:p>
        </w:tc>
      </w:tr>
    </w:tbl>
    <w:p w:rsidR="005B2D2F" w:rsidRDefault="005B2D2F" w:rsidP="002219F2">
      <w:pPr>
        <w:pStyle w:val="Bob1"/>
        <w:numPr>
          <w:ilvl w:val="0"/>
          <w:numId w:val="0"/>
        </w:numPr>
        <w:ind w:left="1440" w:hanging="720"/>
      </w:pPr>
    </w:p>
    <w:p w:rsidR="005B2D2F" w:rsidRDefault="005B2D2F" w:rsidP="00DB2C3C">
      <w:pPr>
        <w:tabs>
          <w:tab w:val="left" w:pos="3240"/>
        </w:tabs>
        <w:spacing w:after="0" w:line="240" w:lineRule="auto"/>
        <w:jc w:val="both"/>
        <w:rPr>
          <w:lang w:eastAsia="zh-CN"/>
        </w:rPr>
      </w:pPr>
      <w:r>
        <w:rPr>
          <w:lang w:eastAsia="zh-CN"/>
        </w:rPr>
        <w:t xml:space="preserve">Mr </w:t>
      </w:r>
      <w:r>
        <w:rPr>
          <w:szCs w:val="28"/>
        </w:rPr>
        <w:t>Gerard McCoy</w:t>
      </w:r>
      <w:r>
        <w:rPr>
          <w:lang w:eastAsia="zh-CN"/>
        </w:rPr>
        <w:t xml:space="preserve"> SC and Mr</w:t>
      </w:r>
      <w:r>
        <w:rPr>
          <w:rFonts w:hint="eastAsia"/>
          <w:lang w:eastAsia="zh-CN"/>
        </w:rPr>
        <w:t xml:space="preserve"> </w:t>
      </w:r>
      <w:r>
        <w:rPr>
          <w:szCs w:val="28"/>
        </w:rPr>
        <w:t>Wong Po Wing</w:t>
      </w:r>
      <w:r w:rsidRPr="009224BE">
        <w:rPr>
          <w:lang w:eastAsia="zh-CN"/>
        </w:rPr>
        <w:t>,</w:t>
      </w:r>
      <w:r>
        <w:rPr>
          <w:lang w:eastAsia="zh-CN"/>
        </w:rPr>
        <w:t xml:space="preserve"> i</w:t>
      </w:r>
      <w:r w:rsidRPr="003A549E">
        <w:rPr>
          <w:lang w:eastAsia="zh-CN"/>
        </w:rPr>
        <w:t>nstructed b</w:t>
      </w:r>
      <w:r>
        <w:rPr>
          <w:rFonts w:hint="eastAsia"/>
          <w:lang w:eastAsia="zh-CN"/>
        </w:rPr>
        <w:t xml:space="preserve">y </w:t>
      </w:r>
      <w:r>
        <w:rPr>
          <w:lang w:eastAsia="zh-CN"/>
        </w:rPr>
        <w:t>Eli K.K. Tsui &amp; Co.</w:t>
      </w:r>
      <w:r w:rsidRPr="003A549E">
        <w:t>,</w:t>
      </w:r>
      <w:r>
        <w:t xml:space="preserve"> </w:t>
      </w:r>
      <w:r w:rsidRPr="001455F0">
        <w:t xml:space="preserve">assigned by </w:t>
      </w:r>
      <w:r>
        <w:rPr>
          <w:rFonts w:hint="eastAsia"/>
          <w:lang w:eastAsia="zh-CN"/>
        </w:rPr>
        <w:t xml:space="preserve">the </w:t>
      </w:r>
      <w:r w:rsidRPr="00CB2D53">
        <w:rPr>
          <w:rFonts w:eastAsia="Times New Roman"/>
          <w:bCs/>
          <w:szCs w:val="28"/>
        </w:rPr>
        <w:t>Director</w:t>
      </w:r>
      <w:r>
        <w:rPr>
          <w:rFonts w:eastAsia="Times New Roman"/>
          <w:szCs w:val="28"/>
        </w:rPr>
        <w:t xml:space="preserve"> of Legal</w:t>
      </w:r>
      <w:r>
        <w:rPr>
          <w:rFonts w:hint="eastAsia"/>
          <w:szCs w:val="28"/>
          <w:lang w:eastAsia="zh-CN"/>
        </w:rPr>
        <w:t xml:space="preserve"> </w:t>
      </w:r>
      <w:r>
        <w:rPr>
          <w:rFonts w:eastAsia="Times New Roman"/>
          <w:szCs w:val="28"/>
        </w:rPr>
        <w:t>Aid</w:t>
      </w:r>
      <w:r>
        <w:rPr>
          <w:lang w:eastAsia="zh-CN"/>
        </w:rPr>
        <w:t xml:space="preserve">, </w:t>
      </w:r>
      <w:r w:rsidRPr="003A549E">
        <w:t xml:space="preserve">for the </w:t>
      </w:r>
      <w:r w:rsidRPr="003A549E">
        <w:rPr>
          <w:lang w:eastAsia="zh-CN"/>
        </w:rPr>
        <w:t>App</w:t>
      </w:r>
      <w:r>
        <w:rPr>
          <w:rFonts w:hint="eastAsia"/>
          <w:lang w:eastAsia="zh-CN"/>
        </w:rPr>
        <w:t>ellant</w:t>
      </w:r>
    </w:p>
    <w:p w:rsidR="005B2D2F" w:rsidRDefault="005B2D2F" w:rsidP="00DB2C3C">
      <w:pPr>
        <w:tabs>
          <w:tab w:val="left" w:pos="3240"/>
        </w:tabs>
        <w:spacing w:after="0" w:line="240" w:lineRule="auto"/>
        <w:jc w:val="both"/>
        <w:rPr>
          <w:lang w:eastAsia="zh-CN"/>
        </w:rPr>
      </w:pPr>
    </w:p>
    <w:p w:rsidR="005B2D2F" w:rsidRPr="003A549E" w:rsidRDefault="005B2D2F" w:rsidP="00DB2C3C">
      <w:pPr>
        <w:tabs>
          <w:tab w:val="left" w:pos="3240"/>
        </w:tabs>
        <w:spacing w:after="0" w:line="240" w:lineRule="auto"/>
        <w:jc w:val="both"/>
        <w:rPr>
          <w:lang w:eastAsia="zh-CN"/>
        </w:rPr>
      </w:pPr>
      <w:r>
        <w:rPr>
          <w:rFonts w:hint="eastAsia"/>
          <w:lang w:eastAsia="zh-CN"/>
        </w:rPr>
        <w:t>M</w:t>
      </w:r>
      <w:r>
        <w:rPr>
          <w:lang w:eastAsia="zh-CN"/>
        </w:rPr>
        <w:t>s</w:t>
      </w:r>
      <w:r>
        <w:rPr>
          <w:rFonts w:hint="eastAsia"/>
          <w:lang w:eastAsia="zh-CN"/>
        </w:rPr>
        <w:t xml:space="preserve"> </w:t>
      </w:r>
      <w:r>
        <w:rPr>
          <w:szCs w:val="28"/>
        </w:rPr>
        <w:t>Anna Y</w:t>
      </w:r>
      <w:r w:rsidR="00C40C61">
        <w:rPr>
          <w:szCs w:val="28"/>
        </w:rPr>
        <w:t xml:space="preserve"> </w:t>
      </w:r>
      <w:r>
        <w:rPr>
          <w:szCs w:val="28"/>
        </w:rPr>
        <w:t>K Lai SC,</w:t>
      </w:r>
      <w:r w:rsidRPr="00B56650">
        <w:rPr>
          <w:rFonts w:hint="eastAsia"/>
          <w:szCs w:val="28"/>
        </w:rPr>
        <w:t xml:space="preserve"> </w:t>
      </w:r>
      <w:r>
        <w:rPr>
          <w:szCs w:val="28"/>
        </w:rPr>
        <w:t>D</w:t>
      </w:r>
      <w:r>
        <w:rPr>
          <w:rFonts w:hint="eastAsia"/>
          <w:szCs w:val="28"/>
        </w:rPr>
        <w:t xml:space="preserve">DPP, </w:t>
      </w:r>
      <w:r>
        <w:rPr>
          <w:szCs w:val="28"/>
        </w:rPr>
        <w:t>Mr Ned Lai, SADPP and Ms Audrey Parwani,</w:t>
      </w:r>
      <w:r w:rsidRPr="00B56650">
        <w:rPr>
          <w:rFonts w:hint="eastAsia"/>
          <w:szCs w:val="28"/>
        </w:rPr>
        <w:t xml:space="preserve"> </w:t>
      </w:r>
      <w:r>
        <w:rPr>
          <w:szCs w:val="28"/>
        </w:rPr>
        <w:t>S</w:t>
      </w:r>
      <w:r>
        <w:rPr>
          <w:rFonts w:hint="eastAsia"/>
          <w:szCs w:val="28"/>
        </w:rPr>
        <w:t>PP</w:t>
      </w:r>
      <w:r>
        <w:rPr>
          <w:lang w:eastAsia="zh-CN"/>
        </w:rPr>
        <w:t xml:space="preserve"> </w:t>
      </w:r>
      <w:r>
        <w:rPr>
          <w:rFonts w:hint="eastAsia"/>
          <w:lang w:eastAsia="zh-CN"/>
        </w:rPr>
        <w:t>of the Department of Justice</w:t>
      </w:r>
      <w:r>
        <w:rPr>
          <w:lang w:eastAsia="zh-CN"/>
        </w:rPr>
        <w:t xml:space="preserve">, </w:t>
      </w:r>
      <w:r w:rsidRPr="004A4984">
        <w:rPr>
          <w:lang w:eastAsia="zh-CN"/>
        </w:rPr>
        <w:t>for the Respondent</w:t>
      </w:r>
      <w:r>
        <w:rPr>
          <w:rFonts w:hint="eastAsia"/>
          <w:lang w:eastAsia="zh-CN"/>
        </w:rPr>
        <w:t xml:space="preserve"> </w:t>
      </w:r>
    </w:p>
    <w:p w:rsidR="005B2D2F" w:rsidRPr="00937666" w:rsidRDefault="005B2D2F" w:rsidP="00DB2C3C">
      <w:pPr>
        <w:pStyle w:val="Bob1"/>
        <w:numPr>
          <w:ilvl w:val="0"/>
          <w:numId w:val="0"/>
        </w:numPr>
        <w:spacing w:after="0" w:line="240" w:lineRule="auto"/>
        <w:ind w:left="1440" w:hanging="720"/>
      </w:pPr>
    </w:p>
    <w:sectPr w:rsidR="005B2D2F" w:rsidRPr="00937666"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599" w:rsidRDefault="000E4599" w:rsidP="00CC0407">
      <w:pPr>
        <w:spacing w:after="0" w:line="240" w:lineRule="auto"/>
      </w:pPr>
      <w:r>
        <w:separator/>
      </w:r>
    </w:p>
  </w:endnote>
  <w:endnote w:type="continuationSeparator" w:id="0">
    <w:p w:rsidR="000E4599" w:rsidRDefault="000E4599"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BK-HKST">
    <w:panose1 w:val="0201060006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599" w:rsidRDefault="000E4599" w:rsidP="00CC0407">
      <w:pPr>
        <w:spacing w:after="0" w:line="240" w:lineRule="auto"/>
      </w:pPr>
      <w:r>
        <w:separator/>
      </w:r>
    </w:p>
  </w:footnote>
  <w:footnote w:type="continuationSeparator" w:id="0">
    <w:p w:rsidR="000E4599" w:rsidRDefault="000E4599" w:rsidP="00CC0407">
      <w:pPr>
        <w:spacing w:after="0" w:line="240" w:lineRule="auto"/>
      </w:pPr>
      <w:r>
        <w:continuationSeparator/>
      </w:r>
    </w:p>
  </w:footnote>
  <w:footnote w:id="1">
    <w:p w:rsidR="00935532" w:rsidRDefault="00935532" w:rsidP="00C45E2F">
      <w:pPr>
        <w:pStyle w:val="FootnoteText"/>
        <w:tabs>
          <w:tab w:val="left" w:pos="360"/>
        </w:tabs>
        <w:ind w:left="360" w:hanging="360"/>
        <w:jc w:val="both"/>
      </w:pPr>
      <w:r>
        <w:rPr>
          <w:rStyle w:val="FootnoteReference"/>
        </w:rPr>
        <w:footnoteRef/>
      </w:r>
      <w:r>
        <w:t xml:space="preserve"> </w:t>
      </w:r>
      <w:r>
        <w:tab/>
        <w:t>Cap 200.</w:t>
      </w:r>
    </w:p>
  </w:footnote>
  <w:footnote w:id="2">
    <w:p w:rsidR="00935532" w:rsidRPr="00446481" w:rsidRDefault="00935532" w:rsidP="00C45E2F">
      <w:pPr>
        <w:pStyle w:val="FootnoteText"/>
        <w:tabs>
          <w:tab w:val="left" w:pos="360"/>
        </w:tabs>
        <w:ind w:left="360" w:hanging="360"/>
        <w:jc w:val="both"/>
      </w:pPr>
      <w:r>
        <w:rPr>
          <w:rStyle w:val="FootnoteReference"/>
        </w:rPr>
        <w:footnoteRef/>
      </w:r>
      <w:r>
        <w:t xml:space="preserve"> </w:t>
      </w:r>
      <w:r>
        <w:tab/>
        <w:t xml:space="preserve">It is clear that indecent assault can be committed by a person and on a person of either gender: </w:t>
      </w:r>
      <w:r w:rsidRPr="00446481">
        <w:rPr>
          <w:i/>
        </w:rPr>
        <w:t>R v Hare</w:t>
      </w:r>
      <w:r w:rsidRPr="00446481">
        <w:t xml:space="preserve"> [1934] 1 KB 354</w:t>
      </w:r>
      <w:r>
        <w:t>.  As the present case concerns a man charged with the offence in res</w:t>
      </w:r>
      <w:r w:rsidR="005103FC">
        <w:t>pect of a woman or girl,</w:t>
      </w:r>
      <w:r>
        <w:t xml:space="preserve"> for brevity</w:t>
      </w:r>
      <w:r w:rsidR="005103FC">
        <w:t>, I will</w:t>
      </w:r>
      <w:r>
        <w:t xml:space="preserve"> generally refer to the defendant as a male and the other person as a female.</w:t>
      </w:r>
    </w:p>
  </w:footnote>
  <w:footnote w:id="3">
    <w:p w:rsidR="00935532" w:rsidRDefault="00935532" w:rsidP="00C45E2F">
      <w:pPr>
        <w:pStyle w:val="FootnoteText"/>
        <w:tabs>
          <w:tab w:val="left" w:pos="360"/>
        </w:tabs>
        <w:jc w:val="both"/>
      </w:pPr>
      <w:r>
        <w:rPr>
          <w:rStyle w:val="FootnoteReference"/>
        </w:rPr>
        <w:footnoteRef/>
      </w:r>
      <w:r>
        <w:t xml:space="preserve"> </w:t>
      </w:r>
      <w:r>
        <w:tab/>
        <w:t>KCCC 388/2015 (12 June 2015).</w:t>
      </w:r>
    </w:p>
  </w:footnote>
  <w:footnote w:id="4">
    <w:p w:rsidR="00935532" w:rsidRPr="00E61BB1" w:rsidRDefault="00935532" w:rsidP="00C45E2F">
      <w:pPr>
        <w:pStyle w:val="FootnoteText"/>
        <w:tabs>
          <w:tab w:val="left" w:pos="360"/>
        </w:tabs>
      </w:pPr>
      <w:r>
        <w:rPr>
          <w:rStyle w:val="FootnoteReference"/>
        </w:rPr>
        <w:footnoteRef/>
      </w:r>
      <w:r>
        <w:t xml:space="preserve"> </w:t>
      </w:r>
      <w:r>
        <w:tab/>
      </w:r>
      <w:r w:rsidRPr="00E61BB1">
        <w:t>[2002] 1 AC 462</w:t>
      </w:r>
      <w:r>
        <w:t>.</w:t>
      </w:r>
    </w:p>
  </w:footnote>
  <w:footnote w:id="5">
    <w:p w:rsidR="00935532" w:rsidRDefault="00935532" w:rsidP="00C45E2F">
      <w:pPr>
        <w:pStyle w:val="FootnoteText"/>
        <w:tabs>
          <w:tab w:val="left" w:pos="360"/>
        </w:tabs>
      </w:pPr>
      <w:r>
        <w:rPr>
          <w:rStyle w:val="FootnoteReference"/>
        </w:rPr>
        <w:footnoteRef/>
      </w:r>
      <w:r>
        <w:t xml:space="preserve"> </w:t>
      </w:r>
      <w:r>
        <w:tab/>
        <w:t>Reasons for Verdict §16.</w:t>
      </w:r>
    </w:p>
  </w:footnote>
  <w:footnote w:id="6">
    <w:p w:rsidR="00935532" w:rsidRPr="005A5361" w:rsidRDefault="00935532" w:rsidP="00C45E2F">
      <w:pPr>
        <w:pStyle w:val="FootnoteText"/>
        <w:tabs>
          <w:tab w:val="left" w:pos="360"/>
        </w:tabs>
      </w:pPr>
      <w:r>
        <w:rPr>
          <w:rStyle w:val="FootnoteReference"/>
        </w:rPr>
        <w:footnoteRef/>
      </w:r>
      <w:r>
        <w:t xml:space="preserve"> </w:t>
      </w:r>
      <w:r>
        <w:tab/>
      </w:r>
      <w:r>
        <w:rPr>
          <w:i/>
        </w:rPr>
        <w:t xml:space="preserve">Ibid </w:t>
      </w:r>
      <w:r>
        <w:t>§18.</w:t>
      </w:r>
    </w:p>
  </w:footnote>
  <w:footnote w:id="7">
    <w:p w:rsidR="00935532" w:rsidRPr="005A5361" w:rsidRDefault="00935532" w:rsidP="00C45E2F">
      <w:pPr>
        <w:pStyle w:val="FootnoteText"/>
        <w:tabs>
          <w:tab w:val="left" w:pos="360"/>
        </w:tabs>
      </w:pPr>
      <w:r>
        <w:rPr>
          <w:rStyle w:val="FootnoteReference"/>
        </w:rPr>
        <w:footnoteRef/>
      </w:r>
      <w:r>
        <w:t xml:space="preserve"> </w:t>
      </w:r>
      <w:r>
        <w:tab/>
      </w:r>
      <w:r>
        <w:rPr>
          <w:i/>
        </w:rPr>
        <w:t>Ibid</w:t>
      </w:r>
      <w:r>
        <w:t>.</w:t>
      </w:r>
    </w:p>
  </w:footnote>
  <w:footnote w:id="8">
    <w:p w:rsidR="00C40C61" w:rsidRDefault="00C40C61" w:rsidP="00C40C61">
      <w:pPr>
        <w:pStyle w:val="FootnoteText"/>
        <w:tabs>
          <w:tab w:val="left" w:pos="360"/>
        </w:tabs>
        <w:rPr>
          <w:lang w:eastAsia="zh-CN"/>
        </w:rPr>
      </w:pPr>
      <w:r>
        <w:rPr>
          <w:rStyle w:val="FootnoteReference"/>
        </w:rPr>
        <w:footnoteRef/>
      </w:r>
      <w:r>
        <w:t xml:space="preserve"> </w:t>
      </w:r>
      <w:r>
        <w:tab/>
      </w:r>
      <w:r w:rsidRPr="00C40C61">
        <w:rPr>
          <w:rFonts w:hint="eastAsia"/>
          <w:i/>
          <w:lang w:eastAsia="zh-CN"/>
        </w:rPr>
        <w:t>Ibid</w:t>
      </w:r>
      <w:r>
        <w:rPr>
          <w:rFonts w:hint="eastAsia"/>
          <w:lang w:eastAsia="zh-CN"/>
        </w:rPr>
        <w:t xml:space="preserve"> </w:t>
      </w:r>
      <w:r>
        <w:t>§19.</w:t>
      </w:r>
    </w:p>
  </w:footnote>
  <w:footnote w:id="9">
    <w:p w:rsidR="00935532" w:rsidRDefault="00935532" w:rsidP="00C45E2F">
      <w:pPr>
        <w:pStyle w:val="FootnoteText"/>
        <w:tabs>
          <w:tab w:val="left" w:pos="360"/>
        </w:tabs>
      </w:pPr>
      <w:r>
        <w:rPr>
          <w:rStyle w:val="FootnoteReference"/>
        </w:rPr>
        <w:footnoteRef/>
      </w:r>
      <w:r>
        <w:t xml:space="preserve"> </w:t>
      </w:r>
      <w:r>
        <w:tab/>
        <w:t>HCMA 620/2016 (31 July 2017).</w:t>
      </w:r>
    </w:p>
  </w:footnote>
  <w:footnote w:id="10">
    <w:p w:rsidR="00935532" w:rsidRPr="00D81D06" w:rsidRDefault="00935532" w:rsidP="00C45E2F">
      <w:pPr>
        <w:pStyle w:val="FootnoteText"/>
        <w:tabs>
          <w:tab w:val="left" w:pos="360"/>
        </w:tabs>
      </w:pPr>
      <w:r>
        <w:rPr>
          <w:rStyle w:val="FootnoteReference"/>
        </w:rPr>
        <w:footnoteRef/>
      </w:r>
      <w:r>
        <w:t xml:space="preserve"> </w:t>
      </w:r>
      <w:r>
        <w:tab/>
      </w:r>
      <w:r w:rsidRPr="00D81D06">
        <w:t>[2005] 1 HKLRD 443</w:t>
      </w:r>
      <w:r>
        <w:t>.</w:t>
      </w:r>
    </w:p>
  </w:footnote>
  <w:footnote w:id="11">
    <w:p w:rsidR="00935532" w:rsidRPr="00D81D06" w:rsidRDefault="00935532" w:rsidP="00C45E2F">
      <w:pPr>
        <w:pStyle w:val="FootnoteText"/>
        <w:tabs>
          <w:tab w:val="left" w:pos="360"/>
        </w:tabs>
      </w:pPr>
      <w:r>
        <w:rPr>
          <w:rStyle w:val="FootnoteReference"/>
        </w:rPr>
        <w:footnoteRef/>
      </w:r>
      <w:r>
        <w:t xml:space="preserve"> </w:t>
      </w:r>
      <w:r>
        <w:tab/>
      </w:r>
      <w:r w:rsidRPr="00D81D06">
        <w:t>(2006) 9 HKCFAR 530</w:t>
      </w:r>
      <w:r>
        <w:t>.</w:t>
      </w:r>
    </w:p>
  </w:footnote>
  <w:footnote w:id="12">
    <w:p w:rsidR="00935532" w:rsidRDefault="00935532" w:rsidP="00C45E2F">
      <w:pPr>
        <w:pStyle w:val="FootnoteText"/>
        <w:tabs>
          <w:tab w:val="left" w:pos="360"/>
        </w:tabs>
      </w:pPr>
      <w:r>
        <w:rPr>
          <w:rStyle w:val="FootnoteReference"/>
        </w:rPr>
        <w:footnoteRef/>
      </w:r>
      <w:r>
        <w:t xml:space="preserve"> </w:t>
      </w:r>
      <w:r>
        <w:tab/>
        <w:t>Contrary to section 124 of the Crimes Ordinance (Cap 200).</w:t>
      </w:r>
    </w:p>
  </w:footnote>
  <w:footnote w:id="13">
    <w:p w:rsidR="00935532" w:rsidRDefault="00935532" w:rsidP="00C45E2F">
      <w:pPr>
        <w:pStyle w:val="FootnoteText"/>
        <w:tabs>
          <w:tab w:val="left" w:pos="360"/>
        </w:tabs>
      </w:pPr>
      <w:r>
        <w:rPr>
          <w:rStyle w:val="FootnoteReference"/>
        </w:rPr>
        <w:footnoteRef/>
      </w:r>
      <w:r>
        <w:t xml:space="preserve"> </w:t>
      </w:r>
      <w:r>
        <w:tab/>
        <w:t>Ribeiro, Tang and Fok PJJ, FAMC 28/2017 (1 November 2017).</w:t>
      </w:r>
    </w:p>
  </w:footnote>
  <w:footnote w:id="14">
    <w:p w:rsidR="00935532" w:rsidRPr="00874A77" w:rsidRDefault="00935532" w:rsidP="00C45E2F">
      <w:pPr>
        <w:pStyle w:val="FootnoteText"/>
        <w:tabs>
          <w:tab w:val="left" w:pos="360"/>
        </w:tabs>
        <w:ind w:left="360" w:hanging="360"/>
      </w:pPr>
      <w:r>
        <w:rPr>
          <w:rStyle w:val="FootnoteReference"/>
        </w:rPr>
        <w:footnoteRef/>
      </w:r>
      <w:r>
        <w:t xml:space="preserve"> </w:t>
      </w:r>
      <w:r>
        <w:tab/>
      </w:r>
      <w:r w:rsidRPr="00874A77">
        <w:t>(1872-75) LR 2 CCR 154</w:t>
      </w:r>
      <w:r>
        <w:t>.</w:t>
      </w:r>
    </w:p>
  </w:footnote>
  <w:footnote w:id="15">
    <w:p w:rsidR="00935532" w:rsidRDefault="00935532" w:rsidP="00C45E2F">
      <w:pPr>
        <w:pStyle w:val="FootnoteText"/>
        <w:tabs>
          <w:tab w:val="left" w:pos="360"/>
        </w:tabs>
        <w:ind w:left="360" w:hanging="360"/>
      </w:pPr>
      <w:r>
        <w:rPr>
          <w:rStyle w:val="FootnoteReference"/>
        </w:rPr>
        <w:footnoteRef/>
      </w:r>
      <w:r>
        <w:t xml:space="preserve"> </w:t>
      </w:r>
      <w:r>
        <w:tab/>
        <w:t>At 170.</w:t>
      </w:r>
    </w:p>
  </w:footnote>
  <w:footnote w:id="16">
    <w:p w:rsidR="00935532" w:rsidRDefault="00935532" w:rsidP="00C45E2F">
      <w:pPr>
        <w:pStyle w:val="FootnoteText"/>
        <w:tabs>
          <w:tab w:val="left" w:pos="360"/>
        </w:tabs>
        <w:ind w:left="360" w:hanging="360"/>
      </w:pPr>
      <w:r>
        <w:rPr>
          <w:rStyle w:val="FootnoteReference"/>
        </w:rPr>
        <w:footnoteRef/>
      </w:r>
      <w:r>
        <w:t xml:space="preserve"> </w:t>
      </w:r>
      <w:r>
        <w:tab/>
        <w:t>With Brett J dissenting.</w:t>
      </w:r>
    </w:p>
  </w:footnote>
  <w:footnote w:id="17">
    <w:p w:rsidR="00C40C61" w:rsidRPr="00C40C61" w:rsidRDefault="00C40C61" w:rsidP="00C40C61">
      <w:pPr>
        <w:pStyle w:val="FootnoteText"/>
        <w:tabs>
          <w:tab w:val="left" w:pos="360"/>
        </w:tabs>
        <w:rPr>
          <w:lang w:eastAsia="zh-CN"/>
        </w:rPr>
      </w:pPr>
      <w:r>
        <w:rPr>
          <w:rStyle w:val="FootnoteReference"/>
        </w:rPr>
        <w:footnoteRef/>
      </w:r>
      <w:r>
        <w:t xml:space="preserve"> </w:t>
      </w:r>
      <w:r>
        <w:tab/>
      </w:r>
      <w:r>
        <w:rPr>
          <w:lang w:eastAsia="zh-CN"/>
        </w:rPr>
        <w:t>At 174.</w:t>
      </w:r>
    </w:p>
  </w:footnote>
  <w:footnote w:id="18">
    <w:p w:rsidR="00935532" w:rsidRPr="000E4604" w:rsidRDefault="00935532" w:rsidP="00C45E2F">
      <w:pPr>
        <w:pStyle w:val="FootnoteText"/>
        <w:tabs>
          <w:tab w:val="left" w:pos="360"/>
        </w:tabs>
        <w:ind w:left="360" w:hanging="360"/>
        <w:rPr>
          <w:rFonts w:eastAsia="等线"/>
          <w:lang w:eastAsia="zh-CN"/>
        </w:rPr>
      </w:pPr>
      <w:r>
        <w:rPr>
          <w:rStyle w:val="FootnoteReference"/>
        </w:rPr>
        <w:footnoteRef/>
      </w:r>
      <w:r>
        <w:t xml:space="preserve"> </w:t>
      </w:r>
      <w:r>
        <w:tab/>
      </w:r>
      <w:r>
        <w:rPr>
          <w:i/>
        </w:rPr>
        <w:t xml:space="preserve">R v </w:t>
      </w:r>
      <w:r>
        <w:rPr>
          <w:rFonts w:eastAsia="等线"/>
          <w:i/>
          <w:szCs w:val="28"/>
          <w:lang w:eastAsia="zh-CN"/>
        </w:rPr>
        <w:t>Poon Ping Kwok</w:t>
      </w:r>
      <w:r w:rsidRPr="00214C99">
        <w:rPr>
          <w:rFonts w:eastAsia="等线"/>
          <w:lang w:eastAsia="zh-CN"/>
        </w:rPr>
        <w:t xml:space="preserve"> [1993] 1 HKCLR 56</w:t>
      </w:r>
      <w:r>
        <w:rPr>
          <w:rFonts w:eastAsia="等线"/>
          <w:lang w:eastAsia="zh-CN"/>
        </w:rPr>
        <w:t xml:space="preserve"> at 57, holding that </w:t>
      </w:r>
      <w:r>
        <w:rPr>
          <w:rFonts w:eastAsia="等线"/>
          <w:i/>
          <w:lang w:eastAsia="zh-CN"/>
        </w:rPr>
        <w:t xml:space="preserve">Prince </w:t>
      </w:r>
      <w:r>
        <w:rPr>
          <w:rFonts w:eastAsia="等线"/>
          <w:lang w:eastAsia="zh-CN"/>
        </w:rPr>
        <w:t xml:space="preserve">applies to </w:t>
      </w:r>
      <w:r w:rsidRPr="00A04154">
        <w:rPr>
          <w:rFonts w:eastAsia="GBK-HKST"/>
          <w:color w:val="000000"/>
          <w:szCs w:val="24"/>
        </w:rPr>
        <w:t>unlawful sexual intercourse with an under-aged girl</w:t>
      </w:r>
      <w:r>
        <w:rPr>
          <w:rFonts w:eastAsia="等线"/>
          <w:lang w:eastAsia="zh-CN"/>
        </w:rPr>
        <w:t xml:space="preserve"> and to </w:t>
      </w:r>
      <w:r w:rsidRPr="00A04154">
        <w:rPr>
          <w:rFonts w:eastAsia="GBK-HKST"/>
          <w:color w:val="000000"/>
          <w:szCs w:val="24"/>
        </w:rPr>
        <w:t>procuring a woman under 21 to have unlawful sexual intercourse</w:t>
      </w:r>
      <w:r>
        <w:rPr>
          <w:rFonts w:eastAsia="GBK-HKST"/>
          <w:color w:val="000000"/>
          <w:szCs w:val="24"/>
        </w:rPr>
        <w:t>;</w:t>
      </w:r>
      <w:r>
        <w:rPr>
          <w:rFonts w:eastAsia="等线"/>
          <w:lang w:eastAsia="zh-CN"/>
        </w:rPr>
        <w:t xml:space="preserve"> and </w:t>
      </w:r>
      <w:r w:rsidRPr="000E4604">
        <w:rPr>
          <w:rFonts w:eastAsia="等线"/>
          <w:i/>
          <w:lang w:eastAsia="zh-CN"/>
        </w:rPr>
        <w:t>R v Savage (No 3)</w:t>
      </w:r>
      <w:r w:rsidRPr="000E4604">
        <w:rPr>
          <w:rFonts w:eastAsia="等线"/>
          <w:lang w:eastAsia="zh-CN"/>
        </w:rPr>
        <w:t xml:space="preserve"> </w:t>
      </w:r>
      <w:r w:rsidRPr="00214C99">
        <w:rPr>
          <w:rFonts w:eastAsia="等线"/>
          <w:lang w:eastAsia="zh-CN"/>
        </w:rPr>
        <w:t>[1997] 2 HKC 768</w:t>
      </w:r>
      <w:r>
        <w:rPr>
          <w:rFonts w:eastAsia="等线"/>
          <w:lang w:eastAsia="zh-CN"/>
        </w:rPr>
        <w:t xml:space="preserve"> at 772, applying </w:t>
      </w:r>
      <w:r>
        <w:rPr>
          <w:rFonts w:eastAsia="等线"/>
          <w:i/>
          <w:lang w:eastAsia="zh-CN"/>
        </w:rPr>
        <w:t xml:space="preserve">Prince </w:t>
      </w:r>
      <w:r>
        <w:rPr>
          <w:rFonts w:eastAsia="等线"/>
          <w:lang w:eastAsia="zh-CN"/>
        </w:rPr>
        <w:t>in a case involving gross indecency with or towards a child under the age of 16.</w:t>
      </w:r>
    </w:p>
  </w:footnote>
  <w:footnote w:id="19">
    <w:p w:rsidR="00935532" w:rsidRDefault="00935532" w:rsidP="00C45E2F">
      <w:pPr>
        <w:pStyle w:val="FootnoteText"/>
        <w:tabs>
          <w:tab w:val="left" w:pos="360"/>
        </w:tabs>
        <w:ind w:left="360" w:hanging="360"/>
        <w:jc w:val="both"/>
      </w:pPr>
      <w:r>
        <w:rPr>
          <w:rStyle w:val="FootnoteReference"/>
        </w:rPr>
        <w:footnoteRef/>
      </w:r>
      <w:r>
        <w:t xml:space="preserve"> </w:t>
      </w:r>
      <w:r>
        <w:tab/>
      </w:r>
      <w:r w:rsidRPr="007950AD">
        <w:t>[2005] 1 HKLRD 443</w:t>
      </w:r>
      <w:r>
        <w:t xml:space="preserve"> at §25.</w:t>
      </w:r>
    </w:p>
  </w:footnote>
  <w:footnote w:id="20">
    <w:p w:rsidR="00935532" w:rsidRDefault="00935532" w:rsidP="00C45E2F">
      <w:pPr>
        <w:pStyle w:val="FootnoteText"/>
        <w:tabs>
          <w:tab w:val="left" w:pos="360"/>
        </w:tabs>
        <w:ind w:left="360" w:hanging="360"/>
        <w:jc w:val="both"/>
      </w:pPr>
      <w:r>
        <w:rPr>
          <w:rStyle w:val="FootnoteReference"/>
        </w:rPr>
        <w:footnoteRef/>
      </w:r>
      <w:r>
        <w:t xml:space="preserve"> </w:t>
      </w:r>
      <w:r>
        <w:tab/>
        <w:t>I</w:t>
      </w:r>
      <w:r w:rsidRPr="003703C7">
        <w:t xml:space="preserve">ncluding the Privy Council’s decision in </w:t>
      </w:r>
      <w:r w:rsidRPr="003703C7">
        <w:rPr>
          <w:i/>
        </w:rPr>
        <w:t>Gammon (HK) Ltd v Attorney General of Hong Kong</w:t>
      </w:r>
      <w:r w:rsidRPr="003703C7">
        <w:t xml:space="preserve"> </w:t>
      </w:r>
      <w:r w:rsidRPr="00214C99">
        <w:rPr>
          <w:rFonts w:eastAsia="等线"/>
          <w:lang w:eastAsia="zh-CN"/>
        </w:rPr>
        <w:t>[1985] AC 1</w:t>
      </w:r>
      <w:r>
        <w:rPr>
          <w:rFonts w:eastAsia="等线"/>
          <w:lang w:eastAsia="zh-CN"/>
        </w:rPr>
        <w:t>.</w:t>
      </w:r>
    </w:p>
  </w:footnote>
  <w:footnote w:id="21">
    <w:p w:rsidR="00935532" w:rsidRDefault="00935532" w:rsidP="00C45E2F">
      <w:pPr>
        <w:pStyle w:val="FootnoteText"/>
        <w:tabs>
          <w:tab w:val="left" w:pos="360"/>
        </w:tabs>
        <w:ind w:left="360" w:hanging="360"/>
        <w:jc w:val="both"/>
      </w:pPr>
      <w:r>
        <w:rPr>
          <w:rStyle w:val="FootnoteReference"/>
        </w:rPr>
        <w:footnoteRef/>
      </w:r>
      <w:r>
        <w:t xml:space="preserve"> </w:t>
      </w:r>
      <w:r>
        <w:tab/>
      </w:r>
      <w:r w:rsidRPr="007950AD">
        <w:rPr>
          <w:i/>
        </w:rPr>
        <w:t>HKSAR v So Wai Lun</w:t>
      </w:r>
      <w:r w:rsidRPr="007950AD">
        <w:t xml:space="preserve"> [2005] 1 HKLRD 443</w:t>
      </w:r>
      <w:r>
        <w:t xml:space="preserve"> at §12(2).</w:t>
      </w:r>
    </w:p>
  </w:footnote>
  <w:footnote w:id="22">
    <w:p w:rsidR="00935532" w:rsidRPr="00C3733D" w:rsidRDefault="00935532" w:rsidP="00C45E2F">
      <w:pPr>
        <w:pStyle w:val="FootnoteText"/>
        <w:tabs>
          <w:tab w:val="left" w:pos="360"/>
        </w:tabs>
        <w:ind w:left="360" w:hanging="360"/>
        <w:jc w:val="both"/>
      </w:pPr>
      <w:r>
        <w:rPr>
          <w:rStyle w:val="FootnoteReference"/>
        </w:rPr>
        <w:footnoteRef/>
      </w:r>
      <w:r>
        <w:t xml:space="preserve"> </w:t>
      </w:r>
      <w:r>
        <w:tab/>
      </w:r>
      <w:r w:rsidRPr="00C3733D">
        <w:rPr>
          <w:i/>
        </w:rPr>
        <w:t>Sweet v Parsley</w:t>
      </w:r>
      <w:r w:rsidRPr="00C3733D">
        <w:t xml:space="preserve"> [1970] AC 132</w:t>
      </w:r>
      <w:r>
        <w:t xml:space="preserve"> at 148 and 152; </w:t>
      </w:r>
      <w:r w:rsidRPr="003703C7">
        <w:rPr>
          <w:i/>
        </w:rPr>
        <w:t>Gammon (HK) Ltd v Attorney General of Hong Kong</w:t>
      </w:r>
      <w:r w:rsidRPr="003703C7">
        <w:t xml:space="preserve"> </w:t>
      </w:r>
      <w:r w:rsidRPr="00214C99">
        <w:rPr>
          <w:rFonts w:eastAsia="等线"/>
          <w:lang w:eastAsia="zh-CN"/>
        </w:rPr>
        <w:t>[1985] AC 1</w:t>
      </w:r>
      <w:r>
        <w:rPr>
          <w:rFonts w:eastAsia="等线"/>
          <w:lang w:eastAsia="zh-CN"/>
        </w:rPr>
        <w:t xml:space="preserve"> at 14; </w:t>
      </w:r>
      <w:r w:rsidRPr="00214C99">
        <w:rPr>
          <w:rFonts w:eastAsia="等线"/>
          <w:i/>
          <w:lang w:eastAsia="zh-CN"/>
        </w:rPr>
        <w:t xml:space="preserve">B (A minor) v DPP </w:t>
      </w:r>
      <w:r w:rsidRPr="00214C99">
        <w:rPr>
          <w:rFonts w:eastAsia="等线"/>
          <w:lang w:eastAsia="zh-CN"/>
        </w:rPr>
        <w:t>[2000] 2 AC 428</w:t>
      </w:r>
      <w:r>
        <w:rPr>
          <w:rFonts w:eastAsia="等线"/>
          <w:lang w:eastAsia="zh-CN"/>
        </w:rPr>
        <w:t xml:space="preserve"> at 460; </w:t>
      </w:r>
      <w:r w:rsidRPr="00214C99">
        <w:rPr>
          <w:rFonts w:eastAsia="宋体"/>
          <w:i/>
          <w:lang w:eastAsia="zh-CN"/>
        </w:rPr>
        <w:t xml:space="preserve">R v K </w:t>
      </w:r>
      <w:r w:rsidRPr="00214C99">
        <w:rPr>
          <w:rFonts w:eastAsia="宋体"/>
          <w:lang w:eastAsia="zh-CN"/>
        </w:rPr>
        <w:t>[2002] 1 AC 462</w:t>
      </w:r>
      <w:r>
        <w:rPr>
          <w:rFonts w:eastAsia="宋体"/>
          <w:lang w:eastAsia="zh-CN"/>
        </w:rPr>
        <w:t xml:space="preserve"> at 471-472, 477.</w:t>
      </w:r>
    </w:p>
  </w:footnote>
  <w:footnote w:id="23">
    <w:p w:rsidR="00935532" w:rsidRPr="0024357B" w:rsidRDefault="00935532" w:rsidP="00C45E2F">
      <w:pPr>
        <w:pStyle w:val="FootnoteText"/>
        <w:tabs>
          <w:tab w:val="left" w:pos="360"/>
        </w:tabs>
        <w:ind w:left="360" w:hanging="360"/>
        <w:jc w:val="both"/>
        <w:rPr>
          <w:color w:val="000000"/>
          <w:szCs w:val="24"/>
        </w:rPr>
      </w:pPr>
      <w:r>
        <w:rPr>
          <w:rStyle w:val="FootnoteReference"/>
        </w:rPr>
        <w:footnoteRef/>
      </w:r>
      <w:r>
        <w:t xml:space="preserve"> </w:t>
      </w:r>
      <w:r>
        <w:tab/>
      </w:r>
      <w:r w:rsidRPr="0040498A">
        <w:rPr>
          <w:i/>
        </w:rPr>
        <w:t>B (A minor) v DPP</w:t>
      </w:r>
      <w:r w:rsidRPr="0040498A">
        <w:t xml:space="preserve"> [2000] 2 AC 428</w:t>
      </w:r>
      <w:r>
        <w:t xml:space="preserve"> per Lord Steyn at 470, citing Lord Hoffmann in </w:t>
      </w:r>
      <w:r w:rsidRPr="0040498A">
        <w:rPr>
          <w:i/>
        </w:rPr>
        <w:t>R v Secretary of State for the Home Department, Ex parte Simms</w:t>
      </w:r>
      <w:r w:rsidRPr="0040498A">
        <w:t xml:space="preserve"> [2000] 2 AC 115 </w:t>
      </w:r>
      <w:r>
        <w:t>at 131: “</w:t>
      </w:r>
      <w:r w:rsidRPr="00F6241E">
        <w:rPr>
          <w:color w:val="000000"/>
          <w:szCs w:val="24"/>
        </w:rPr>
        <w:t>Fundamental rights cannot be overridden by general or ambiguous words. This is because there is too great a risk that the full implications of their unqualified meaning may have passed unnoticed in the democratic process. In the absence of express language or necessary implication to the contrary, the courts therefore presume that even the most general words were intended to be subject to the basic rights of the individual</w:t>
      </w:r>
      <w:r>
        <w:rPr>
          <w:color w:val="000000"/>
          <w:szCs w:val="24"/>
        </w:rPr>
        <w:t xml:space="preserve">.”  See also </w:t>
      </w:r>
      <w:r w:rsidRPr="0024357B">
        <w:rPr>
          <w:i/>
          <w:color w:val="000000"/>
          <w:szCs w:val="24"/>
        </w:rPr>
        <w:t>R v K</w:t>
      </w:r>
      <w:r w:rsidRPr="0024357B">
        <w:rPr>
          <w:color w:val="000000"/>
          <w:szCs w:val="24"/>
        </w:rPr>
        <w:t xml:space="preserve"> [2002] 1 AC 462</w:t>
      </w:r>
      <w:r>
        <w:rPr>
          <w:color w:val="000000"/>
          <w:szCs w:val="24"/>
        </w:rPr>
        <w:t xml:space="preserve"> at 477.</w:t>
      </w:r>
    </w:p>
  </w:footnote>
  <w:footnote w:id="24">
    <w:p w:rsidR="00935532" w:rsidRPr="0024357B" w:rsidRDefault="00935532" w:rsidP="00C45E2F">
      <w:pPr>
        <w:pStyle w:val="FootnoteText"/>
        <w:tabs>
          <w:tab w:val="left" w:pos="360"/>
        </w:tabs>
        <w:ind w:left="360" w:hanging="360"/>
        <w:jc w:val="both"/>
        <w:rPr>
          <w:rFonts w:eastAsia="等线"/>
          <w:lang w:eastAsia="zh-CN"/>
        </w:rPr>
      </w:pPr>
      <w:r>
        <w:rPr>
          <w:rStyle w:val="FootnoteReference"/>
        </w:rPr>
        <w:footnoteRef/>
      </w:r>
      <w:r>
        <w:t xml:space="preserve"> </w:t>
      </w:r>
      <w:r>
        <w:tab/>
      </w:r>
      <w:r w:rsidRPr="00214C99">
        <w:rPr>
          <w:rFonts w:eastAsia="等线"/>
          <w:i/>
          <w:lang w:eastAsia="zh-CN"/>
        </w:rPr>
        <w:t xml:space="preserve">Sweet v Parsley </w:t>
      </w:r>
      <w:r w:rsidRPr="00214C99">
        <w:rPr>
          <w:rFonts w:eastAsia="等线"/>
          <w:lang w:eastAsia="zh-CN"/>
        </w:rPr>
        <w:t>[1970] AC 132</w:t>
      </w:r>
      <w:r>
        <w:rPr>
          <w:rFonts w:eastAsia="等线"/>
          <w:lang w:eastAsia="zh-CN"/>
        </w:rPr>
        <w:t xml:space="preserve"> at 149 and 165.  It has however been stressed that the presumption of mens rea is not dependent on there being any ambiguity and operates to supplement the text: </w:t>
      </w:r>
      <w:r w:rsidRPr="00214C99">
        <w:rPr>
          <w:rFonts w:eastAsia="等线"/>
          <w:i/>
          <w:lang w:eastAsia="zh-CN"/>
        </w:rPr>
        <w:t xml:space="preserve">B (A minor) v DPP </w:t>
      </w:r>
      <w:r w:rsidRPr="00214C99">
        <w:rPr>
          <w:rFonts w:eastAsia="等线"/>
          <w:lang w:eastAsia="zh-CN"/>
        </w:rPr>
        <w:t>[2000] 2 AC 428</w:t>
      </w:r>
      <w:r>
        <w:rPr>
          <w:rFonts w:eastAsia="等线"/>
          <w:lang w:eastAsia="zh-CN"/>
        </w:rPr>
        <w:t xml:space="preserve"> at 470; </w:t>
      </w:r>
      <w:r w:rsidRPr="00214C99">
        <w:rPr>
          <w:rFonts w:eastAsia="宋体"/>
          <w:i/>
          <w:lang w:eastAsia="zh-CN"/>
        </w:rPr>
        <w:t xml:space="preserve">R v K </w:t>
      </w:r>
      <w:r w:rsidRPr="00214C99">
        <w:rPr>
          <w:rFonts w:eastAsia="宋体"/>
          <w:lang w:eastAsia="zh-CN"/>
        </w:rPr>
        <w:t>[2002] 1 AC 46</w:t>
      </w:r>
      <w:r>
        <w:rPr>
          <w:rFonts w:eastAsia="宋体"/>
          <w:lang w:eastAsia="zh-CN"/>
        </w:rPr>
        <w:t>2 at 477.</w:t>
      </w:r>
    </w:p>
  </w:footnote>
  <w:footnote w:id="25">
    <w:p w:rsidR="00935532" w:rsidRDefault="00935532" w:rsidP="00C45E2F">
      <w:pPr>
        <w:pStyle w:val="FootnoteText"/>
        <w:tabs>
          <w:tab w:val="left" w:pos="360"/>
        </w:tabs>
        <w:ind w:left="360" w:hanging="360"/>
        <w:jc w:val="both"/>
      </w:pPr>
      <w:r>
        <w:rPr>
          <w:rStyle w:val="FootnoteReference"/>
        </w:rPr>
        <w:footnoteRef/>
      </w:r>
      <w:r>
        <w:t xml:space="preserve"> </w:t>
      </w:r>
      <w:r>
        <w:tab/>
      </w:r>
      <w:r w:rsidRPr="00214C99">
        <w:rPr>
          <w:rFonts w:eastAsia="宋体"/>
          <w:lang w:eastAsia="zh-CN"/>
        </w:rPr>
        <w:t>(2010) 13 HKCFAR 142</w:t>
      </w:r>
      <w:r>
        <w:rPr>
          <w:rFonts w:eastAsia="宋体"/>
          <w:lang w:eastAsia="zh-CN"/>
        </w:rPr>
        <w:t xml:space="preserve"> at §45.</w:t>
      </w:r>
    </w:p>
  </w:footnote>
  <w:footnote w:id="26">
    <w:p w:rsidR="00935532" w:rsidRPr="009762A7" w:rsidRDefault="00935532" w:rsidP="00C45E2F">
      <w:pPr>
        <w:pStyle w:val="FootnoteText"/>
        <w:tabs>
          <w:tab w:val="left" w:pos="360"/>
        </w:tabs>
        <w:ind w:left="360" w:hanging="360"/>
        <w:jc w:val="both"/>
      </w:pPr>
      <w:r>
        <w:rPr>
          <w:rStyle w:val="FootnoteReference"/>
        </w:rPr>
        <w:footnoteRef/>
      </w:r>
      <w:r>
        <w:t xml:space="preserve"> </w:t>
      </w:r>
      <w:r>
        <w:tab/>
        <w:t xml:space="preserve">Discussed in </w:t>
      </w:r>
      <w:r w:rsidRPr="003A2455">
        <w:rPr>
          <w:rFonts w:eastAsia="宋体"/>
          <w:i/>
          <w:szCs w:val="28"/>
          <w:lang w:eastAsia="zh-CN"/>
        </w:rPr>
        <w:t>Hin Lin Yee v HKSAR</w:t>
      </w:r>
      <w:r>
        <w:rPr>
          <w:rFonts w:eastAsia="宋体"/>
          <w:i/>
          <w:szCs w:val="28"/>
          <w:lang w:eastAsia="zh-CN"/>
        </w:rPr>
        <w:t xml:space="preserve"> </w:t>
      </w:r>
      <w:r w:rsidRPr="00214C99">
        <w:rPr>
          <w:rFonts w:eastAsia="宋体"/>
          <w:lang w:eastAsia="zh-CN"/>
        </w:rPr>
        <w:t>(2010) 13 HKCFAR 142</w:t>
      </w:r>
      <w:r>
        <w:rPr>
          <w:rFonts w:eastAsia="宋体"/>
          <w:lang w:eastAsia="zh-CN"/>
        </w:rPr>
        <w:t xml:space="preserve"> at §§55-61.</w:t>
      </w:r>
    </w:p>
  </w:footnote>
  <w:footnote w:id="27">
    <w:p w:rsidR="00935532" w:rsidRDefault="00935532" w:rsidP="00C45E2F">
      <w:pPr>
        <w:pStyle w:val="FootnoteText"/>
        <w:tabs>
          <w:tab w:val="left" w:pos="360"/>
        </w:tabs>
        <w:ind w:left="360" w:hanging="360"/>
        <w:jc w:val="both"/>
      </w:pPr>
      <w:r>
        <w:rPr>
          <w:rStyle w:val="FootnoteReference"/>
        </w:rPr>
        <w:footnoteRef/>
      </w:r>
      <w:r>
        <w:t xml:space="preserve"> </w:t>
      </w:r>
      <w:r>
        <w:tab/>
      </w:r>
      <w:r w:rsidRPr="00214C99">
        <w:rPr>
          <w:rFonts w:eastAsia="等线"/>
          <w:i/>
          <w:lang w:eastAsia="zh-CN"/>
        </w:rPr>
        <w:t xml:space="preserve">Sweet v Parsley </w:t>
      </w:r>
      <w:r w:rsidRPr="00214C99">
        <w:rPr>
          <w:rFonts w:eastAsia="等线"/>
          <w:lang w:eastAsia="zh-CN"/>
        </w:rPr>
        <w:t>[1970] AC 13</w:t>
      </w:r>
      <w:r>
        <w:rPr>
          <w:rFonts w:eastAsia="等线"/>
          <w:lang w:eastAsia="zh-CN"/>
        </w:rPr>
        <w:t>2 p</w:t>
      </w:r>
      <w:r>
        <w:t xml:space="preserve">er Lord Reid at </w:t>
      </w:r>
      <w:r w:rsidR="00C40C61">
        <w:rPr>
          <w:rFonts w:eastAsia="等线"/>
          <w:lang w:eastAsia="zh-CN"/>
        </w:rPr>
        <w:t>150.  See also at 157</w:t>
      </w:r>
      <w:r>
        <w:rPr>
          <w:rFonts w:eastAsia="等线"/>
          <w:lang w:eastAsia="zh-CN"/>
        </w:rPr>
        <w:t xml:space="preserve"> per Lord Pearce and at 163-164 per Lord Diplock.</w:t>
      </w:r>
    </w:p>
  </w:footnote>
  <w:footnote w:id="28">
    <w:p w:rsidR="00935532" w:rsidRPr="009762A7" w:rsidRDefault="00935532" w:rsidP="00C45E2F">
      <w:pPr>
        <w:pStyle w:val="FootnoteText"/>
        <w:tabs>
          <w:tab w:val="left" w:pos="360"/>
        </w:tabs>
        <w:ind w:left="360" w:hanging="360"/>
        <w:jc w:val="both"/>
      </w:pPr>
      <w:r>
        <w:rPr>
          <w:rStyle w:val="FootnoteReference"/>
        </w:rPr>
        <w:footnoteRef/>
      </w:r>
      <w:r>
        <w:t xml:space="preserve"> </w:t>
      </w:r>
      <w:r>
        <w:tab/>
      </w:r>
      <w:r w:rsidRPr="003F27A6">
        <w:rPr>
          <w:color w:val="000000"/>
          <w:szCs w:val="24"/>
        </w:rPr>
        <w:t>[1935] AC 462</w:t>
      </w:r>
      <w:r>
        <w:rPr>
          <w:color w:val="000000"/>
          <w:szCs w:val="24"/>
        </w:rPr>
        <w:t xml:space="preserve">, as discussed in </w:t>
      </w:r>
      <w:r w:rsidRPr="003A2455">
        <w:rPr>
          <w:rFonts w:eastAsia="宋体"/>
          <w:i/>
          <w:szCs w:val="28"/>
          <w:lang w:eastAsia="zh-CN"/>
        </w:rPr>
        <w:t>Hin Lin Yee v HKSAR</w:t>
      </w:r>
      <w:r>
        <w:rPr>
          <w:rFonts w:eastAsia="宋体"/>
          <w:szCs w:val="28"/>
          <w:lang w:eastAsia="zh-CN"/>
        </w:rPr>
        <w:t xml:space="preserve"> at §§56-59 and 108-111. </w:t>
      </w:r>
    </w:p>
  </w:footnote>
  <w:footnote w:id="29">
    <w:p w:rsidR="00935532" w:rsidRDefault="00935532" w:rsidP="00C45E2F">
      <w:pPr>
        <w:pStyle w:val="FootnoteText"/>
        <w:tabs>
          <w:tab w:val="left" w:pos="360"/>
        </w:tabs>
        <w:ind w:left="360" w:hanging="360"/>
        <w:jc w:val="both"/>
      </w:pPr>
      <w:r>
        <w:rPr>
          <w:rStyle w:val="FootnoteReference"/>
        </w:rPr>
        <w:footnoteRef/>
      </w:r>
      <w:r>
        <w:t xml:space="preserve"> </w:t>
      </w:r>
      <w:r>
        <w:tab/>
      </w:r>
      <w:r w:rsidRPr="00B0285A">
        <w:t>(2010) 13 HKCFAR 142</w:t>
      </w:r>
      <w:r>
        <w:t>.</w:t>
      </w:r>
    </w:p>
  </w:footnote>
  <w:footnote w:id="30">
    <w:p w:rsidR="00935532" w:rsidRDefault="00935532" w:rsidP="00265D36">
      <w:pPr>
        <w:pStyle w:val="FootnoteText"/>
        <w:tabs>
          <w:tab w:val="left" w:pos="360"/>
        </w:tabs>
        <w:ind w:left="360" w:hanging="360"/>
        <w:jc w:val="both"/>
      </w:pPr>
      <w:r>
        <w:rPr>
          <w:rStyle w:val="FootnoteReference"/>
        </w:rPr>
        <w:footnoteRef/>
      </w:r>
      <w:r>
        <w:t xml:space="preserve"> </w:t>
      </w:r>
      <w:r>
        <w:tab/>
        <w:t xml:space="preserve">In breach of </w:t>
      </w:r>
      <w:r w:rsidRPr="00214C99">
        <w:t>section 54(1) of the Public Health and Municipal Services Ordinance</w:t>
      </w:r>
      <w:r>
        <w:t xml:space="preserve"> (Cap 132) </w:t>
      </w:r>
      <w:r w:rsidRPr="00967AD3">
        <w:t>punishable on summary conviction by a maximum fine of $50,000 and imprisonment for 6 months</w:t>
      </w:r>
      <w:r>
        <w:t>.</w:t>
      </w:r>
    </w:p>
  </w:footnote>
  <w:footnote w:id="31">
    <w:p w:rsidR="00935532" w:rsidRDefault="00935532" w:rsidP="00C45E2F">
      <w:pPr>
        <w:pStyle w:val="FootnoteText"/>
        <w:tabs>
          <w:tab w:val="left" w:pos="360"/>
        </w:tabs>
        <w:ind w:left="360" w:hanging="360"/>
      </w:pPr>
      <w:r>
        <w:rPr>
          <w:rStyle w:val="FootnoteReference"/>
        </w:rPr>
        <w:footnoteRef/>
      </w:r>
      <w:r>
        <w:t xml:space="preserve"> </w:t>
      </w:r>
      <w:r>
        <w:tab/>
      </w:r>
      <w:r w:rsidRPr="00214C99">
        <w:rPr>
          <w:rFonts w:eastAsia="宋体"/>
          <w:lang w:eastAsia="zh-CN"/>
        </w:rPr>
        <w:t>(2013) 16 HKCFAR</w:t>
      </w:r>
      <w:r w:rsidR="00C40C61">
        <w:rPr>
          <w:rFonts w:eastAsia="宋体"/>
          <w:lang w:eastAsia="zh-CN"/>
        </w:rPr>
        <w:t xml:space="preserve"> 195</w:t>
      </w:r>
      <w:r>
        <w:rPr>
          <w:rFonts w:eastAsia="宋体"/>
          <w:lang w:eastAsia="zh-CN"/>
        </w:rPr>
        <w:t>.</w:t>
      </w:r>
    </w:p>
  </w:footnote>
  <w:footnote w:id="32">
    <w:p w:rsidR="00935532" w:rsidRDefault="00935532" w:rsidP="00265D36">
      <w:pPr>
        <w:pStyle w:val="FootnoteText"/>
        <w:tabs>
          <w:tab w:val="left" w:pos="360"/>
        </w:tabs>
        <w:ind w:left="360" w:hanging="360"/>
        <w:jc w:val="both"/>
      </w:pPr>
      <w:r>
        <w:rPr>
          <w:rStyle w:val="FootnoteReference"/>
        </w:rPr>
        <w:footnoteRef/>
      </w:r>
      <w:r>
        <w:t xml:space="preserve"> </w:t>
      </w:r>
      <w:r>
        <w:tab/>
        <w:t>I</w:t>
      </w:r>
      <w:r w:rsidRPr="00D41F83">
        <w:t>n contravention of s</w:t>
      </w:r>
      <w:r>
        <w:t xml:space="preserve"> </w:t>
      </w:r>
      <w:r w:rsidRPr="00D41F83">
        <w:t xml:space="preserve">72 of the Shipping </w:t>
      </w:r>
      <w:r>
        <w:t xml:space="preserve">and Port Control Ordinance (Cap </w:t>
      </w:r>
      <w:r w:rsidRPr="00D41F83">
        <w:t>313)</w:t>
      </w:r>
      <w:r>
        <w:t xml:space="preserve"> punishable on conviction on indictment by a fine of $200,000 and imprisonment for 4 years; and on summary conviction by a fine of $200,000 and imprisonment for 2 years.  The Court also noted that conviction was </w:t>
      </w:r>
      <w:r w:rsidRPr="00967AD3">
        <w:t>likely to have serious professional ramifications for the mariners involved</w:t>
      </w:r>
      <w:r w:rsidR="006467A9">
        <w:t xml:space="preserve">: </w:t>
      </w:r>
      <w:r w:rsidR="006467A9" w:rsidRPr="006467A9">
        <w:rPr>
          <w:i/>
        </w:rPr>
        <w:t>Ibid</w:t>
      </w:r>
      <w:r w:rsidR="006467A9">
        <w:t xml:space="preserve"> §86.</w:t>
      </w:r>
    </w:p>
  </w:footnote>
  <w:footnote w:id="33">
    <w:p w:rsidR="00935532" w:rsidRDefault="00935532" w:rsidP="00C45E2F">
      <w:pPr>
        <w:pStyle w:val="FootnoteText"/>
        <w:tabs>
          <w:tab w:val="left" w:pos="360"/>
        </w:tabs>
        <w:ind w:left="360" w:hanging="360"/>
      </w:pPr>
      <w:r>
        <w:rPr>
          <w:rStyle w:val="FootnoteReference"/>
        </w:rPr>
        <w:footnoteRef/>
      </w:r>
      <w:r>
        <w:t xml:space="preserve"> </w:t>
      </w:r>
      <w:r>
        <w:tab/>
      </w:r>
      <w:r w:rsidRPr="00214C99">
        <w:rPr>
          <w:rFonts w:eastAsia="宋体"/>
          <w:lang w:eastAsia="zh-CN"/>
        </w:rPr>
        <w:t>(2013) 16 HKCFAR</w:t>
      </w:r>
      <w:r w:rsidR="00C40C61">
        <w:rPr>
          <w:rFonts w:eastAsia="宋体"/>
          <w:lang w:eastAsia="zh-CN"/>
        </w:rPr>
        <w:t xml:space="preserve"> 195</w:t>
      </w:r>
      <w:r>
        <w:t xml:space="preserve"> at §83.</w:t>
      </w:r>
    </w:p>
  </w:footnote>
  <w:footnote w:id="34">
    <w:p w:rsidR="00935532" w:rsidRPr="00BE0E52" w:rsidRDefault="00935532" w:rsidP="00C45E2F">
      <w:pPr>
        <w:pStyle w:val="FootnoteText"/>
        <w:tabs>
          <w:tab w:val="left" w:pos="360"/>
        </w:tabs>
        <w:ind w:left="360" w:hanging="360"/>
      </w:pPr>
      <w:r>
        <w:rPr>
          <w:rStyle w:val="FootnoteReference"/>
        </w:rPr>
        <w:footnoteRef/>
      </w:r>
      <w:r>
        <w:t xml:space="preserve"> </w:t>
      </w:r>
      <w:r>
        <w:tab/>
      </w:r>
      <w:r>
        <w:rPr>
          <w:i/>
        </w:rPr>
        <w:t>Ibid</w:t>
      </w:r>
      <w:r>
        <w:t xml:space="preserve"> at §90.</w:t>
      </w:r>
    </w:p>
  </w:footnote>
  <w:footnote w:id="35">
    <w:p w:rsidR="00935532" w:rsidRDefault="00935532" w:rsidP="00C45E2F">
      <w:pPr>
        <w:pStyle w:val="FootnoteText"/>
        <w:tabs>
          <w:tab w:val="left" w:pos="360"/>
        </w:tabs>
        <w:ind w:left="360" w:hanging="360"/>
      </w:pPr>
      <w:r>
        <w:rPr>
          <w:rStyle w:val="FootnoteReference"/>
        </w:rPr>
        <w:footnoteRef/>
      </w:r>
      <w:r>
        <w:t xml:space="preserve"> </w:t>
      </w:r>
      <w:r>
        <w:tab/>
        <w:t>For example</w:t>
      </w:r>
      <w:r w:rsidRPr="0089759C">
        <w:rPr>
          <w:rFonts w:eastAsia="等线"/>
          <w:lang w:eastAsia="zh-CN"/>
        </w:rPr>
        <w:t xml:space="preserve"> </w:t>
      </w:r>
      <w:r>
        <w:rPr>
          <w:rFonts w:eastAsia="等线"/>
          <w:lang w:eastAsia="zh-CN"/>
        </w:rPr>
        <w:t xml:space="preserve">by </w:t>
      </w:r>
      <w:r>
        <w:t xml:space="preserve">Lord Nicholls of Birkenhead in </w:t>
      </w:r>
      <w:r w:rsidRPr="00E36C7C">
        <w:rPr>
          <w:rFonts w:eastAsia="等线"/>
          <w:i/>
          <w:szCs w:val="28"/>
          <w:lang w:eastAsia="zh-CN"/>
        </w:rPr>
        <w:t>B (A minor) v DPP</w:t>
      </w:r>
      <w:r w:rsidRPr="00214C99">
        <w:rPr>
          <w:rFonts w:eastAsia="等线"/>
          <w:lang w:eastAsia="zh-CN"/>
        </w:rPr>
        <w:t xml:space="preserve"> [2000] 2 AC 42</w:t>
      </w:r>
      <w:r>
        <w:rPr>
          <w:rFonts w:eastAsia="等线"/>
          <w:lang w:eastAsia="zh-CN"/>
        </w:rPr>
        <w:t>8 at 462.</w:t>
      </w:r>
    </w:p>
  </w:footnote>
  <w:footnote w:id="36">
    <w:p w:rsidR="00935532" w:rsidRDefault="00935532" w:rsidP="00C45E2F">
      <w:pPr>
        <w:pStyle w:val="FootnoteText"/>
        <w:tabs>
          <w:tab w:val="left" w:pos="360"/>
        </w:tabs>
        <w:ind w:left="360" w:hanging="360"/>
      </w:pPr>
      <w:r>
        <w:rPr>
          <w:rStyle w:val="FootnoteReference"/>
        </w:rPr>
        <w:footnoteRef/>
      </w:r>
      <w:r>
        <w:t xml:space="preserve"> </w:t>
      </w:r>
      <w:r>
        <w:tab/>
      </w:r>
      <w:r w:rsidRPr="00214C99">
        <w:rPr>
          <w:rFonts w:eastAsia="等线"/>
          <w:lang w:eastAsia="zh-CN"/>
        </w:rPr>
        <w:t xml:space="preserve">[1970] AC 132 </w:t>
      </w:r>
      <w:r>
        <w:rPr>
          <w:rFonts w:eastAsia="等线"/>
          <w:lang w:eastAsia="zh-CN"/>
        </w:rPr>
        <w:t>a</w:t>
      </w:r>
      <w:r>
        <w:t>t 150.</w:t>
      </w:r>
    </w:p>
  </w:footnote>
  <w:footnote w:id="37">
    <w:p w:rsidR="00935532" w:rsidRDefault="00935532" w:rsidP="00C45E2F">
      <w:pPr>
        <w:pStyle w:val="FootnoteText"/>
        <w:tabs>
          <w:tab w:val="left" w:pos="360"/>
        </w:tabs>
      </w:pPr>
      <w:r>
        <w:rPr>
          <w:rStyle w:val="FootnoteReference"/>
        </w:rPr>
        <w:footnoteRef/>
      </w:r>
      <w:r>
        <w:t xml:space="preserve"> </w:t>
      </w:r>
      <w:r>
        <w:tab/>
      </w:r>
      <w:r w:rsidRPr="00AD3A55">
        <w:rPr>
          <w:i/>
        </w:rPr>
        <w:t>R v Court</w:t>
      </w:r>
      <w:r w:rsidRPr="00214C99">
        <w:t xml:space="preserve"> [1989] AC 28</w:t>
      </w:r>
      <w:r>
        <w:t xml:space="preserve"> at 33-34.</w:t>
      </w:r>
    </w:p>
  </w:footnote>
  <w:footnote w:id="38">
    <w:p w:rsidR="00935532" w:rsidRPr="00AD3A55" w:rsidRDefault="00935532" w:rsidP="00C45E2F">
      <w:pPr>
        <w:pStyle w:val="FootnoteText"/>
        <w:tabs>
          <w:tab w:val="left" w:pos="360"/>
        </w:tabs>
      </w:pPr>
      <w:r>
        <w:rPr>
          <w:rStyle w:val="FootnoteReference"/>
        </w:rPr>
        <w:footnoteRef/>
      </w:r>
      <w:r>
        <w:t xml:space="preserve"> </w:t>
      </w:r>
      <w:r>
        <w:tab/>
      </w:r>
      <w:r>
        <w:rPr>
          <w:i/>
        </w:rPr>
        <w:t>Ibid</w:t>
      </w:r>
      <w:r>
        <w:t xml:space="preserve"> at 42.</w:t>
      </w:r>
    </w:p>
  </w:footnote>
  <w:footnote w:id="39">
    <w:p w:rsidR="00935532" w:rsidRPr="00AD3A55" w:rsidRDefault="00935532" w:rsidP="00C45E2F">
      <w:pPr>
        <w:pStyle w:val="FootnoteText"/>
        <w:tabs>
          <w:tab w:val="left" w:pos="360"/>
        </w:tabs>
      </w:pPr>
      <w:r>
        <w:rPr>
          <w:rStyle w:val="FootnoteReference"/>
        </w:rPr>
        <w:footnoteRef/>
      </w:r>
      <w:r>
        <w:t xml:space="preserve"> </w:t>
      </w:r>
      <w:r>
        <w:tab/>
      </w:r>
      <w:r>
        <w:rPr>
          <w:i/>
        </w:rPr>
        <w:t>Ibid</w:t>
      </w:r>
      <w:r w:rsidR="00C40C61">
        <w:t xml:space="preserve"> at 43</w:t>
      </w:r>
      <w:r>
        <w:t>.</w:t>
      </w:r>
    </w:p>
  </w:footnote>
  <w:footnote w:id="40">
    <w:p w:rsidR="00935532" w:rsidRDefault="00935532" w:rsidP="00C45E2F">
      <w:pPr>
        <w:pStyle w:val="FootnoteText"/>
        <w:tabs>
          <w:tab w:val="left" w:pos="360"/>
        </w:tabs>
      </w:pPr>
      <w:r>
        <w:rPr>
          <w:rStyle w:val="FootnoteReference"/>
        </w:rPr>
        <w:footnoteRef/>
      </w:r>
      <w:r>
        <w:t xml:space="preserve"> </w:t>
      </w:r>
      <w:r>
        <w:tab/>
        <w:t>Set out in Section H.2 below.</w:t>
      </w:r>
    </w:p>
  </w:footnote>
  <w:footnote w:id="41">
    <w:p w:rsidR="00935532" w:rsidRDefault="00935532" w:rsidP="009F00A4">
      <w:pPr>
        <w:pStyle w:val="FootnoteText"/>
        <w:tabs>
          <w:tab w:val="left" w:pos="360"/>
        </w:tabs>
        <w:ind w:left="360" w:hanging="360"/>
        <w:jc w:val="both"/>
      </w:pPr>
      <w:r>
        <w:rPr>
          <w:rStyle w:val="FootnoteReference"/>
        </w:rPr>
        <w:footnoteRef/>
      </w:r>
      <w:r>
        <w:t xml:space="preserve"> </w:t>
      </w:r>
      <w:r>
        <w:tab/>
      </w:r>
      <w:r w:rsidRPr="00F21C5E">
        <w:rPr>
          <w:i/>
        </w:rPr>
        <w:t>R v Court</w:t>
      </w:r>
      <w:r w:rsidRPr="00214C99">
        <w:t xml:space="preserve"> [1989] AC 28</w:t>
      </w:r>
      <w:r>
        <w:t xml:space="preserve"> at 41-42.</w:t>
      </w:r>
    </w:p>
  </w:footnote>
  <w:footnote w:id="42">
    <w:p w:rsidR="00935532" w:rsidRDefault="00935532" w:rsidP="009F00A4">
      <w:pPr>
        <w:pStyle w:val="FootnoteText"/>
        <w:tabs>
          <w:tab w:val="left" w:pos="360"/>
        </w:tabs>
        <w:ind w:left="360" w:hanging="360"/>
        <w:jc w:val="both"/>
      </w:pPr>
      <w:r>
        <w:rPr>
          <w:rStyle w:val="FootnoteReference"/>
        </w:rPr>
        <w:footnoteRef/>
      </w:r>
      <w:r>
        <w:t xml:space="preserve"> </w:t>
      </w:r>
      <w:r>
        <w:tab/>
      </w:r>
      <w:r>
        <w:rPr>
          <w:i/>
        </w:rPr>
        <w:t>Ibid</w:t>
      </w:r>
      <w:r>
        <w:t xml:space="preserve"> at 44;</w:t>
      </w:r>
      <w:r>
        <w:rPr>
          <w:i/>
        </w:rPr>
        <w:t xml:space="preserve"> </w:t>
      </w:r>
      <w:r w:rsidRPr="00214C99">
        <w:rPr>
          <w:rFonts w:eastAsia="宋体"/>
          <w:i/>
          <w:lang w:eastAsia="zh-CN"/>
        </w:rPr>
        <w:t xml:space="preserve">R v K </w:t>
      </w:r>
      <w:r w:rsidRPr="00214C99">
        <w:rPr>
          <w:rFonts w:eastAsia="宋体"/>
          <w:lang w:eastAsia="zh-CN"/>
        </w:rPr>
        <w:t>[2002] 1 AC 46</w:t>
      </w:r>
      <w:r>
        <w:rPr>
          <w:rFonts w:eastAsia="宋体"/>
          <w:lang w:eastAsia="zh-CN"/>
        </w:rPr>
        <w:t>2 at 468.</w:t>
      </w:r>
    </w:p>
  </w:footnote>
  <w:footnote w:id="43">
    <w:p w:rsidR="00935532" w:rsidRPr="001A7527" w:rsidRDefault="00935532" w:rsidP="009F00A4">
      <w:pPr>
        <w:pStyle w:val="FootnoteText"/>
        <w:tabs>
          <w:tab w:val="left" w:pos="360"/>
        </w:tabs>
        <w:ind w:left="360" w:hanging="360"/>
        <w:jc w:val="both"/>
      </w:pPr>
      <w:r>
        <w:rPr>
          <w:rStyle w:val="FootnoteReference"/>
        </w:rPr>
        <w:footnoteRef/>
      </w:r>
      <w:r>
        <w:tab/>
      </w:r>
      <w:r w:rsidRPr="001A7527">
        <w:rPr>
          <w:i/>
        </w:rPr>
        <w:t>R v May</w:t>
      </w:r>
      <w:r w:rsidRPr="001A7527">
        <w:t xml:space="preserve"> [1912] 3 KB 572</w:t>
      </w:r>
      <w:r>
        <w:t>.</w:t>
      </w:r>
    </w:p>
  </w:footnote>
  <w:footnote w:id="44">
    <w:p w:rsidR="00935532" w:rsidRPr="00F21C5E" w:rsidRDefault="00935532" w:rsidP="009F00A4">
      <w:pPr>
        <w:pStyle w:val="FootnoteText"/>
        <w:tabs>
          <w:tab w:val="left" w:pos="360"/>
        </w:tabs>
        <w:ind w:left="360" w:hanging="360"/>
        <w:jc w:val="both"/>
      </w:pPr>
      <w:r>
        <w:rPr>
          <w:rStyle w:val="FootnoteReference"/>
        </w:rPr>
        <w:footnoteRef/>
      </w:r>
      <w:r>
        <w:t xml:space="preserve"> </w:t>
      </w:r>
      <w:r>
        <w:tab/>
      </w:r>
      <w:r>
        <w:rPr>
          <w:i/>
        </w:rPr>
        <w:t>R v Court</w:t>
      </w:r>
      <w:r>
        <w:t xml:space="preserve"> [</w:t>
      </w:r>
      <w:r w:rsidRPr="00214C99">
        <w:t>1989] AC 28</w:t>
      </w:r>
      <w:r>
        <w:t xml:space="preserve"> at 42.  As Lord Ackner held, it is not necessary to prove that the person assaulted was aware of the circumstances of indecency or apprehended indecency, and an indecent assault can clearly be committed by the touching of someone who is asleep or unconscious.</w:t>
      </w:r>
    </w:p>
  </w:footnote>
  <w:footnote w:id="45">
    <w:p w:rsidR="00935532" w:rsidRDefault="00935532" w:rsidP="009F00A4">
      <w:pPr>
        <w:pStyle w:val="FootnoteText"/>
        <w:tabs>
          <w:tab w:val="left" w:pos="360"/>
        </w:tabs>
      </w:pPr>
      <w:r>
        <w:rPr>
          <w:rStyle w:val="FootnoteReference"/>
        </w:rPr>
        <w:footnoteRef/>
      </w:r>
      <w:r>
        <w:t xml:space="preserve"> </w:t>
      </w:r>
      <w:r>
        <w:tab/>
      </w:r>
      <w:r w:rsidRPr="00214C99">
        <w:rPr>
          <w:rFonts w:eastAsia="等线"/>
          <w:i/>
          <w:lang w:eastAsia="zh-CN"/>
        </w:rPr>
        <w:t>R v Kimber</w:t>
      </w:r>
      <w:r w:rsidRPr="00214C99">
        <w:rPr>
          <w:rFonts w:eastAsia="等线"/>
          <w:lang w:eastAsia="zh-CN"/>
        </w:rPr>
        <w:t xml:space="preserve"> </w:t>
      </w:r>
      <w:r>
        <w:rPr>
          <w:rFonts w:eastAsia="等线"/>
          <w:lang w:eastAsia="zh-CN"/>
        </w:rPr>
        <w:t>(</w:t>
      </w:r>
      <w:r w:rsidRPr="00214C99">
        <w:rPr>
          <w:rFonts w:eastAsia="等线"/>
          <w:lang w:eastAsia="zh-CN"/>
        </w:rPr>
        <w:t>1983</w:t>
      </w:r>
      <w:r>
        <w:rPr>
          <w:rFonts w:eastAsia="等线"/>
          <w:lang w:eastAsia="zh-CN"/>
        </w:rPr>
        <w:t>)</w:t>
      </w:r>
      <w:r w:rsidRPr="00214C99">
        <w:rPr>
          <w:rFonts w:eastAsia="等线"/>
          <w:lang w:eastAsia="zh-CN"/>
        </w:rPr>
        <w:t xml:space="preserve"> </w:t>
      </w:r>
      <w:r>
        <w:rPr>
          <w:rFonts w:eastAsia="等线"/>
          <w:lang w:eastAsia="zh-CN"/>
        </w:rPr>
        <w:t>77 Cr App R 225 at 229.</w:t>
      </w:r>
    </w:p>
  </w:footnote>
  <w:footnote w:id="46">
    <w:p w:rsidR="00935532" w:rsidRPr="0002404D" w:rsidRDefault="00935532" w:rsidP="009F00A4">
      <w:pPr>
        <w:pStyle w:val="FootnoteText"/>
        <w:tabs>
          <w:tab w:val="left" w:pos="360"/>
        </w:tabs>
      </w:pPr>
      <w:r>
        <w:rPr>
          <w:rStyle w:val="FootnoteReference"/>
        </w:rPr>
        <w:footnoteRef/>
      </w:r>
      <w:r>
        <w:t xml:space="preserve"> </w:t>
      </w:r>
      <w:r>
        <w:tab/>
      </w:r>
      <w:r>
        <w:rPr>
          <w:i/>
        </w:rPr>
        <w:t>Ibid</w:t>
      </w:r>
      <w:r>
        <w:t xml:space="preserve">. </w:t>
      </w:r>
    </w:p>
  </w:footnote>
  <w:footnote w:id="47">
    <w:p w:rsidR="00935532" w:rsidRDefault="00935532" w:rsidP="009F00A4">
      <w:pPr>
        <w:pStyle w:val="FootnoteText"/>
        <w:tabs>
          <w:tab w:val="left" w:pos="360"/>
        </w:tabs>
      </w:pPr>
      <w:r>
        <w:rPr>
          <w:rStyle w:val="FootnoteReference"/>
        </w:rPr>
        <w:footnoteRef/>
      </w:r>
      <w:r>
        <w:t xml:space="preserve"> </w:t>
      </w:r>
      <w:r>
        <w:tab/>
      </w:r>
      <w:r w:rsidRPr="004D1E43">
        <w:rPr>
          <w:i/>
        </w:rPr>
        <w:t>R v Court</w:t>
      </w:r>
      <w:r w:rsidRPr="004D1E43">
        <w:t xml:space="preserve"> [1989] AC 28</w:t>
      </w:r>
      <w:r>
        <w:t>.</w:t>
      </w:r>
    </w:p>
  </w:footnote>
  <w:footnote w:id="48">
    <w:p w:rsidR="00935532" w:rsidRPr="00EF3CCD" w:rsidRDefault="00935532" w:rsidP="009F00A4">
      <w:pPr>
        <w:pStyle w:val="FootnoteText"/>
        <w:tabs>
          <w:tab w:val="left" w:pos="360"/>
        </w:tabs>
        <w:ind w:left="360" w:hanging="360"/>
        <w:jc w:val="both"/>
      </w:pPr>
      <w:r>
        <w:rPr>
          <w:rStyle w:val="FootnoteReference"/>
        </w:rPr>
        <w:footnoteRef/>
      </w:r>
      <w:r>
        <w:t xml:space="preserve"> </w:t>
      </w:r>
      <w:r>
        <w:tab/>
      </w:r>
      <w:r w:rsidRPr="00EF3CCD">
        <w:rPr>
          <w:i/>
        </w:rPr>
        <w:t>R v Hodgson</w:t>
      </w:r>
      <w:r w:rsidR="00C40C61">
        <w:t xml:space="preserve"> [1973] QB 56</w:t>
      </w:r>
      <w:r w:rsidRPr="00EF3CCD">
        <w:t>5</w:t>
      </w:r>
      <w:r>
        <w:t>.</w:t>
      </w:r>
    </w:p>
  </w:footnote>
  <w:footnote w:id="49">
    <w:p w:rsidR="00935532" w:rsidRDefault="00935532" w:rsidP="009F00A4">
      <w:pPr>
        <w:pStyle w:val="FootnoteText"/>
        <w:tabs>
          <w:tab w:val="left" w:pos="360"/>
        </w:tabs>
        <w:ind w:left="360" w:hanging="360"/>
        <w:jc w:val="both"/>
      </w:pPr>
      <w:r>
        <w:rPr>
          <w:rStyle w:val="FootnoteReference"/>
        </w:rPr>
        <w:footnoteRef/>
      </w:r>
      <w:r>
        <w:t xml:space="preserve"> </w:t>
      </w:r>
      <w:r>
        <w:tab/>
        <w:t xml:space="preserve">A similar view was taken of the offence of buggery with a girl under 21 contrary to section 118D of the Crimes Ordinance in </w:t>
      </w:r>
      <w:r w:rsidRPr="00214C99">
        <w:rPr>
          <w:i/>
        </w:rPr>
        <w:t xml:space="preserve">HKSAR v Yee Yiu Sam </w:t>
      </w:r>
      <w:r w:rsidRPr="00214C99">
        <w:t>[2002] 3 HKC 21</w:t>
      </w:r>
      <w:r>
        <w:t xml:space="preserve"> at §41 (a sentencing case).</w:t>
      </w:r>
    </w:p>
  </w:footnote>
  <w:footnote w:id="50">
    <w:p w:rsidR="00935532" w:rsidRPr="00CA2D70" w:rsidRDefault="00935532" w:rsidP="009F00A4">
      <w:pPr>
        <w:pStyle w:val="FootnoteText"/>
        <w:tabs>
          <w:tab w:val="left" w:pos="360"/>
        </w:tabs>
        <w:ind w:left="360" w:hanging="360"/>
        <w:jc w:val="both"/>
      </w:pPr>
      <w:r>
        <w:rPr>
          <w:rStyle w:val="FootnoteReference"/>
        </w:rPr>
        <w:footnoteRef/>
      </w:r>
      <w:r>
        <w:t xml:space="preserve"> </w:t>
      </w:r>
      <w:r>
        <w:tab/>
      </w:r>
      <w:r w:rsidRPr="00602548">
        <w:rPr>
          <w:i/>
        </w:rPr>
        <w:t>R v K</w:t>
      </w:r>
      <w:r w:rsidRPr="00602548">
        <w:t xml:space="preserve"> [2002] 1 AC 462</w:t>
      </w:r>
      <w:r>
        <w:t xml:space="preserve"> at 478-479.  His Lordship proceeded to hold that the presumption of mens rea applied and was not displaced, as discussed in Section G below.</w:t>
      </w:r>
    </w:p>
  </w:footnote>
  <w:footnote w:id="51">
    <w:p w:rsidR="00935532" w:rsidRPr="000020D1" w:rsidRDefault="00935532" w:rsidP="004F2A11">
      <w:pPr>
        <w:pStyle w:val="FootnoteText"/>
        <w:tabs>
          <w:tab w:val="left" w:pos="360"/>
        </w:tabs>
        <w:ind w:left="360" w:hanging="360"/>
        <w:jc w:val="both"/>
        <w:rPr>
          <w:rFonts w:eastAsia="宋体"/>
          <w:lang w:eastAsia="zh-CN"/>
        </w:rPr>
      </w:pPr>
      <w:r>
        <w:rPr>
          <w:rStyle w:val="FootnoteReference"/>
        </w:rPr>
        <w:footnoteRef/>
      </w:r>
      <w:r>
        <w:t xml:space="preserve"> </w:t>
      </w:r>
      <w:r>
        <w:tab/>
      </w:r>
      <w:r w:rsidRPr="00C3733D">
        <w:rPr>
          <w:i/>
        </w:rPr>
        <w:t>Sweet v Parsley</w:t>
      </w:r>
      <w:r w:rsidRPr="00C3733D">
        <w:t xml:space="preserve"> [1970] AC 132</w:t>
      </w:r>
      <w:r>
        <w:t xml:space="preserve"> at 148 and 152; </w:t>
      </w:r>
      <w:r w:rsidRPr="003703C7">
        <w:rPr>
          <w:i/>
        </w:rPr>
        <w:t>Gammon (HK) Ltd v Attorney General of Hong Kong</w:t>
      </w:r>
      <w:r w:rsidRPr="003703C7">
        <w:t xml:space="preserve"> </w:t>
      </w:r>
      <w:r w:rsidRPr="00214C99">
        <w:rPr>
          <w:rFonts w:eastAsia="等线"/>
          <w:lang w:eastAsia="zh-CN"/>
        </w:rPr>
        <w:t>[1985] AC 1</w:t>
      </w:r>
      <w:r>
        <w:rPr>
          <w:rFonts w:eastAsia="等线"/>
          <w:lang w:eastAsia="zh-CN"/>
        </w:rPr>
        <w:t xml:space="preserve"> at 14; </w:t>
      </w:r>
      <w:r w:rsidRPr="00214C99">
        <w:rPr>
          <w:rFonts w:eastAsia="等线"/>
          <w:i/>
          <w:lang w:eastAsia="zh-CN"/>
        </w:rPr>
        <w:t xml:space="preserve">B (A minor) v DPP </w:t>
      </w:r>
      <w:r w:rsidRPr="00214C99">
        <w:rPr>
          <w:rFonts w:eastAsia="等线"/>
          <w:lang w:eastAsia="zh-CN"/>
        </w:rPr>
        <w:t>[2000] 2 AC 428</w:t>
      </w:r>
      <w:r>
        <w:rPr>
          <w:rFonts w:eastAsia="等线"/>
          <w:lang w:eastAsia="zh-CN"/>
        </w:rPr>
        <w:t xml:space="preserve"> at 460; </w:t>
      </w:r>
      <w:r w:rsidRPr="00214C99">
        <w:rPr>
          <w:rFonts w:eastAsia="宋体"/>
          <w:i/>
          <w:lang w:eastAsia="zh-CN"/>
        </w:rPr>
        <w:t xml:space="preserve">R v K </w:t>
      </w:r>
      <w:r w:rsidRPr="00214C99">
        <w:rPr>
          <w:rFonts w:eastAsia="宋体"/>
          <w:lang w:eastAsia="zh-CN"/>
        </w:rPr>
        <w:t>[2002] 1 AC 462</w:t>
      </w:r>
      <w:r>
        <w:rPr>
          <w:rFonts w:eastAsia="宋体"/>
          <w:lang w:eastAsia="zh-CN"/>
        </w:rPr>
        <w:t xml:space="preserve"> at 471-472, 477; </w:t>
      </w:r>
      <w:r w:rsidRPr="000020D1">
        <w:rPr>
          <w:rFonts w:eastAsia="宋体"/>
          <w:i/>
          <w:lang w:eastAsia="zh-CN"/>
        </w:rPr>
        <w:t xml:space="preserve">Hin Lin Yee v HKSAR </w:t>
      </w:r>
      <w:r w:rsidRPr="000020D1">
        <w:rPr>
          <w:rFonts w:eastAsia="宋体"/>
          <w:lang w:eastAsia="zh-CN"/>
        </w:rPr>
        <w:t>(2010) 13 HKCFAR 142</w:t>
      </w:r>
      <w:r>
        <w:rPr>
          <w:rFonts w:eastAsia="宋体"/>
          <w:lang w:eastAsia="zh-CN"/>
        </w:rPr>
        <w:t xml:space="preserve"> at §139.</w:t>
      </w:r>
    </w:p>
  </w:footnote>
  <w:footnote w:id="52">
    <w:p w:rsidR="00935532" w:rsidRPr="009572CB" w:rsidRDefault="00935532" w:rsidP="004F2A11">
      <w:pPr>
        <w:pStyle w:val="FootnoteText"/>
        <w:tabs>
          <w:tab w:val="left" w:pos="360"/>
        </w:tabs>
        <w:ind w:left="360" w:hanging="360"/>
        <w:jc w:val="both"/>
        <w:rPr>
          <w:rFonts w:eastAsia="宋体"/>
          <w:lang w:eastAsia="zh-CN"/>
        </w:rPr>
      </w:pPr>
      <w:r>
        <w:rPr>
          <w:rStyle w:val="FootnoteReference"/>
        </w:rPr>
        <w:footnoteRef/>
      </w:r>
      <w:r>
        <w:t xml:space="preserve"> </w:t>
      </w:r>
      <w:r>
        <w:tab/>
      </w:r>
      <w:r w:rsidRPr="000020D1">
        <w:rPr>
          <w:rFonts w:eastAsia="宋体"/>
          <w:i/>
          <w:lang w:eastAsia="zh-CN"/>
        </w:rPr>
        <w:t xml:space="preserve">Hin Lin Yee v HKSAR </w:t>
      </w:r>
      <w:r w:rsidRPr="000020D1">
        <w:rPr>
          <w:rFonts w:eastAsia="宋体"/>
          <w:lang w:eastAsia="zh-CN"/>
        </w:rPr>
        <w:t>(2010) 13 HKCFAR 142</w:t>
      </w:r>
      <w:r>
        <w:rPr>
          <w:rFonts w:eastAsia="宋体"/>
          <w:lang w:eastAsia="zh-CN"/>
        </w:rPr>
        <w:t xml:space="preserve"> at §§140-143. In </w:t>
      </w:r>
      <w:r w:rsidRPr="00214C99">
        <w:rPr>
          <w:rFonts w:eastAsia="等线"/>
          <w:i/>
          <w:lang w:eastAsia="zh-CN"/>
        </w:rPr>
        <w:t xml:space="preserve">B (A minor) v DPP </w:t>
      </w:r>
      <w:r w:rsidRPr="00214C99">
        <w:rPr>
          <w:rFonts w:eastAsia="等线"/>
          <w:lang w:eastAsia="zh-CN"/>
        </w:rPr>
        <w:t xml:space="preserve">[2000] 2 AC 428 </w:t>
      </w:r>
      <w:r>
        <w:rPr>
          <w:rFonts w:eastAsia="等线"/>
          <w:lang w:eastAsia="zh-CN"/>
        </w:rPr>
        <w:t>at 464:</w:t>
      </w:r>
      <w:r>
        <w:rPr>
          <w:rFonts w:eastAsia="宋体"/>
          <w:lang w:eastAsia="zh-CN"/>
        </w:rPr>
        <w:t xml:space="preserve"> Lord Nicholls of Birkenhead explains displacement by necessary implication thus: “‘</w:t>
      </w:r>
      <w:r w:rsidRPr="009572CB">
        <w:rPr>
          <w:rFonts w:eastAsia="宋体"/>
          <w:lang w:eastAsia="zh-CN"/>
        </w:rPr>
        <w:t xml:space="preserve">Necessary implication’ connotes an implication which is compellingly clear. Such an implication may be found in the language used, the nature of the offence, the mischief sought to be prevented and any other circumstances which may assist in determining what intention is properly to be attributed to Parliament when creating the offence.” </w:t>
      </w:r>
    </w:p>
  </w:footnote>
  <w:footnote w:id="53">
    <w:p w:rsidR="00935532" w:rsidRDefault="00935532" w:rsidP="004F2A11">
      <w:pPr>
        <w:pStyle w:val="FootnoteText"/>
        <w:tabs>
          <w:tab w:val="left" w:pos="360"/>
        </w:tabs>
        <w:ind w:left="360" w:hanging="360"/>
        <w:jc w:val="both"/>
      </w:pPr>
      <w:r>
        <w:rPr>
          <w:rStyle w:val="FootnoteReference"/>
        </w:rPr>
        <w:footnoteRef/>
      </w:r>
      <w:r>
        <w:t xml:space="preserve"> </w:t>
      </w:r>
      <w:r>
        <w:tab/>
      </w:r>
      <w:r w:rsidRPr="000020D1">
        <w:rPr>
          <w:rFonts w:eastAsia="宋体"/>
          <w:i/>
          <w:lang w:eastAsia="zh-CN"/>
        </w:rPr>
        <w:t>Hin Lin Yee v HKSAR</w:t>
      </w:r>
      <w:r w:rsidRPr="000020D1">
        <w:rPr>
          <w:rFonts w:eastAsia="宋体"/>
          <w:lang w:eastAsia="zh-CN"/>
        </w:rPr>
        <w:t xml:space="preserve"> (2010) 13 HKCFAR 142</w:t>
      </w:r>
      <w:r>
        <w:rPr>
          <w:rFonts w:eastAsia="宋体"/>
          <w:lang w:eastAsia="zh-CN"/>
        </w:rPr>
        <w:t xml:space="preserve"> at §45.  See also Lord Reid in </w:t>
      </w:r>
      <w:r w:rsidRPr="00C3733D">
        <w:rPr>
          <w:i/>
        </w:rPr>
        <w:t>Sweet v Parsley</w:t>
      </w:r>
      <w:r w:rsidRPr="00C3733D">
        <w:t xml:space="preserve"> [1970] AC 132</w:t>
      </w:r>
      <w:r>
        <w:t xml:space="preserve"> at 150.</w:t>
      </w:r>
    </w:p>
  </w:footnote>
  <w:footnote w:id="54">
    <w:p w:rsidR="00935532" w:rsidRPr="00DC3F5F" w:rsidRDefault="00935532" w:rsidP="004F2A11">
      <w:pPr>
        <w:pStyle w:val="FootnoteText"/>
        <w:tabs>
          <w:tab w:val="left" w:pos="360"/>
        </w:tabs>
        <w:ind w:left="360" w:hanging="360"/>
        <w:jc w:val="both"/>
      </w:pPr>
      <w:r>
        <w:rPr>
          <w:rStyle w:val="FootnoteReference"/>
        </w:rPr>
        <w:footnoteRef/>
      </w:r>
      <w:r>
        <w:t xml:space="preserve"> </w:t>
      </w:r>
      <w:r>
        <w:tab/>
        <w:t>[</w:t>
      </w:r>
      <w:r w:rsidRPr="00DC3F5F">
        <w:t>2002] 1 AC 462</w:t>
      </w:r>
      <w:r>
        <w:t>.</w:t>
      </w:r>
    </w:p>
  </w:footnote>
  <w:footnote w:id="55">
    <w:p w:rsidR="00935532" w:rsidRDefault="00935532" w:rsidP="004F2A11">
      <w:pPr>
        <w:pStyle w:val="FootnoteText"/>
        <w:tabs>
          <w:tab w:val="left" w:pos="360"/>
        </w:tabs>
        <w:ind w:left="360" w:hanging="360"/>
        <w:jc w:val="both"/>
      </w:pPr>
      <w:r>
        <w:rPr>
          <w:rStyle w:val="FootnoteReference"/>
        </w:rPr>
        <w:footnoteRef/>
      </w:r>
      <w:r>
        <w:t xml:space="preserve"> </w:t>
      </w:r>
      <w:r>
        <w:tab/>
      </w:r>
      <w:r w:rsidRPr="000020D1">
        <w:rPr>
          <w:rFonts w:eastAsia="宋体"/>
          <w:i/>
          <w:lang w:eastAsia="zh-CN"/>
        </w:rPr>
        <w:t xml:space="preserve">Hin Lin Yee v HKSAR </w:t>
      </w:r>
      <w:r w:rsidRPr="000020D1">
        <w:rPr>
          <w:rFonts w:eastAsia="宋体"/>
          <w:lang w:eastAsia="zh-CN"/>
        </w:rPr>
        <w:t>(2010) 13 HKCFAR 142</w:t>
      </w:r>
      <w:r>
        <w:rPr>
          <w:rFonts w:eastAsia="宋体"/>
          <w:lang w:eastAsia="zh-CN"/>
        </w:rPr>
        <w:t xml:space="preserve"> at §141.</w:t>
      </w:r>
    </w:p>
  </w:footnote>
  <w:footnote w:id="56">
    <w:p w:rsidR="00935532" w:rsidRPr="005165B5" w:rsidRDefault="00935532" w:rsidP="004F2A11">
      <w:pPr>
        <w:pStyle w:val="FootnoteText"/>
        <w:tabs>
          <w:tab w:val="left" w:pos="360"/>
        </w:tabs>
        <w:ind w:left="360" w:hanging="360"/>
        <w:jc w:val="both"/>
        <w:rPr>
          <w:rFonts w:eastAsia="宋体"/>
          <w:lang w:eastAsia="zh-CN"/>
        </w:rPr>
      </w:pPr>
      <w:r>
        <w:rPr>
          <w:rStyle w:val="FootnoteReference"/>
        </w:rPr>
        <w:footnoteRef/>
      </w:r>
      <w:r>
        <w:t xml:space="preserve"> </w:t>
      </w:r>
      <w:r>
        <w:tab/>
      </w:r>
      <w:r w:rsidRPr="00214C99">
        <w:rPr>
          <w:rFonts w:eastAsia="宋体"/>
          <w:i/>
          <w:lang w:eastAsia="zh-CN"/>
        </w:rPr>
        <w:t xml:space="preserve">So Wai Lun v HKSAR </w:t>
      </w:r>
      <w:r w:rsidRPr="00214C99">
        <w:rPr>
          <w:rFonts w:eastAsia="宋体"/>
          <w:lang w:eastAsia="zh-CN"/>
        </w:rPr>
        <w:t>(2006) 9 HKCFAR 530</w:t>
      </w:r>
      <w:r>
        <w:rPr>
          <w:rFonts w:eastAsia="宋体"/>
          <w:lang w:eastAsia="zh-CN"/>
        </w:rPr>
        <w:t xml:space="preserve"> at §39; </w:t>
      </w:r>
      <w:r w:rsidRPr="00214C99">
        <w:rPr>
          <w:rFonts w:eastAsia="宋体"/>
          <w:i/>
          <w:lang w:eastAsia="zh-CN"/>
        </w:rPr>
        <w:t xml:space="preserve">Hin Lin Yee v HKSAR </w:t>
      </w:r>
      <w:r w:rsidRPr="00214C99">
        <w:rPr>
          <w:rFonts w:eastAsia="宋体"/>
          <w:lang w:eastAsia="zh-CN"/>
        </w:rPr>
        <w:t xml:space="preserve">(2010) 13 HKCFAR 142 </w:t>
      </w:r>
      <w:r>
        <w:rPr>
          <w:rFonts w:eastAsia="宋体"/>
          <w:lang w:eastAsia="zh-CN"/>
        </w:rPr>
        <w:t xml:space="preserve">at §154; </w:t>
      </w:r>
      <w:r w:rsidR="00C40C61">
        <w:rPr>
          <w:rFonts w:eastAsia="宋体"/>
          <w:i/>
          <w:lang w:eastAsia="zh-CN"/>
        </w:rPr>
        <w:t>Kulemesin</w:t>
      </w:r>
      <w:r w:rsidRPr="005165B5">
        <w:rPr>
          <w:rFonts w:eastAsia="宋体"/>
          <w:lang w:eastAsia="zh-CN"/>
        </w:rPr>
        <w:t xml:space="preserve"> </w:t>
      </w:r>
      <w:r w:rsidRPr="00574544">
        <w:rPr>
          <w:rFonts w:eastAsia="宋体"/>
          <w:i/>
          <w:lang w:eastAsia="zh-CN"/>
        </w:rPr>
        <w:t>v HKSAR</w:t>
      </w:r>
      <w:r w:rsidRPr="005165B5">
        <w:rPr>
          <w:rFonts w:eastAsia="宋体"/>
          <w:lang w:eastAsia="zh-CN"/>
        </w:rPr>
        <w:t xml:space="preserve"> (2013) 16 HKCFAR 195</w:t>
      </w:r>
      <w:r>
        <w:rPr>
          <w:rFonts w:eastAsia="宋体"/>
          <w:lang w:eastAsia="zh-CN"/>
        </w:rPr>
        <w:t xml:space="preserve"> at §93.</w:t>
      </w:r>
    </w:p>
  </w:footnote>
  <w:footnote w:id="57">
    <w:p w:rsidR="00935532" w:rsidRDefault="00935532" w:rsidP="004F2A11">
      <w:pPr>
        <w:pStyle w:val="FootnoteText"/>
        <w:tabs>
          <w:tab w:val="left" w:pos="360"/>
        </w:tabs>
        <w:ind w:left="360" w:hanging="360"/>
      </w:pPr>
      <w:r>
        <w:rPr>
          <w:rStyle w:val="FootnoteReference"/>
        </w:rPr>
        <w:footnoteRef/>
      </w:r>
      <w:r>
        <w:t xml:space="preserve"> </w:t>
      </w:r>
      <w:r>
        <w:tab/>
      </w:r>
      <w:r w:rsidR="00C40C61">
        <w:rPr>
          <w:rFonts w:eastAsia="宋体"/>
          <w:i/>
          <w:lang w:eastAsia="zh-CN"/>
        </w:rPr>
        <w:t>Kulemesin</w:t>
      </w:r>
      <w:r w:rsidR="00C40C61" w:rsidRPr="005165B5">
        <w:rPr>
          <w:rFonts w:eastAsia="宋体"/>
          <w:lang w:eastAsia="zh-CN"/>
        </w:rPr>
        <w:t xml:space="preserve"> </w:t>
      </w:r>
      <w:r w:rsidR="00C40C61" w:rsidRPr="00C04774">
        <w:rPr>
          <w:rFonts w:eastAsia="宋体"/>
          <w:i/>
          <w:lang w:eastAsia="zh-CN"/>
        </w:rPr>
        <w:t>v HKSAR</w:t>
      </w:r>
      <w:r w:rsidR="00C40C61" w:rsidRPr="005165B5">
        <w:rPr>
          <w:rFonts w:eastAsia="宋体"/>
          <w:lang w:eastAsia="zh-CN"/>
        </w:rPr>
        <w:t xml:space="preserve"> (2013) 16 HKCFAR 195</w:t>
      </w:r>
      <w:r w:rsidR="00C40C61">
        <w:rPr>
          <w:rFonts w:eastAsia="宋体"/>
          <w:lang w:eastAsia="zh-CN"/>
        </w:rPr>
        <w:t xml:space="preserve"> </w:t>
      </w:r>
      <w:r>
        <w:t xml:space="preserve">at </w:t>
      </w:r>
      <w:r w:rsidRPr="00C92A70">
        <w:rPr>
          <w:color w:val="000000"/>
          <w:szCs w:val="24"/>
        </w:rPr>
        <w:t>§92</w:t>
      </w:r>
      <w:r>
        <w:rPr>
          <w:color w:val="000000"/>
          <w:szCs w:val="24"/>
        </w:rPr>
        <w:t>.</w:t>
      </w:r>
    </w:p>
  </w:footnote>
  <w:footnote w:id="58">
    <w:p w:rsidR="00935532" w:rsidRPr="0076325A" w:rsidRDefault="00935532" w:rsidP="004F2A11">
      <w:pPr>
        <w:pStyle w:val="FootnoteText"/>
        <w:tabs>
          <w:tab w:val="left" w:pos="360"/>
        </w:tabs>
        <w:ind w:left="360" w:hanging="360"/>
      </w:pPr>
      <w:r>
        <w:rPr>
          <w:rStyle w:val="FootnoteReference"/>
        </w:rPr>
        <w:footnoteRef/>
      </w:r>
      <w:r>
        <w:t xml:space="preserve"> </w:t>
      </w:r>
      <w:r>
        <w:tab/>
      </w:r>
      <w:r w:rsidRPr="0026126D">
        <w:rPr>
          <w:i/>
        </w:rPr>
        <w:t>Sweet v Parsley</w:t>
      </w:r>
      <w:r w:rsidRPr="0076325A">
        <w:t xml:space="preserve"> [1970] AC 132</w:t>
      </w:r>
      <w:r>
        <w:t xml:space="preserve"> per Lord Reid at 153, and per Lord Diplock at 164.</w:t>
      </w:r>
    </w:p>
  </w:footnote>
  <w:footnote w:id="59">
    <w:p w:rsidR="00935532" w:rsidRPr="0026126D" w:rsidRDefault="00935532" w:rsidP="00265D36">
      <w:pPr>
        <w:pStyle w:val="FootnoteText"/>
        <w:tabs>
          <w:tab w:val="left" w:pos="360"/>
        </w:tabs>
        <w:ind w:left="360" w:hanging="360"/>
        <w:jc w:val="both"/>
      </w:pPr>
      <w:r>
        <w:rPr>
          <w:rStyle w:val="FootnoteReference"/>
        </w:rPr>
        <w:footnoteRef/>
      </w:r>
      <w:r>
        <w:t xml:space="preserve"> </w:t>
      </w:r>
      <w:r>
        <w:tab/>
      </w:r>
      <w:r w:rsidR="00C40C61">
        <w:rPr>
          <w:i/>
        </w:rPr>
        <w:t>Warner v Metropolitan Police Commissioner</w:t>
      </w:r>
      <w:r>
        <w:rPr>
          <w:i/>
        </w:rPr>
        <w:t xml:space="preserve"> </w:t>
      </w:r>
      <w:r>
        <w:t>[1969] 2 AC 256 at 271</w:t>
      </w:r>
      <w:r w:rsidR="00C40C61">
        <w:t>-272</w:t>
      </w:r>
      <w:r>
        <w:t xml:space="preserve">; </w:t>
      </w:r>
      <w:r w:rsidRPr="0026126D">
        <w:rPr>
          <w:i/>
        </w:rPr>
        <w:t>Sweet v Parsley</w:t>
      </w:r>
      <w:r w:rsidRPr="0076325A">
        <w:t xml:space="preserve"> [1970] AC 132</w:t>
      </w:r>
      <w:r>
        <w:t xml:space="preserve"> at 149 and156; </w:t>
      </w:r>
      <w:r>
        <w:rPr>
          <w:i/>
        </w:rPr>
        <w:t xml:space="preserve">Hin Lin Yee </w:t>
      </w:r>
      <w:r>
        <w:t xml:space="preserve">(2010) </w:t>
      </w:r>
      <w:r w:rsidRPr="00214C99">
        <w:rPr>
          <w:rFonts w:eastAsia="宋体"/>
          <w:lang w:eastAsia="zh-CN"/>
        </w:rPr>
        <w:t xml:space="preserve">13 HKCFAR 142 </w:t>
      </w:r>
      <w:r>
        <w:rPr>
          <w:rFonts w:eastAsia="宋体"/>
          <w:lang w:eastAsia="zh-CN"/>
        </w:rPr>
        <w:t xml:space="preserve">at §142; </w:t>
      </w:r>
      <w:r w:rsidR="00C40C61" w:rsidRPr="00C04774">
        <w:rPr>
          <w:rFonts w:eastAsia="宋体"/>
          <w:i/>
          <w:lang w:eastAsia="zh-CN"/>
        </w:rPr>
        <w:t xml:space="preserve">Kulemesin </w:t>
      </w:r>
      <w:r w:rsidRPr="00C04774">
        <w:rPr>
          <w:rFonts w:eastAsia="宋体"/>
          <w:i/>
          <w:lang w:eastAsia="zh-CN"/>
        </w:rPr>
        <w:t>v HKSAR</w:t>
      </w:r>
      <w:r w:rsidRPr="005165B5">
        <w:rPr>
          <w:rFonts w:eastAsia="宋体"/>
          <w:lang w:eastAsia="zh-CN"/>
        </w:rPr>
        <w:t xml:space="preserve"> (2013) 16 HKCFAR 195</w:t>
      </w:r>
      <w:r>
        <w:rPr>
          <w:rFonts w:eastAsia="宋体"/>
          <w:lang w:eastAsia="zh-CN"/>
        </w:rPr>
        <w:t xml:space="preserve"> at §93.</w:t>
      </w:r>
    </w:p>
  </w:footnote>
  <w:footnote w:id="60">
    <w:p w:rsidR="00935532" w:rsidRDefault="00935532" w:rsidP="004F2A11">
      <w:pPr>
        <w:pStyle w:val="FootnoteText"/>
        <w:tabs>
          <w:tab w:val="left" w:pos="360"/>
        </w:tabs>
        <w:ind w:left="360" w:hanging="360"/>
        <w:jc w:val="both"/>
      </w:pPr>
      <w:r>
        <w:rPr>
          <w:rStyle w:val="FootnoteReference"/>
        </w:rPr>
        <w:footnoteRef/>
      </w:r>
      <w:r>
        <w:t xml:space="preserve"> </w:t>
      </w:r>
      <w:r>
        <w:tab/>
      </w:r>
      <w:r>
        <w:rPr>
          <w:i/>
        </w:rPr>
        <w:t xml:space="preserve">Lim Chin Aik v The Queen </w:t>
      </w:r>
      <w:r>
        <w:t xml:space="preserve">[1963] AC 160 at 174; </w:t>
      </w:r>
      <w:r w:rsidRPr="0026126D">
        <w:rPr>
          <w:i/>
        </w:rPr>
        <w:t>Sweet v Parsley</w:t>
      </w:r>
      <w:r w:rsidRPr="0076325A">
        <w:t xml:space="preserve"> [1970] AC 132</w:t>
      </w:r>
      <w:r>
        <w:t xml:space="preserve"> at 163; </w:t>
      </w:r>
      <w:r w:rsidRPr="00214C99">
        <w:rPr>
          <w:rFonts w:eastAsia="宋体"/>
          <w:i/>
          <w:lang w:eastAsia="zh-CN"/>
        </w:rPr>
        <w:t xml:space="preserve">Hin Lin Yee v HKSAR </w:t>
      </w:r>
      <w:r w:rsidRPr="00214C99">
        <w:rPr>
          <w:rFonts w:eastAsia="宋体"/>
          <w:lang w:eastAsia="zh-CN"/>
        </w:rPr>
        <w:t>(2010) 13 HKCFAR 14</w:t>
      </w:r>
      <w:r>
        <w:rPr>
          <w:rFonts w:eastAsia="宋体"/>
          <w:lang w:eastAsia="zh-CN"/>
        </w:rPr>
        <w:t>2 at §158.</w:t>
      </w:r>
    </w:p>
  </w:footnote>
  <w:footnote w:id="61">
    <w:p w:rsidR="00935532" w:rsidRDefault="00935532" w:rsidP="004F2A11">
      <w:pPr>
        <w:pStyle w:val="FootnoteText"/>
        <w:tabs>
          <w:tab w:val="left" w:pos="360"/>
        </w:tabs>
        <w:ind w:left="360" w:hanging="360"/>
        <w:jc w:val="both"/>
      </w:pPr>
      <w:r>
        <w:rPr>
          <w:rStyle w:val="FootnoteReference"/>
        </w:rPr>
        <w:footnoteRef/>
      </w:r>
      <w:r>
        <w:t xml:space="preserve"> </w:t>
      </w:r>
      <w:r>
        <w:tab/>
      </w:r>
      <w:r w:rsidRPr="00214C99">
        <w:rPr>
          <w:rFonts w:eastAsia="宋体"/>
          <w:lang w:eastAsia="zh-CN"/>
        </w:rPr>
        <w:t>(2010) 13 HKCFAR 14</w:t>
      </w:r>
      <w:r>
        <w:rPr>
          <w:rFonts w:eastAsia="宋体"/>
          <w:lang w:eastAsia="zh-CN"/>
        </w:rPr>
        <w:t>2 at §151.</w:t>
      </w:r>
    </w:p>
  </w:footnote>
  <w:footnote w:id="62">
    <w:p w:rsidR="00935532" w:rsidRDefault="00935532" w:rsidP="004F2A11">
      <w:pPr>
        <w:pStyle w:val="FootnoteText"/>
        <w:tabs>
          <w:tab w:val="left" w:pos="360"/>
        </w:tabs>
        <w:ind w:left="360" w:hanging="360"/>
        <w:jc w:val="both"/>
      </w:pPr>
      <w:r>
        <w:rPr>
          <w:rStyle w:val="FootnoteReference"/>
        </w:rPr>
        <w:footnoteRef/>
      </w:r>
      <w:r>
        <w:t xml:space="preserve"> </w:t>
      </w:r>
      <w:r>
        <w:tab/>
      </w:r>
      <w:r w:rsidRPr="005165B5">
        <w:rPr>
          <w:rFonts w:eastAsia="宋体"/>
          <w:lang w:eastAsia="zh-CN"/>
        </w:rPr>
        <w:t>(2013) 16 HKCFAR 195</w:t>
      </w:r>
      <w:r>
        <w:rPr>
          <w:rFonts w:eastAsia="宋体"/>
          <w:lang w:eastAsia="zh-CN"/>
        </w:rPr>
        <w:t xml:space="preserve"> at §93.</w:t>
      </w:r>
    </w:p>
  </w:footnote>
  <w:footnote w:id="63">
    <w:p w:rsidR="00935532" w:rsidRDefault="00935532" w:rsidP="004F2A11">
      <w:pPr>
        <w:pStyle w:val="FootnoteText"/>
        <w:tabs>
          <w:tab w:val="left" w:pos="360"/>
        </w:tabs>
        <w:ind w:left="360" w:hanging="360"/>
        <w:jc w:val="both"/>
      </w:pPr>
      <w:r>
        <w:rPr>
          <w:rStyle w:val="FootnoteReference"/>
        </w:rPr>
        <w:footnoteRef/>
      </w:r>
      <w:r>
        <w:t xml:space="preserve"> </w:t>
      </w:r>
      <w:r>
        <w:tab/>
      </w:r>
      <w:r w:rsidRPr="00592489">
        <w:t>[2005] 1 HKLRD 443</w:t>
      </w:r>
      <w:r>
        <w:t>.</w:t>
      </w:r>
    </w:p>
  </w:footnote>
  <w:footnote w:id="64">
    <w:p w:rsidR="00935532" w:rsidRDefault="00935532" w:rsidP="004F2A11">
      <w:pPr>
        <w:pStyle w:val="FootnoteText"/>
        <w:tabs>
          <w:tab w:val="left" w:pos="360"/>
        </w:tabs>
        <w:ind w:left="360" w:hanging="360"/>
        <w:jc w:val="both"/>
      </w:pPr>
      <w:r>
        <w:rPr>
          <w:rStyle w:val="FootnoteReference"/>
        </w:rPr>
        <w:footnoteRef/>
      </w:r>
      <w:r>
        <w:t xml:space="preserve"> </w:t>
      </w:r>
      <w:r>
        <w:tab/>
        <w:t>Section 124(2) lays down a defence as follows: “</w:t>
      </w:r>
      <w:r w:rsidRPr="00592489">
        <w:t>Where a marriage is invalid under section 27(2) of the Marriage Ordinance (Cap 181) by reason of the wife being under the age of 16, the invalidity shall not make the husband guilty of an offence under this section because he has sexual intercourse with her, if he believes her to be his wife and has reasonable cause for the belief.</w:t>
      </w:r>
      <w:r>
        <w:t xml:space="preserve">”  </w:t>
      </w:r>
    </w:p>
  </w:footnote>
  <w:footnote w:id="65">
    <w:p w:rsidR="00935532" w:rsidRDefault="00935532" w:rsidP="004F2A11">
      <w:pPr>
        <w:pStyle w:val="FootnoteText"/>
        <w:tabs>
          <w:tab w:val="left" w:pos="360"/>
        </w:tabs>
        <w:ind w:left="360" w:hanging="360"/>
        <w:jc w:val="both"/>
      </w:pPr>
      <w:r>
        <w:rPr>
          <w:rStyle w:val="FootnoteReference"/>
        </w:rPr>
        <w:footnoteRef/>
      </w:r>
      <w:r>
        <w:t xml:space="preserve"> </w:t>
      </w:r>
      <w:r>
        <w:tab/>
        <w:t xml:space="preserve">Ord </w:t>
      </w:r>
      <w:r w:rsidRPr="00AB4FD3">
        <w:t>No 11 of</w:t>
      </w:r>
      <w:r>
        <w:t xml:space="preserve"> 1890.</w:t>
      </w:r>
    </w:p>
  </w:footnote>
  <w:footnote w:id="66">
    <w:p w:rsidR="00935532" w:rsidRDefault="00935532" w:rsidP="004F2A11">
      <w:pPr>
        <w:pStyle w:val="FootnoteText"/>
        <w:tabs>
          <w:tab w:val="left" w:pos="360"/>
        </w:tabs>
        <w:ind w:left="360" w:hanging="360"/>
        <w:jc w:val="both"/>
      </w:pPr>
      <w:r>
        <w:rPr>
          <w:rStyle w:val="FootnoteReference"/>
        </w:rPr>
        <w:footnoteRef/>
      </w:r>
      <w:r>
        <w:t xml:space="preserve"> </w:t>
      </w:r>
      <w:r>
        <w:tab/>
        <w:t xml:space="preserve">Re-enacted in the Protection of Women and Girls Ordinance 1897 (Ord No 9 of 1897), section 5. </w:t>
      </w:r>
    </w:p>
  </w:footnote>
  <w:footnote w:id="67">
    <w:p w:rsidR="00935532" w:rsidRDefault="00935532" w:rsidP="004F2A11">
      <w:pPr>
        <w:pStyle w:val="FootnoteText"/>
        <w:tabs>
          <w:tab w:val="left" w:pos="360"/>
        </w:tabs>
        <w:ind w:left="360" w:hanging="360"/>
        <w:jc w:val="both"/>
      </w:pPr>
      <w:r>
        <w:rPr>
          <w:rStyle w:val="FootnoteReference"/>
        </w:rPr>
        <w:footnoteRef/>
      </w:r>
      <w:r>
        <w:t xml:space="preserve"> </w:t>
      </w:r>
      <w:r>
        <w:tab/>
        <w:t>Ord No 4 of 1897.</w:t>
      </w:r>
    </w:p>
  </w:footnote>
  <w:footnote w:id="68">
    <w:p w:rsidR="00935532" w:rsidRDefault="00935532" w:rsidP="004F2A11">
      <w:pPr>
        <w:pStyle w:val="FootnoteText"/>
        <w:tabs>
          <w:tab w:val="left" w:pos="360"/>
        </w:tabs>
        <w:ind w:left="360" w:hanging="360"/>
        <w:jc w:val="both"/>
      </w:pPr>
      <w:r>
        <w:rPr>
          <w:rStyle w:val="FootnoteReference"/>
        </w:rPr>
        <w:footnoteRef/>
      </w:r>
      <w:r>
        <w:t xml:space="preserve"> </w:t>
      </w:r>
      <w:r>
        <w:tab/>
      </w:r>
      <w:r>
        <w:rPr>
          <w:i/>
        </w:rPr>
        <w:t xml:space="preserve">HKSAR v So Wai Lun </w:t>
      </w:r>
      <w:r w:rsidRPr="00592489">
        <w:t>[2005] 1 HKLRD 443</w:t>
      </w:r>
      <w:r>
        <w:t xml:space="preserve"> at §31(5).</w:t>
      </w:r>
    </w:p>
  </w:footnote>
  <w:footnote w:id="69">
    <w:p w:rsidR="00935532" w:rsidRPr="009C3A3F" w:rsidRDefault="00935532" w:rsidP="004F2A11">
      <w:pPr>
        <w:pStyle w:val="FootnoteText"/>
        <w:tabs>
          <w:tab w:val="left" w:pos="360"/>
        </w:tabs>
        <w:ind w:left="360" w:hanging="360"/>
        <w:jc w:val="both"/>
      </w:pPr>
      <w:r>
        <w:rPr>
          <w:rStyle w:val="FootnoteReference"/>
        </w:rPr>
        <w:footnoteRef/>
      </w:r>
      <w:r>
        <w:t xml:space="preserve"> </w:t>
      </w:r>
      <w:r>
        <w:tab/>
      </w:r>
      <w:r>
        <w:rPr>
          <w:i/>
        </w:rPr>
        <w:t>Ibid</w:t>
      </w:r>
      <w:r>
        <w:t xml:space="preserve"> at §32(2).</w:t>
      </w:r>
    </w:p>
  </w:footnote>
  <w:footnote w:id="70">
    <w:p w:rsidR="00C40C61" w:rsidRDefault="00C40C61" w:rsidP="00C40C61">
      <w:pPr>
        <w:pStyle w:val="FootnoteText"/>
        <w:tabs>
          <w:tab w:val="left" w:pos="360"/>
        </w:tabs>
        <w:rPr>
          <w:lang w:eastAsia="zh-CN"/>
        </w:rPr>
      </w:pPr>
      <w:r>
        <w:rPr>
          <w:rStyle w:val="FootnoteReference"/>
        </w:rPr>
        <w:footnoteRef/>
      </w:r>
      <w:r>
        <w:t xml:space="preserve"> </w:t>
      </w:r>
      <w:r>
        <w:tab/>
      </w:r>
      <w:r w:rsidRPr="00C40C61">
        <w:rPr>
          <w:rFonts w:hint="eastAsia"/>
          <w:i/>
          <w:lang w:eastAsia="zh-CN"/>
        </w:rPr>
        <w:t>Ibid</w:t>
      </w:r>
      <w:r>
        <w:rPr>
          <w:rFonts w:hint="eastAsia"/>
          <w:lang w:eastAsia="zh-CN"/>
        </w:rPr>
        <w:t xml:space="preserve"> at </w:t>
      </w:r>
      <w:r>
        <w:t>§37.</w:t>
      </w:r>
    </w:p>
  </w:footnote>
  <w:footnote w:id="71">
    <w:p w:rsidR="00935532" w:rsidRDefault="00935532" w:rsidP="004F2A11">
      <w:pPr>
        <w:pStyle w:val="FootnoteText"/>
        <w:tabs>
          <w:tab w:val="left" w:pos="360"/>
        </w:tabs>
        <w:ind w:left="360" w:hanging="360"/>
        <w:jc w:val="both"/>
      </w:pPr>
      <w:r>
        <w:rPr>
          <w:rStyle w:val="FootnoteReference"/>
        </w:rPr>
        <w:footnoteRef/>
      </w:r>
      <w:r>
        <w:t xml:space="preserve"> </w:t>
      </w:r>
      <w:r>
        <w:tab/>
        <w:t>Ord No 4 of 1865.  Section 46: “</w:t>
      </w:r>
      <w:r w:rsidRPr="0019716A">
        <w:t>Whosoever shall be convicted of any indecent assault upon any female, or of any attempt to have carnal knowledge of any girl under 12 years of age, shall be liable, at the discretion of the Court, to be imprisoned for any term not exceeding two years, whether without hard labour.”</w:t>
      </w:r>
    </w:p>
  </w:footnote>
  <w:footnote w:id="72">
    <w:p w:rsidR="00935532" w:rsidRDefault="00935532" w:rsidP="004F2A11">
      <w:pPr>
        <w:pStyle w:val="FootnoteText"/>
        <w:tabs>
          <w:tab w:val="left" w:pos="360"/>
        </w:tabs>
        <w:ind w:left="360" w:hanging="360"/>
        <w:jc w:val="both"/>
      </w:pPr>
      <w:r>
        <w:rPr>
          <w:rStyle w:val="FootnoteReference"/>
        </w:rPr>
        <w:footnoteRef/>
      </w:r>
      <w:r>
        <w:t xml:space="preserve"> </w:t>
      </w:r>
      <w:r>
        <w:tab/>
        <w:t>Ord No 4</w:t>
      </w:r>
      <w:r w:rsidRPr="0019716A">
        <w:t xml:space="preserve"> of 189</w:t>
      </w:r>
      <w:r>
        <w:t>7.  Section 7(1): “</w:t>
      </w:r>
      <w:r w:rsidRPr="0019716A">
        <w:rPr>
          <w:rFonts w:hint="eastAsia"/>
        </w:rPr>
        <w:t>“</w:t>
      </w:r>
      <w:r w:rsidRPr="0019716A">
        <w:t>Every person who commits an indecent assault upon any female shall be guilty of a misdemeanor.</w:t>
      </w:r>
      <w:r>
        <w:t>” 7(2): “I</w:t>
      </w:r>
      <w:r w:rsidRPr="00BC2EA0">
        <w:t>t shall be no defence to a charge or indictment for an indecent assault upon a girl under the age of 16 years to prove that she consented to the act of indecency.”</w:t>
      </w:r>
      <w:r>
        <w:t xml:space="preserve">  This was re-enacted unchanged in section 7 of the </w:t>
      </w:r>
      <w:r w:rsidRPr="00BC2EA0">
        <w:t>P</w:t>
      </w:r>
      <w:r>
        <w:t xml:space="preserve">rotection of </w:t>
      </w:r>
      <w:r w:rsidRPr="00BC2EA0">
        <w:t>W</w:t>
      </w:r>
      <w:r>
        <w:t xml:space="preserve">omen and </w:t>
      </w:r>
      <w:r w:rsidRPr="00BC2EA0">
        <w:t>J</w:t>
      </w:r>
      <w:r>
        <w:t>uveniles Ordinance</w:t>
      </w:r>
      <w:r w:rsidRPr="00BC2EA0">
        <w:t xml:space="preserve"> (Ord 1/ 1951)</w:t>
      </w:r>
      <w:r>
        <w:t>.</w:t>
      </w:r>
    </w:p>
  </w:footnote>
  <w:footnote w:id="73">
    <w:p w:rsidR="00935532" w:rsidRDefault="00935532" w:rsidP="004F2A11">
      <w:pPr>
        <w:pStyle w:val="FootnoteText"/>
        <w:tabs>
          <w:tab w:val="left" w:pos="360"/>
        </w:tabs>
        <w:ind w:left="360" w:hanging="360"/>
        <w:jc w:val="both"/>
      </w:pPr>
      <w:r>
        <w:rPr>
          <w:rStyle w:val="FootnoteReference"/>
        </w:rPr>
        <w:footnoteRef/>
      </w:r>
      <w:r>
        <w:t xml:space="preserve"> </w:t>
      </w:r>
      <w:r>
        <w:tab/>
        <w:t>Ord No 1 of 1978.</w:t>
      </w:r>
    </w:p>
  </w:footnote>
  <w:footnote w:id="74">
    <w:p w:rsidR="00935532" w:rsidRDefault="00935532" w:rsidP="004F2A11">
      <w:pPr>
        <w:pStyle w:val="FootnoteText"/>
        <w:tabs>
          <w:tab w:val="left" w:pos="360"/>
        </w:tabs>
        <w:ind w:left="360" w:hanging="360"/>
        <w:jc w:val="both"/>
      </w:pPr>
      <w:r>
        <w:rPr>
          <w:rStyle w:val="FootnoteReference"/>
        </w:rPr>
        <w:footnoteRef/>
      </w:r>
      <w:r>
        <w:t xml:space="preserve"> </w:t>
      </w:r>
      <w:r>
        <w:tab/>
        <w:t>Ord No 90 of 1991.</w:t>
      </w:r>
    </w:p>
  </w:footnote>
  <w:footnote w:id="75">
    <w:p w:rsidR="00935532" w:rsidRDefault="00935532" w:rsidP="00FC47C1">
      <w:pPr>
        <w:pStyle w:val="FootnoteText"/>
        <w:ind w:left="360" w:hanging="360"/>
        <w:jc w:val="both"/>
      </w:pPr>
      <w:r>
        <w:rPr>
          <w:rStyle w:val="FootnoteReference"/>
        </w:rPr>
        <w:footnoteRef/>
      </w:r>
      <w:r>
        <w:t xml:space="preserve"> </w:t>
      </w:r>
      <w:r>
        <w:tab/>
      </w:r>
      <w:r w:rsidRPr="00214C99">
        <w:rPr>
          <w:rFonts w:eastAsia="宋体"/>
          <w:i/>
          <w:lang w:eastAsia="zh-CN"/>
        </w:rPr>
        <w:t xml:space="preserve">Hin Lin Yee v HKSAR </w:t>
      </w:r>
      <w:r w:rsidRPr="00214C99">
        <w:rPr>
          <w:rFonts w:eastAsia="宋体"/>
          <w:lang w:eastAsia="zh-CN"/>
        </w:rPr>
        <w:t>(2010) 13 HKCFAR 142</w:t>
      </w:r>
      <w:r>
        <w:rPr>
          <w:rFonts w:eastAsia="宋体"/>
          <w:lang w:eastAsia="zh-CN"/>
        </w:rPr>
        <w:t xml:space="preserve"> at §151; </w:t>
      </w:r>
      <w:r w:rsidR="00C40C61">
        <w:rPr>
          <w:rFonts w:eastAsia="宋体"/>
          <w:i/>
          <w:lang w:eastAsia="zh-CN"/>
        </w:rPr>
        <w:t xml:space="preserve">Kulemesin </w:t>
      </w:r>
      <w:r w:rsidRPr="00214C99">
        <w:rPr>
          <w:rFonts w:eastAsia="宋体"/>
          <w:i/>
          <w:lang w:eastAsia="zh-CN"/>
        </w:rPr>
        <w:t xml:space="preserve">v HKSAR </w:t>
      </w:r>
      <w:r w:rsidRPr="00214C99">
        <w:rPr>
          <w:rFonts w:eastAsia="宋体"/>
          <w:lang w:eastAsia="zh-CN"/>
        </w:rPr>
        <w:t>(2013) 16 HKCFAR 19</w:t>
      </w:r>
      <w:r>
        <w:rPr>
          <w:rFonts w:eastAsia="宋体"/>
          <w:lang w:eastAsia="zh-CN"/>
        </w:rPr>
        <w:t>5 at §93.</w:t>
      </w:r>
    </w:p>
  </w:footnote>
  <w:footnote w:id="76">
    <w:p w:rsidR="00935532" w:rsidRDefault="00935532" w:rsidP="00FC47C1">
      <w:pPr>
        <w:pStyle w:val="FootnoteText"/>
        <w:ind w:left="360" w:hanging="360"/>
        <w:jc w:val="both"/>
      </w:pPr>
      <w:r>
        <w:rPr>
          <w:rStyle w:val="FootnoteReference"/>
        </w:rPr>
        <w:footnoteRef/>
      </w:r>
      <w:r>
        <w:t xml:space="preserve"> </w:t>
      </w:r>
      <w:r>
        <w:tab/>
        <w:t>Section 123: “</w:t>
      </w:r>
      <w:r w:rsidRPr="003347F6">
        <w:t>A man who has unlawful sexual intercourse with a girl under the age of 13 shall be guilty of an offence and shall be liable on conviction on indictment to imprisonment for life.</w:t>
      </w:r>
      <w:r>
        <w:t>”</w:t>
      </w:r>
    </w:p>
  </w:footnote>
  <w:footnote w:id="77">
    <w:p w:rsidR="00935532" w:rsidRDefault="00935532" w:rsidP="00FC47C1">
      <w:pPr>
        <w:pStyle w:val="FootnoteText"/>
        <w:ind w:left="360" w:hanging="360"/>
        <w:jc w:val="both"/>
      </w:pPr>
      <w:r>
        <w:rPr>
          <w:rStyle w:val="FootnoteReference"/>
        </w:rPr>
        <w:footnoteRef/>
      </w:r>
      <w:r>
        <w:t xml:space="preserve"> </w:t>
      </w:r>
      <w:r>
        <w:tab/>
      </w:r>
      <w:r>
        <w:rPr>
          <w:i/>
        </w:rPr>
        <w:t xml:space="preserve">HKSAR v So Wai Lun </w:t>
      </w:r>
      <w:r w:rsidRPr="00592489">
        <w:t>[2005] 1 HKLRD 443</w:t>
      </w:r>
      <w:r>
        <w:t xml:space="preserve"> at §38.</w:t>
      </w:r>
    </w:p>
  </w:footnote>
  <w:footnote w:id="78">
    <w:p w:rsidR="00935532" w:rsidRDefault="00935532" w:rsidP="00FC47C1">
      <w:pPr>
        <w:pStyle w:val="FootnoteText"/>
        <w:ind w:left="360" w:hanging="360"/>
        <w:jc w:val="both"/>
      </w:pPr>
      <w:r>
        <w:rPr>
          <w:rStyle w:val="FootnoteReference"/>
        </w:rPr>
        <w:footnoteRef/>
      </w:r>
      <w:r>
        <w:t xml:space="preserve"> </w:t>
      </w:r>
      <w:r>
        <w:tab/>
        <w:t xml:space="preserve">In </w:t>
      </w:r>
      <w:r w:rsidRPr="00214C99">
        <w:rPr>
          <w:rFonts w:eastAsia="宋体"/>
          <w:i/>
          <w:lang w:eastAsia="zh-CN"/>
        </w:rPr>
        <w:t xml:space="preserve">So Wai Lun v HKSAR </w:t>
      </w:r>
      <w:r w:rsidRPr="00214C99">
        <w:rPr>
          <w:rFonts w:eastAsia="宋体"/>
          <w:lang w:eastAsia="zh-CN"/>
        </w:rPr>
        <w:t>(2006) 9 HKCFAR 53</w:t>
      </w:r>
      <w:r>
        <w:rPr>
          <w:rFonts w:eastAsia="宋体"/>
          <w:lang w:eastAsia="zh-CN"/>
        </w:rPr>
        <w:t xml:space="preserve">0 at §39; </w:t>
      </w:r>
      <w:r w:rsidRPr="00214C99">
        <w:rPr>
          <w:rFonts w:eastAsia="宋体"/>
          <w:i/>
          <w:lang w:eastAsia="zh-CN"/>
        </w:rPr>
        <w:t xml:space="preserve">Hin Lin Yee v HKSAR </w:t>
      </w:r>
      <w:r w:rsidRPr="00214C99">
        <w:rPr>
          <w:rFonts w:eastAsia="宋体"/>
          <w:lang w:eastAsia="zh-CN"/>
        </w:rPr>
        <w:t>(2010) 13 HKCFAR 14</w:t>
      </w:r>
      <w:r>
        <w:rPr>
          <w:rFonts w:eastAsia="宋体"/>
          <w:lang w:eastAsia="zh-CN"/>
        </w:rPr>
        <w:t xml:space="preserve">2 at §102-103; </w:t>
      </w:r>
      <w:r w:rsidR="00C40C61">
        <w:rPr>
          <w:rFonts w:eastAsia="宋体"/>
          <w:i/>
          <w:lang w:eastAsia="zh-CN"/>
        </w:rPr>
        <w:t xml:space="preserve">Kulemesin </w:t>
      </w:r>
      <w:r w:rsidRPr="00C04774">
        <w:rPr>
          <w:rFonts w:eastAsia="宋体"/>
          <w:i/>
          <w:lang w:eastAsia="zh-CN"/>
        </w:rPr>
        <w:t>v HKSAR</w:t>
      </w:r>
      <w:r w:rsidRPr="005165B5">
        <w:rPr>
          <w:rFonts w:eastAsia="宋体"/>
          <w:lang w:eastAsia="zh-CN"/>
        </w:rPr>
        <w:t xml:space="preserve"> (2013) 16 HKCFAR 195</w:t>
      </w:r>
      <w:r>
        <w:rPr>
          <w:rFonts w:eastAsia="宋体"/>
          <w:lang w:eastAsia="zh-CN"/>
        </w:rPr>
        <w:t xml:space="preserve"> at §93.</w:t>
      </w:r>
    </w:p>
  </w:footnote>
  <w:footnote w:id="79">
    <w:p w:rsidR="00935532" w:rsidRDefault="00935532" w:rsidP="00FC47C1">
      <w:pPr>
        <w:pStyle w:val="FootnoteText"/>
        <w:ind w:left="360" w:hanging="360"/>
        <w:jc w:val="both"/>
      </w:pPr>
      <w:r>
        <w:rPr>
          <w:rStyle w:val="FootnoteReference"/>
        </w:rPr>
        <w:footnoteRef/>
      </w:r>
      <w:r>
        <w:t xml:space="preserve"> </w:t>
      </w:r>
      <w:r>
        <w:tab/>
        <w:t>B</w:t>
      </w:r>
      <w:r w:rsidRPr="0058093F">
        <w:t>earing in mind that it applied to carnal knowledge of unmarried girls aged between 12 and 16; contained an exception where customary marriages between “Asiatics” were involved; had a three-month limitation period; and made offences punishable (under section 12) by a maximum of two years imprisonment (one year if tried by a single magistrate)</w:t>
      </w:r>
      <w:r>
        <w:t>.  Section 124 is set out in Section C above.</w:t>
      </w:r>
    </w:p>
  </w:footnote>
  <w:footnote w:id="80">
    <w:p w:rsidR="00935532" w:rsidRDefault="00935532" w:rsidP="00FC47C1">
      <w:pPr>
        <w:pStyle w:val="FootnoteText"/>
        <w:ind w:left="360" w:hanging="360"/>
        <w:jc w:val="both"/>
      </w:pPr>
      <w:r>
        <w:rPr>
          <w:rStyle w:val="FootnoteReference"/>
        </w:rPr>
        <w:footnoteRef/>
      </w:r>
      <w:r>
        <w:t xml:space="preserve"> </w:t>
      </w:r>
      <w:r>
        <w:tab/>
        <w:t>[</w:t>
      </w:r>
      <w:r>
        <w:rPr>
          <w:rFonts w:eastAsia="宋体"/>
          <w:lang w:eastAsia="zh-CN"/>
        </w:rPr>
        <w:t>2013]</w:t>
      </w:r>
      <w:r w:rsidR="00966687">
        <w:rPr>
          <w:rFonts w:eastAsia="宋体"/>
          <w:lang w:eastAsia="zh-CN"/>
        </w:rPr>
        <w:t xml:space="preserve"> NILR 265</w:t>
      </w:r>
      <w:r>
        <w:rPr>
          <w:rFonts w:eastAsia="宋体"/>
          <w:lang w:eastAsia="zh-CN"/>
        </w:rPr>
        <w:t>.</w:t>
      </w:r>
    </w:p>
  </w:footnote>
  <w:footnote w:id="81">
    <w:p w:rsidR="00935532" w:rsidRPr="00874A77" w:rsidRDefault="00935532" w:rsidP="00FC47C1">
      <w:pPr>
        <w:pStyle w:val="FootnoteText"/>
        <w:ind w:left="360" w:hanging="360"/>
        <w:jc w:val="both"/>
      </w:pPr>
      <w:r>
        <w:rPr>
          <w:rStyle w:val="FootnoteReference"/>
        </w:rPr>
        <w:footnoteRef/>
      </w:r>
      <w:r>
        <w:t xml:space="preserve"> </w:t>
      </w:r>
      <w:r>
        <w:tab/>
      </w:r>
      <w:r w:rsidRPr="00874A77">
        <w:t>(1872-75) LR 2 CCR 154</w:t>
      </w:r>
      <w:r>
        <w:t>.  Mentioned in Section E above.</w:t>
      </w:r>
    </w:p>
  </w:footnote>
  <w:footnote w:id="82">
    <w:p w:rsidR="00935532" w:rsidRPr="005123B2" w:rsidRDefault="00935532" w:rsidP="00FC47C1">
      <w:pPr>
        <w:pStyle w:val="FootnoteText"/>
        <w:ind w:left="360" w:hanging="360"/>
        <w:jc w:val="both"/>
      </w:pPr>
      <w:r>
        <w:rPr>
          <w:rStyle w:val="FootnoteReference"/>
        </w:rPr>
        <w:footnoteRef/>
      </w:r>
      <w:r>
        <w:t xml:space="preserve"> </w:t>
      </w:r>
      <w:r>
        <w:tab/>
      </w:r>
      <w:r>
        <w:rPr>
          <w:i/>
        </w:rPr>
        <w:t xml:space="preserve">R v Brown </w:t>
      </w:r>
      <w:r>
        <w:t>[</w:t>
      </w:r>
      <w:r>
        <w:rPr>
          <w:rFonts w:eastAsia="宋体"/>
          <w:lang w:eastAsia="zh-CN"/>
        </w:rPr>
        <w:t xml:space="preserve">2013] </w:t>
      </w:r>
      <w:r w:rsidR="00966687">
        <w:rPr>
          <w:rFonts w:eastAsia="宋体"/>
          <w:lang w:eastAsia="zh-CN"/>
        </w:rPr>
        <w:t xml:space="preserve">NILR 265 </w:t>
      </w:r>
      <w:r>
        <w:t>at §32.</w:t>
      </w:r>
    </w:p>
  </w:footnote>
  <w:footnote w:id="83">
    <w:p w:rsidR="00935532" w:rsidRDefault="00935532" w:rsidP="00FC47C1">
      <w:pPr>
        <w:pStyle w:val="FootnoteText"/>
        <w:ind w:left="360" w:hanging="360"/>
        <w:jc w:val="both"/>
      </w:pPr>
      <w:r>
        <w:rPr>
          <w:rStyle w:val="FootnoteReference"/>
        </w:rPr>
        <w:footnoteRef/>
      </w:r>
      <w:r>
        <w:t xml:space="preserve"> </w:t>
      </w:r>
      <w:r>
        <w:tab/>
        <w:t>Section 4 concerning girls under 14, an offence punishable by life imprisonment, and section 5, a misdemeanour where the girls concerned were under the age of 17.</w:t>
      </w:r>
    </w:p>
  </w:footnote>
  <w:footnote w:id="84">
    <w:p w:rsidR="006467A9" w:rsidRPr="006467A9" w:rsidRDefault="006467A9" w:rsidP="008434CD">
      <w:pPr>
        <w:pStyle w:val="FootnoteText"/>
        <w:tabs>
          <w:tab w:val="left" w:pos="360"/>
        </w:tabs>
        <w:rPr>
          <w:lang w:eastAsia="zh-CN"/>
        </w:rPr>
      </w:pPr>
      <w:r>
        <w:rPr>
          <w:rStyle w:val="FootnoteReference"/>
        </w:rPr>
        <w:footnoteRef/>
      </w:r>
      <w:r>
        <w:t xml:space="preserve"> </w:t>
      </w:r>
      <w:r w:rsidR="008434CD">
        <w:tab/>
      </w:r>
      <w:r w:rsidR="008434CD">
        <w:rPr>
          <w:rFonts w:hint="eastAsia"/>
          <w:i/>
          <w:lang w:eastAsia="zh-CN"/>
        </w:rPr>
        <w:t xml:space="preserve">Ibid </w:t>
      </w:r>
      <w:r w:rsidR="008434CD">
        <w:rPr>
          <w:lang w:eastAsia="zh-CN"/>
        </w:rPr>
        <w:t>at</w:t>
      </w:r>
      <w:r>
        <w:rPr>
          <w:lang w:eastAsia="zh-CN"/>
        </w:rPr>
        <w:t xml:space="preserve"> </w:t>
      </w:r>
      <w:r>
        <w:t>§11.</w:t>
      </w:r>
    </w:p>
  </w:footnote>
  <w:footnote w:id="85">
    <w:p w:rsidR="00935532" w:rsidRDefault="00935532" w:rsidP="00FC47C1">
      <w:pPr>
        <w:pStyle w:val="FootnoteText"/>
        <w:ind w:left="360" w:hanging="360"/>
        <w:jc w:val="both"/>
      </w:pPr>
      <w:r>
        <w:rPr>
          <w:rStyle w:val="FootnoteReference"/>
        </w:rPr>
        <w:footnoteRef/>
      </w:r>
      <w:r>
        <w:t xml:space="preserve"> </w:t>
      </w:r>
      <w:r>
        <w:tab/>
        <w:t>Judgment §38.</w:t>
      </w:r>
    </w:p>
  </w:footnote>
  <w:footnote w:id="86">
    <w:p w:rsidR="00935532" w:rsidRDefault="00935532" w:rsidP="00FC47C1">
      <w:pPr>
        <w:pStyle w:val="FootnoteText"/>
        <w:tabs>
          <w:tab w:val="left" w:pos="360"/>
        </w:tabs>
        <w:ind w:left="360" w:hanging="360"/>
        <w:jc w:val="both"/>
      </w:pPr>
      <w:r>
        <w:rPr>
          <w:rStyle w:val="FootnoteReference"/>
        </w:rPr>
        <w:footnoteRef/>
      </w:r>
      <w:r>
        <w:t xml:space="preserve"> </w:t>
      </w:r>
      <w:r>
        <w:tab/>
      </w:r>
      <w:r w:rsidRPr="00214C99">
        <w:rPr>
          <w:rFonts w:eastAsia="等线"/>
          <w:i/>
          <w:lang w:eastAsia="zh-CN"/>
        </w:rPr>
        <w:t xml:space="preserve">B (A minor) v DPP </w:t>
      </w:r>
      <w:r w:rsidRPr="00214C99">
        <w:rPr>
          <w:rFonts w:eastAsia="等线"/>
          <w:lang w:eastAsia="zh-CN"/>
        </w:rPr>
        <w:t>[2000] 2 AC 42</w:t>
      </w:r>
      <w:r>
        <w:rPr>
          <w:rFonts w:eastAsia="等线"/>
          <w:lang w:eastAsia="zh-CN"/>
        </w:rPr>
        <w:t xml:space="preserve">8 at 464; </w:t>
      </w:r>
      <w:r>
        <w:rPr>
          <w:i/>
        </w:rPr>
        <w:t xml:space="preserve">HKSAR v So Wai Lun </w:t>
      </w:r>
      <w:r w:rsidRPr="00592489">
        <w:t>[2005] 1 HKLRD 443</w:t>
      </w:r>
      <w:r w:rsidR="00C40C61">
        <w:t xml:space="preserve"> at §16(3)</w:t>
      </w:r>
      <w:r>
        <w:t>.</w:t>
      </w:r>
    </w:p>
  </w:footnote>
  <w:footnote w:id="87">
    <w:p w:rsidR="00935532" w:rsidRDefault="00935532" w:rsidP="00FC47C1">
      <w:pPr>
        <w:pStyle w:val="FootnoteText"/>
        <w:tabs>
          <w:tab w:val="left" w:pos="360"/>
        </w:tabs>
        <w:ind w:left="360" w:hanging="360"/>
        <w:jc w:val="both"/>
      </w:pPr>
      <w:r>
        <w:rPr>
          <w:rStyle w:val="FootnoteReference"/>
        </w:rPr>
        <w:footnoteRef/>
      </w:r>
      <w:r>
        <w:t xml:space="preserve"> </w:t>
      </w:r>
      <w:r>
        <w:tab/>
        <w:t>Judgment §38.</w:t>
      </w:r>
    </w:p>
  </w:footnote>
  <w:footnote w:id="88">
    <w:p w:rsidR="00935532" w:rsidRDefault="00935532" w:rsidP="00FC47C1">
      <w:pPr>
        <w:pStyle w:val="FootnoteText"/>
        <w:tabs>
          <w:tab w:val="left" w:pos="360"/>
        </w:tabs>
        <w:ind w:left="360" w:hanging="360"/>
        <w:jc w:val="both"/>
      </w:pPr>
      <w:r>
        <w:rPr>
          <w:rStyle w:val="FootnoteReference"/>
        </w:rPr>
        <w:footnoteRef/>
      </w:r>
      <w:r>
        <w:t xml:space="preserve"> </w:t>
      </w:r>
      <w:r>
        <w:tab/>
        <w:t>[</w:t>
      </w:r>
      <w:r w:rsidRPr="00214C99">
        <w:rPr>
          <w:rFonts w:eastAsia="宋体"/>
          <w:lang w:eastAsia="zh-CN"/>
        </w:rPr>
        <w:t>2002] 1 AC 46</w:t>
      </w:r>
      <w:r>
        <w:rPr>
          <w:rFonts w:eastAsia="宋体"/>
          <w:lang w:eastAsia="zh-CN"/>
        </w:rPr>
        <w:t>2.</w:t>
      </w:r>
    </w:p>
  </w:footnote>
  <w:footnote w:id="89">
    <w:p w:rsidR="00935532" w:rsidRDefault="00935532" w:rsidP="00FC47C1">
      <w:pPr>
        <w:pStyle w:val="FootnoteText"/>
        <w:tabs>
          <w:tab w:val="left" w:pos="360"/>
        </w:tabs>
        <w:ind w:left="360" w:hanging="360"/>
        <w:jc w:val="both"/>
      </w:pPr>
      <w:r>
        <w:rPr>
          <w:rStyle w:val="FootnoteReference"/>
        </w:rPr>
        <w:footnoteRef/>
      </w:r>
      <w:r>
        <w:t xml:space="preserve"> </w:t>
      </w:r>
      <w:r>
        <w:tab/>
        <w:t>Section 14 of the 1956 Act provides: “"(1) It is an offence, subject to the exception mentioned in subsection (3) of this section, for a person to make an indecent assault on a woman.  (2) A girl under the age of 16 cannot in law give any consent which would prevent an act being an assault for the purposes of this section.  (3) Where a marriage is invalid under section two of the Marriage Act 1949, or section one of the Age of Marriage Act 1929 (the wife being a girl under the age of 16), the invalidity does not make the husband guilty of any offence under this section by reason of her incapacity to consent while under that age, if he believes her to be his wife and has reasonable cause for the belief.  (4) A woman who is a defective cannot in law give any consent which would prevent an act being an assault for the purposes of this section, but a person is only to be treated as guilty of an indecent assault on a defective by reason of that incapacity to consent, if that person knew or had reason to suspect her to be a defective."</w:t>
      </w:r>
    </w:p>
  </w:footnote>
  <w:footnote w:id="90">
    <w:p w:rsidR="00935532" w:rsidRDefault="00935532" w:rsidP="00FC47C1">
      <w:pPr>
        <w:pStyle w:val="FootnoteText"/>
        <w:tabs>
          <w:tab w:val="left" w:pos="360"/>
        </w:tabs>
        <w:ind w:left="360" w:hanging="360"/>
        <w:jc w:val="both"/>
      </w:pPr>
      <w:r>
        <w:rPr>
          <w:rStyle w:val="FootnoteReference"/>
        </w:rPr>
        <w:footnoteRef/>
      </w:r>
      <w:r>
        <w:t xml:space="preserve"> </w:t>
      </w:r>
      <w:r>
        <w:tab/>
        <w:t>[</w:t>
      </w:r>
      <w:r w:rsidRPr="00214C99">
        <w:rPr>
          <w:rFonts w:eastAsia="宋体"/>
          <w:lang w:eastAsia="zh-CN"/>
        </w:rPr>
        <w:t>2002] 1 AC 46</w:t>
      </w:r>
      <w:r>
        <w:rPr>
          <w:rFonts w:eastAsia="宋体"/>
          <w:lang w:eastAsia="zh-CN"/>
        </w:rPr>
        <w:t>2 at §3.</w:t>
      </w:r>
    </w:p>
  </w:footnote>
  <w:footnote w:id="91">
    <w:p w:rsidR="00935532" w:rsidRPr="006B485D" w:rsidRDefault="00935532" w:rsidP="00FC47C1">
      <w:pPr>
        <w:pStyle w:val="FootnoteText"/>
        <w:tabs>
          <w:tab w:val="left" w:pos="360"/>
        </w:tabs>
        <w:ind w:left="360" w:hanging="360"/>
        <w:jc w:val="both"/>
      </w:pPr>
      <w:r>
        <w:rPr>
          <w:rStyle w:val="FootnoteReference"/>
        </w:rPr>
        <w:footnoteRef/>
      </w:r>
      <w:r>
        <w:t xml:space="preserve"> </w:t>
      </w:r>
      <w:r>
        <w:tab/>
      </w:r>
      <w:r>
        <w:rPr>
          <w:i/>
        </w:rPr>
        <w:t>Ibid</w:t>
      </w:r>
      <w:r>
        <w:t xml:space="preserve"> at §4.</w:t>
      </w:r>
    </w:p>
  </w:footnote>
  <w:footnote w:id="92">
    <w:p w:rsidR="00C40C61" w:rsidRPr="00C40C61" w:rsidRDefault="00C40C61" w:rsidP="00C40C61">
      <w:pPr>
        <w:pStyle w:val="FootnoteText"/>
        <w:tabs>
          <w:tab w:val="left" w:pos="360"/>
        </w:tabs>
        <w:rPr>
          <w:lang w:eastAsia="zh-CN"/>
        </w:rPr>
      </w:pPr>
      <w:r>
        <w:rPr>
          <w:rStyle w:val="FootnoteReference"/>
        </w:rPr>
        <w:footnoteRef/>
      </w:r>
      <w:r>
        <w:t xml:space="preserve"> </w:t>
      </w:r>
      <w:r>
        <w:tab/>
      </w:r>
      <w:r>
        <w:rPr>
          <w:i/>
          <w:lang w:eastAsia="zh-CN"/>
        </w:rPr>
        <w:t>Ibid</w:t>
      </w:r>
      <w:r>
        <w:rPr>
          <w:lang w:eastAsia="zh-CN"/>
        </w:rPr>
        <w:t xml:space="preserve"> at </w:t>
      </w:r>
      <w:r>
        <w:t>§21.</w:t>
      </w:r>
    </w:p>
  </w:footnote>
  <w:footnote w:id="93">
    <w:p w:rsidR="00935532" w:rsidRDefault="00935532" w:rsidP="00FC47C1">
      <w:pPr>
        <w:pStyle w:val="FootnoteText"/>
        <w:tabs>
          <w:tab w:val="left" w:pos="360"/>
        </w:tabs>
        <w:ind w:left="360" w:hanging="360"/>
        <w:jc w:val="both"/>
      </w:pPr>
      <w:r>
        <w:rPr>
          <w:rStyle w:val="FootnoteReference"/>
        </w:rPr>
        <w:footnoteRef/>
      </w:r>
      <w:r>
        <w:t xml:space="preserve"> </w:t>
      </w:r>
      <w:r>
        <w:tab/>
      </w:r>
      <w:r w:rsidRPr="00214C99">
        <w:t>(2006) 9 HKCFAR 57</w:t>
      </w:r>
      <w:r>
        <w:t>4 at §§26 and 27.</w:t>
      </w:r>
    </w:p>
  </w:footnote>
  <w:footnote w:id="94">
    <w:p w:rsidR="00935532" w:rsidRDefault="00935532" w:rsidP="00FC47C1">
      <w:pPr>
        <w:pStyle w:val="FootnoteText"/>
        <w:tabs>
          <w:tab w:val="left" w:pos="360"/>
        </w:tabs>
        <w:ind w:left="360" w:hanging="360"/>
        <w:jc w:val="both"/>
      </w:pPr>
      <w:r>
        <w:rPr>
          <w:rStyle w:val="FootnoteReference"/>
        </w:rPr>
        <w:footnoteRef/>
      </w:r>
      <w:r>
        <w:t xml:space="preserve"> </w:t>
      </w:r>
      <w:r>
        <w:tab/>
        <w:t xml:space="preserve">Citing </w:t>
      </w:r>
      <w:r w:rsidRPr="002D24C9">
        <w:rPr>
          <w:i/>
          <w:iCs/>
        </w:rPr>
        <w:t>R v DPP, ex</w:t>
      </w:r>
      <w:r>
        <w:rPr>
          <w:i/>
          <w:iCs/>
        </w:rPr>
        <w:t xml:space="preserve"> </w:t>
      </w:r>
      <w:r w:rsidRPr="002D24C9">
        <w:rPr>
          <w:i/>
          <w:iCs/>
        </w:rPr>
        <w:t>p Kebilene &amp; Others</w:t>
      </w:r>
      <w:r>
        <w:t xml:space="preserve"> [2000] 2 AC 326 at pp </w:t>
      </w:r>
      <w:r w:rsidRPr="002D24C9">
        <w:t xml:space="preserve">378H-379A, </w:t>
      </w:r>
      <w:r w:rsidRPr="002D24C9">
        <w:rPr>
          <w:i/>
          <w:iCs/>
        </w:rPr>
        <w:t>per</w:t>
      </w:r>
      <w:r>
        <w:t xml:space="preserve"> Lord Hope of Craighead.</w:t>
      </w:r>
    </w:p>
  </w:footnote>
  <w:footnote w:id="95">
    <w:p w:rsidR="00935532" w:rsidRDefault="00935532" w:rsidP="00FC47C1">
      <w:pPr>
        <w:pStyle w:val="FootnoteText"/>
        <w:tabs>
          <w:tab w:val="left" w:pos="360"/>
        </w:tabs>
        <w:ind w:left="360" w:hanging="360"/>
        <w:jc w:val="both"/>
      </w:pPr>
      <w:r>
        <w:rPr>
          <w:rStyle w:val="FootnoteReference"/>
        </w:rPr>
        <w:footnoteRef/>
      </w:r>
      <w:r>
        <w:t xml:space="preserve"> </w:t>
      </w:r>
      <w:r>
        <w:tab/>
        <w:t xml:space="preserve">Citing </w:t>
      </w:r>
      <w:r w:rsidRPr="002D24C9">
        <w:rPr>
          <w:i/>
          <w:iCs/>
        </w:rPr>
        <w:t xml:space="preserve">R v DPP, ex p Kebilene </w:t>
      </w:r>
      <w:r>
        <w:t xml:space="preserve">[2000] 2 AC 326 at p </w:t>
      </w:r>
      <w:r w:rsidRPr="002D24C9">
        <w:t xml:space="preserve">378H, </w:t>
      </w:r>
      <w:r w:rsidRPr="002D24C9">
        <w:rPr>
          <w:i/>
          <w:iCs/>
        </w:rPr>
        <w:t>per</w:t>
      </w:r>
      <w:r>
        <w:t xml:space="preserve"> Lord Hope of Craighead.</w:t>
      </w:r>
    </w:p>
  </w:footnote>
  <w:footnote w:id="96">
    <w:p w:rsidR="00935532" w:rsidRDefault="00935532" w:rsidP="00FC47C1">
      <w:pPr>
        <w:pStyle w:val="FootnoteText"/>
        <w:tabs>
          <w:tab w:val="left" w:pos="360"/>
        </w:tabs>
        <w:ind w:left="360" w:hanging="360"/>
        <w:jc w:val="both"/>
      </w:pPr>
      <w:r>
        <w:rPr>
          <w:rStyle w:val="FootnoteReference"/>
        </w:rPr>
        <w:footnoteRef/>
      </w:r>
      <w:r>
        <w:t xml:space="preserve"> </w:t>
      </w:r>
      <w:r>
        <w:tab/>
        <w:t xml:space="preserve">Citing </w:t>
      </w:r>
      <w:r w:rsidRPr="002D24C9">
        <w:t xml:space="preserve">Emmerson and Ashworth, </w:t>
      </w:r>
      <w:r w:rsidRPr="00C40C61">
        <w:rPr>
          <w:i/>
        </w:rPr>
        <w:t>Human</w:t>
      </w:r>
      <w:r w:rsidRPr="002D24C9">
        <w:t xml:space="preserve"> </w:t>
      </w:r>
      <w:r w:rsidRPr="002D24C9">
        <w:rPr>
          <w:i/>
          <w:iCs/>
        </w:rPr>
        <w:t>Rights and Criminal Justice</w:t>
      </w:r>
      <w:r>
        <w:t xml:space="preserve"> (2001) para.9</w:t>
      </w:r>
      <w:r>
        <w:noBreakHyphen/>
        <w:t>03.</w:t>
      </w:r>
    </w:p>
  </w:footnote>
  <w:footnote w:id="97">
    <w:p w:rsidR="00935532" w:rsidRPr="005165B5" w:rsidRDefault="00935532" w:rsidP="00FC47C1">
      <w:pPr>
        <w:pStyle w:val="FootnoteText"/>
        <w:tabs>
          <w:tab w:val="left" w:pos="360"/>
        </w:tabs>
        <w:ind w:left="360" w:hanging="360"/>
        <w:jc w:val="both"/>
        <w:rPr>
          <w:rFonts w:eastAsia="宋体"/>
          <w:lang w:eastAsia="zh-CN"/>
        </w:rPr>
      </w:pPr>
      <w:r>
        <w:rPr>
          <w:rStyle w:val="FootnoteReference"/>
        </w:rPr>
        <w:footnoteRef/>
      </w:r>
      <w:r>
        <w:t xml:space="preserve"> </w:t>
      </w:r>
      <w:r>
        <w:tab/>
      </w:r>
      <w:r w:rsidRPr="00214C99">
        <w:rPr>
          <w:rFonts w:eastAsia="宋体"/>
          <w:i/>
          <w:lang w:eastAsia="zh-CN"/>
        </w:rPr>
        <w:t xml:space="preserve">So Wai Lun v HKSAR </w:t>
      </w:r>
      <w:r w:rsidRPr="00214C99">
        <w:rPr>
          <w:rFonts w:eastAsia="宋体"/>
          <w:lang w:eastAsia="zh-CN"/>
        </w:rPr>
        <w:t>(2006) 9 HKCFAR 530</w:t>
      </w:r>
      <w:r>
        <w:rPr>
          <w:rFonts w:eastAsia="宋体"/>
          <w:lang w:eastAsia="zh-CN"/>
        </w:rPr>
        <w:t xml:space="preserve"> at §39; </w:t>
      </w:r>
      <w:r w:rsidRPr="00214C99">
        <w:rPr>
          <w:rFonts w:eastAsia="宋体"/>
          <w:i/>
          <w:lang w:eastAsia="zh-CN"/>
        </w:rPr>
        <w:t xml:space="preserve">Hin Lin Yee v HKSAR </w:t>
      </w:r>
      <w:r w:rsidRPr="00214C99">
        <w:rPr>
          <w:rFonts w:eastAsia="宋体"/>
          <w:lang w:eastAsia="zh-CN"/>
        </w:rPr>
        <w:t xml:space="preserve">(2010) 13 HKCFAR 142 </w:t>
      </w:r>
      <w:r>
        <w:rPr>
          <w:rFonts w:eastAsia="宋体"/>
          <w:lang w:eastAsia="zh-CN"/>
        </w:rPr>
        <w:t xml:space="preserve">at §154; </w:t>
      </w:r>
      <w:r w:rsidR="00C40C61">
        <w:rPr>
          <w:rFonts w:eastAsia="宋体"/>
          <w:i/>
          <w:lang w:eastAsia="zh-CN"/>
        </w:rPr>
        <w:t xml:space="preserve">Kulemesin </w:t>
      </w:r>
      <w:r w:rsidRPr="00C04774">
        <w:rPr>
          <w:rFonts w:eastAsia="宋体"/>
          <w:i/>
          <w:lang w:eastAsia="zh-CN"/>
        </w:rPr>
        <w:t>v HKSAR</w:t>
      </w:r>
      <w:r w:rsidRPr="005165B5">
        <w:rPr>
          <w:rFonts w:eastAsia="宋体"/>
          <w:lang w:eastAsia="zh-CN"/>
        </w:rPr>
        <w:t xml:space="preserve"> (2013) 16 HKCFAR 195</w:t>
      </w:r>
      <w:r>
        <w:rPr>
          <w:rFonts w:eastAsia="宋体"/>
          <w:lang w:eastAsia="zh-CN"/>
        </w:rPr>
        <w:t xml:space="preserve"> at §93.</w:t>
      </w:r>
    </w:p>
  </w:footnote>
  <w:footnote w:id="98">
    <w:p w:rsidR="00935532" w:rsidRPr="003661FD" w:rsidRDefault="00935532" w:rsidP="00FC47C1">
      <w:pPr>
        <w:pStyle w:val="FootnoteText"/>
        <w:tabs>
          <w:tab w:val="left" w:pos="360"/>
        </w:tabs>
        <w:ind w:left="360" w:hanging="360"/>
        <w:jc w:val="both"/>
      </w:pPr>
      <w:r>
        <w:rPr>
          <w:rStyle w:val="FootnoteReference"/>
        </w:rPr>
        <w:footnoteRef/>
      </w:r>
      <w:r>
        <w:t xml:space="preserve"> </w:t>
      </w:r>
      <w:r>
        <w:tab/>
      </w:r>
      <w:r w:rsidR="00966687">
        <w:t xml:space="preserve">[2013] </w:t>
      </w:r>
      <w:r w:rsidR="00966687">
        <w:rPr>
          <w:rFonts w:eastAsia="宋体"/>
          <w:lang w:eastAsia="zh-CN"/>
        </w:rPr>
        <w:t>NILR 265</w:t>
      </w:r>
      <w:r>
        <w:t xml:space="preserve"> at §</w:t>
      </w:r>
      <w:r w:rsidR="008434CD">
        <w:t>§</w:t>
      </w:r>
      <w:r>
        <w:t>19</w:t>
      </w:r>
      <w:r w:rsidR="008434CD">
        <w:t>, 38-39</w:t>
      </w:r>
      <w:r>
        <w:t>.</w:t>
      </w:r>
    </w:p>
  </w:footnote>
  <w:footnote w:id="99">
    <w:p w:rsidR="00935532" w:rsidRPr="00D0457F" w:rsidRDefault="00935532" w:rsidP="00FC47C1">
      <w:pPr>
        <w:pStyle w:val="FootnoteText"/>
        <w:tabs>
          <w:tab w:val="left" w:pos="360"/>
        </w:tabs>
        <w:ind w:left="360" w:hanging="360"/>
        <w:jc w:val="both"/>
        <w:rPr>
          <w:rFonts w:eastAsia="宋体"/>
          <w:lang w:eastAsia="zh-CN"/>
        </w:rPr>
      </w:pPr>
      <w:r>
        <w:rPr>
          <w:rStyle w:val="FootnoteReference"/>
        </w:rPr>
        <w:footnoteRef/>
      </w:r>
      <w:r>
        <w:t xml:space="preserve"> </w:t>
      </w:r>
      <w:r>
        <w:tab/>
        <w:t xml:space="preserve">Reflecting the Australian approach: </w:t>
      </w:r>
      <w:r w:rsidRPr="00214C99">
        <w:rPr>
          <w:rFonts w:eastAsia="宋体"/>
          <w:i/>
          <w:lang w:eastAsia="zh-CN"/>
        </w:rPr>
        <w:t xml:space="preserve">CTM v The Queen </w:t>
      </w:r>
      <w:r w:rsidRPr="00214C99">
        <w:rPr>
          <w:rFonts w:eastAsia="宋体"/>
          <w:lang w:eastAsia="zh-CN"/>
        </w:rPr>
        <w:t>(2008) 236 CLR 440</w:t>
      </w:r>
      <w:r>
        <w:rPr>
          <w:rFonts w:eastAsia="宋体"/>
          <w:lang w:eastAsia="zh-CN"/>
        </w:rPr>
        <w:t xml:space="preserve"> at §§8 and 27; as opposed to the English position requiring only that the mistaken belief be honest, without necessarily being reasonable: </w:t>
      </w:r>
      <w:r w:rsidRPr="00D0457F">
        <w:rPr>
          <w:rFonts w:eastAsia="宋体"/>
          <w:i/>
          <w:lang w:eastAsia="zh-CN"/>
        </w:rPr>
        <w:t>R v K</w:t>
      </w:r>
      <w:r w:rsidRPr="00D0457F">
        <w:rPr>
          <w:rFonts w:eastAsia="宋体"/>
          <w:lang w:eastAsia="zh-CN"/>
        </w:rPr>
        <w:t xml:space="preserve"> [2002] 1 AC 462</w:t>
      </w:r>
      <w:r>
        <w:rPr>
          <w:rFonts w:eastAsia="宋体"/>
          <w:lang w:eastAsia="zh-CN"/>
        </w:rPr>
        <w:t>.</w:t>
      </w:r>
    </w:p>
  </w:footnote>
  <w:footnote w:id="100">
    <w:p w:rsidR="00935532" w:rsidRDefault="00935532" w:rsidP="00FC47C1">
      <w:pPr>
        <w:pStyle w:val="FootnoteText"/>
        <w:tabs>
          <w:tab w:val="left" w:pos="360"/>
        </w:tabs>
        <w:ind w:left="360" w:hanging="360"/>
      </w:pPr>
      <w:r>
        <w:rPr>
          <w:rStyle w:val="FootnoteReference"/>
        </w:rPr>
        <w:footnoteRef/>
      </w:r>
      <w:r>
        <w:t xml:space="preserve"> </w:t>
      </w:r>
      <w:r>
        <w:tab/>
        <w:t>Basic Law Art 87; Bill of Rights Art 11(1).</w:t>
      </w:r>
    </w:p>
  </w:footnote>
  <w:footnote w:id="101">
    <w:p w:rsidR="00935532" w:rsidRPr="004F7E80" w:rsidRDefault="00935532" w:rsidP="00FC47C1">
      <w:pPr>
        <w:pStyle w:val="FootnoteText"/>
        <w:tabs>
          <w:tab w:val="left" w:pos="360"/>
        </w:tabs>
        <w:ind w:left="360" w:hanging="360"/>
      </w:pPr>
      <w:r>
        <w:rPr>
          <w:rStyle w:val="FootnoteReference"/>
        </w:rPr>
        <w:footnoteRef/>
      </w:r>
      <w:r>
        <w:t xml:space="preserve"> </w:t>
      </w:r>
      <w:r>
        <w:tab/>
      </w:r>
      <w:r>
        <w:rPr>
          <w:i/>
        </w:rPr>
        <w:t xml:space="preserve">HKSAR v Lam Kwong Wai </w:t>
      </w:r>
      <w:r>
        <w:t>(2006) 9 HKCFAR 574;</w:t>
      </w:r>
      <w:r>
        <w:rPr>
          <w:i/>
        </w:rPr>
        <w:t xml:space="preserve"> HKSAR v Ng Po On </w:t>
      </w:r>
      <w:r w:rsidRPr="004F7E80">
        <w:t>(2008) 11 HKCFAR 91</w:t>
      </w:r>
      <w:r>
        <w:t xml:space="preserve">; </w:t>
      </w:r>
      <w:r w:rsidRPr="004F7E80">
        <w:rPr>
          <w:i/>
        </w:rPr>
        <w:t>Lee To Nei v HKSAR</w:t>
      </w:r>
      <w:r>
        <w:t xml:space="preserve"> (</w:t>
      </w:r>
      <w:r w:rsidRPr="006016A6">
        <w:rPr>
          <w:color w:val="000000"/>
        </w:rPr>
        <w:t>2012) 15 HKCFAR 162</w:t>
      </w:r>
      <w:r>
        <w:rPr>
          <w:color w:val="000000"/>
        </w:rPr>
        <w:t>.</w:t>
      </w:r>
    </w:p>
  </w:footnote>
  <w:footnote w:id="102">
    <w:p w:rsidR="00935532" w:rsidRPr="00840E6F" w:rsidRDefault="00935532" w:rsidP="00FC47C1">
      <w:pPr>
        <w:pStyle w:val="FootnoteText"/>
        <w:tabs>
          <w:tab w:val="left" w:pos="360"/>
        </w:tabs>
        <w:ind w:left="360" w:hanging="360"/>
      </w:pPr>
      <w:r>
        <w:rPr>
          <w:rStyle w:val="FootnoteReference"/>
        </w:rPr>
        <w:footnoteRef/>
      </w:r>
      <w:r>
        <w:t xml:space="preserve"> </w:t>
      </w:r>
      <w:r>
        <w:tab/>
      </w:r>
      <w:r w:rsidRPr="00840E6F">
        <w:rPr>
          <w:i/>
        </w:rPr>
        <w:t xml:space="preserve">Hysan Development Co Ltd v Town Planning </w:t>
      </w:r>
      <w:r>
        <w:rPr>
          <w:i/>
        </w:rPr>
        <w:t>Board</w:t>
      </w:r>
      <w:r>
        <w:t xml:space="preserve"> </w:t>
      </w:r>
      <w:r w:rsidRPr="009F57C3">
        <w:rPr>
          <w:color w:val="000000"/>
          <w:szCs w:val="24"/>
        </w:rPr>
        <w:t>(2016) 19 HKCFAR 372</w:t>
      </w:r>
      <w:r>
        <w:rPr>
          <w:color w:val="000000"/>
          <w:szCs w:val="24"/>
        </w:rPr>
        <w:t>.</w:t>
      </w:r>
    </w:p>
  </w:footnote>
  <w:footnote w:id="103">
    <w:p w:rsidR="00935532" w:rsidRDefault="00935532" w:rsidP="00FC47C1">
      <w:pPr>
        <w:pStyle w:val="FootnoteText"/>
        <w:tabs>
          <w:tab w:val="left" w:pos="360"/>
        </w:tabs>
      </w:pPr>
      <w:r>
        <w:rPr>
          <w:rStyle w:val="FootnoteReference"/>
        </w:rPr>
        <w:footnoteRef/>
      </w:r>
      <w:r>
        <w:t xml:space="preserve"> </w:t>
      </w:r>
      <w:r>
        <w:tab/>
        <w:t>Reasons for Verdict §19 (in translation).</w:t>
      </w:r>
    </w:p>
  </w:footnote>
  <w:footnote w:id="104">
    <w:p w:rsidR="00935532" w:rsidRDefault="00935532">
      <w:pPr>
        <w:pStyle w:val="FootnoteText"/>
      </w:pPr>
      <w:r>
        <w:rPr>
          <w:rStyle w:val="FootnoteReference"/>
        </w:rPr>
        <w:footnoteRef/>
      </w:r>
      <w:r>
        <w:t xml:space="preserve"> </w:t>
      </w:r>
      <w:r>
        <w:tab/>
        <w:t>Appearing for the respondent with Mr Ned Lai and Ms Audrey Parwani.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935532" w:rsidRDefault="00935532">
        <w:pPr>
          <w:pStyle w:val="Header"/>
          <w:jc w:val="center"/>
        </w:pPr>
        <w:r>
          <w:t>-</w:t>
        </w:r>
        <w:r>
          <w:fldChar w:fldCharType="begin"/>
        </w:r>
        <w:r>
          <w:instrText xml:space="preserve"> PAGE   \* MERGEFORMAT </w:instrText>
        </w:r>
        <w:r>
          <w:fldChar w:fldCharType="separate"/>
        </w:r>
        <w:r w:rsidR="00D92801">
          <w:rPr>
            <w:noProof/>
          </w:rPr>
          <w:t>20</w:t>
        </w:r>
        <w:r>
          <w:rPr>
            <w:noProof/>
          </w:rPr>
          <w:fldChar w:fldCharType="end"/>
        </w:r>
        <w:r>
          <w:t>-</w:t>
        </w:r>
      </w:p>
    </w:sdtContent>
  </w:sdt>
  <w:p w:rsidR="00935532" w:rsidRDefault="00935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02"/>
    <w:rsid w:val="00000540"/>
    <w:rsid w:val="00000908"/>
    <w:rsid w:val="00000BC5"/>
    <w:rsid w:val="00000E7F"/>
    <w:rsid w:val="000014EF"/>
    <w:rsid w:val="000019B8"/>
    <w:rsid w:val="00001ACD"/>
    <w:rsid w:val="000020D1"/>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4FE3"/>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5AE"/>
    <w:rsid w:val="000146D7"/>
    <w:rsid w:val="000149E3"/>
    <w:rsid w:val="00014A40"/>
    <w:rsid w:val="00014C56"/>
    <w:rsid w:val="00014D31"/>
    <w:rsid w:val="00014DA9"/>
    <w:rsid w:val="00014F7A"/>
    <w:rsid w:val="00014FA4"/>
    <w:rsid w:val="00014FCF"/>
    <w:rsid w:val="00015214"/>
    <w:rsid w:val="0001576B"/>
    <w:rsid w:val="00015948"/>
    <w:rsid w:val="00015A44"/>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04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3BE"/>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C9E"/>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84F"/>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053"/>
    <w:rsid w:val="00062347"/>
    <w:rsid w:val="000624E4"/>
    <w:rsid w:val="0006251F"/>
    <w:rsid w:val="0006299D"/>
    <w:rsid w:val="00062BBE"/>
    <w:rsid w:val="00063971"/>
    <w:rsid w:val="00063D91"/>
    <w:rsid w:val="0006417B"/>
    <w:rsid w:val="000645EA"/>
    <w:rsid w:val="0006476B"/>
    <w:rsid w:val="00064905"/>
    <w:rsid w:val="00064DFE"/>
    <w:rsid w:val="000651C1"/>
    <w:rsid w:val="00065522"/>
    <w:rsid w:val="00065BC7"/>
    <w:rsid w:val="00065F19"/>
    <w:rsid w:val="00066110"/>
    <w:rsid w:val="000666C9"/>
    <w:rsid w:val="00066727"/>
    <w:rsid w:val="00066795"/>
    <w:rsid w:val="00066A48"/>
    <w:rsid w:val="00066C76"/>
    <w:rsid w:val="0006705A"/>
    <w:rsid w:val="000671E4"/>
    <w:rsid w:val="0006746F"/>
    <w:rsid w:val="00067BF0"/>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8CD"/>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1B"/>
    <w:rsid w:val="000868C6"/>
    <w:rsid w:val="000868CD"/>
    <w:rsid w:val="00086A49"/>
    <w:rsid w:val="00086CB7"/>
    <w:rsid w:val="00086E46"/>
    <w:rsid w:val="000875E8"/>
    <w:rsid w:val="000876E4"/>
    <w:rsid w:val="00087D94"/>
    <w:rsid w:val="00087E50"/>
    <w:rsid w:val="0009024C"/>
    <w:rsid w:val="00090492"/>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329"/>
    <w:rsid w:val="000C24ED"/>
    <w:rsid w:val="000C2916"/>
    <w:rsid w:val="000C29CE"/>
    <w:rsid w:val="000C2CCF"/>
    <w:rsid w:val="000C30C7"/>
    <w:rsid w:val="000C32B3"/>
    <w:rsid w:val="000C33EE"/>
    <w:rsid w:val="000C3580"/>
    <w:rsid w:val="000C3641"/>
    <w:rsid w:val="000C3891"/>
    <w:rsid w:val="000C3A97"/>
    <w:rsid w:val="000C3BCB"/>
    <w:rsid w:val="000C3DB3"/>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397"/>
    <w:rsid w:val="000C63DE"/>
    <w:rsid w:val="000C6409"/>
    <w:rsid w:val="000C65CF"/>
    <w:rsid w:val="000C6A37"/>
    <w:rsid w:val="000C6A4F"/>
    <w:rsid w:val="000C6E1D"/>
    <w:rsid w:val="000C6ED8"/>
    <w:rsid w:val="000C79BF"/>
    <w:rsid w:val="000C7A7F"/>
    <w:rsid w:val="000C7EF2"/>
    <w:rsid w:val="000D0285"/>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AAC"/>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05E"/>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0A0"/>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599"/>
    <w:rsid w:val="000E4604"/>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A02"/>
    <w:rsid w:val="000F3E40"/>
    <w:rsid w:val="000F4012"/>
    <w:rsid w:val="000F403A"/>
    <w:rsid w:val="000F4102"/>
    <w:rsid w:val="000F4719"/>
    <w:rsid w:val="000F4802"/>
    <w:rsid w:val="000F492F"/>
    <w:rsid w:val="000F4B08"/>
    <w:rsid w:val="000F50E1"/>
    <w:rsid w:val="000F51A4"/>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B7"/>
    <w:rsid w:val="00100A6E"/>
    <w:rsid w:val="00100AD0"/>
    <w:rsid w:val="00101977"/>
    <w:rsid w:val="00101992"/>
    <w:rsid w:val="00101D7C"/>
    <w:rsid w:val="00102027"/>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7A3"/>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0BF"/>
    <w:rsid w:val="001311C4"/>
    <w:rsid w:val="0013134A"/>
    <w:rsid w:val="00131AE9"/>
    <w:rsid w:val="00131B9E"/>
    <w:rsid w:val="0013225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0F25"/>
    <w:rsid w:val="001411D0"/>
    <w:rsid w:val="0014155F"/>
    <w:rsid w:val="00141BF7"/>
    <w:rsid w:val="00141E59"/>
    <w:rsid w:val="001421D8"/>
    <w:rsid w:val="001421EE"/>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37"/>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CDD"/>
    <w:rsid w:val="00153D73"/>
    <w:rsid w:val="00153E94"/>
    <w:rsid w:val="00154300"/>
    <w:rsid w:val="00154355"/>
    <w:rsid w:val="0015482F"/>
    <w:rsid w:val="001548BA"/>
    <w:rsid w:val="00154A60"/>
    <w:rsid w:val="00154BC5"/>
    <w:rsid w:val="00154D88"/>
    <w:rsid w:val="00154EBA"/>
    <w:rsid w:val="00154F90"/>
    <w:rsid w:val="00155BAD"/>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06"/>
    <w:rsid w:val="00167286"/>
    <w:rsid w:val="00167B83"/>
    <w:rsid w:val="00167C5F"/>
    <w:rsid w:val="00167CD6"/>
    <w:rsid w:val="00170365"/>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4C5"/>
    <w:rsid w:val="00180607"/>
    <w:rsid w:val="0018090B"/>
    <w:rsid w:val="00180F61"/>
    <w:rsid w:val="0018122A"/>
    <w:rsid w:val="001812C2"/>
    <w:rsid w:val="001818C8"/>
    <w:rsid w:val="0018192F"/>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8DA"/>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6A"/>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3AE"/>
    <w:rsid w:val="001A7527"/>
    <w:rsid w:val="001A76F6"/>
    <w:rsid w:val="001A79DC"/>
    <w:rsid w:val="001A7AEF"/>
    <w:rsid w:val="001A7FED"/>
    <w:rsid w:val="001B01A2"/>
    <w:rsid w:val="001B029E"/>
    <w:rsid w:val="001B03AF"/>
    <w:rsid w:val="001B0425"/>
    <w:rsid w:val="001B0643"/>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3B41"/>
    <w:rsid w:val="001B4040"/>
    <w:rsid w:val="001B434D"/>
    <w:rsid w:val="001B4386"/>
    <w:rsid w:val="001B44FD"/>
    <w:rsid w:val="001B4A23"/>
    <w:rsid w:val="001B4B0B"/>
    <w:rsid w:val="001B4D91"/>
    <w:rsid w:val="001B4FD0"/>
    <w:rsid w:val="001B53D7"/>
    <w:rsid w:val="001B5506"/>
    <w:rsid w:val="001B5726"/>
    <w:rsid w:val="001B57AC"/>
    <w:rsid w:val="001B5905"/>
    <w:rsid w:val="001B5EC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4E8E"/>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0B6"/>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7CC"/>
    <w:rsid w:val="00200960"/>
    <w:rsid w:val="00200EDE"/>
    <w:rsid w:val="00200F04"/>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1E"/>
    <w:rsid w:val="00203BA3"/>
    <w:rsid w:val="002040B0"/>
    <w:rsid w:val="00204320"/>
    <w:rsid w:val="0020482A"/>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00A"/>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E0"/>
    <w:rsid w:val="00216E03"/>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9F2"/>
    <w:rsid w:val="00221AA6"/>
    <w:rsid w:val="00221AD8"/>
    <w:rsid w:val="00221E5D"/>
    <w:rsid w:val="00221F20"/>
    <w:rsid w:val="002222DB"/>
    <w:rsid w:val="00222548"/>
    <w:rsid w:val="00222614"/>
    <w:rsid w:val="0022266C"/>
    <w:rsid w:val="002227CC"/>
    <w:rsid w:val="002227FA"/>
    <w:rsid w:val="00223019"/>
    <w:rsid w:val="0022312D"/>
    <w:rsid w:val="00223458"/>
    <w:rsid w:val="00223467"/>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11"/>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023"/>
    <w:rsid w:val="00234717"/>
    <w:rsid w:val="00234841"/>
    <w:rsid w:val="00234E6B"/>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B70"/>
    <w:rsid w:val="00241F68"/>
    <w:rsid w:val="00242007"/>
    <w:rsid w:val="0024265C"/>
    <w:rsid w:val="0024288A"/>
    <w:rsid w:val="0024289B"/>
    <w:rsid w:val="0024292D"/>
    <w:rsid w:val="00242EC9"/>
    <w:rsid w:val="00242F66"/>
    <w:rsid w:val="00243010"/>
    <w:rsid w:val="00243035"/>
    <w:rsid w:val="0024318E"/>
    <w:rsid w:val="002432A6"/>
    <w:rsid w:val="0024357B"/>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D74"/>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6D"/>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2BE"/>
    <w:rsid w:val="0026431E"/>
    <w:rsid w:val="00264797"/>
    <w:rsid w:val="00264957"/>
    <w:rsid w:val="00264ED3"/>
    <w:rsid w:val="00264F00"/>
    <w:rsid w:val="00264F08"/>
    <w:rsid w:val="0026512C"/>
    <w:rsid w:val="00265182"/>
    <w:rsid w:val="002651D7"/>
    <w:rsid w:val="00265288"/>
    <w:rsid w:val="00265B73"/>
    <w:rsid w:val="00265D36"/>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943"/>
    <w:rsid w:val="00280B78"/>
    <w:rsid w:val="00280B91"/>
    <w:rsid w:val="00280F22"/>
    <w:rsid w:val="002810E4"/>
    <w:rsid w:val="002812CD"/>
    <w:rsid w:val="00281566"/>
    <w:rsid w:val="00281583"/>
    <w:rsid w:val="002818B0"/>
    <w:rsid w:val="00281924"/>
    <w:rsid w:val="00281B45"/>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6B6"/>
    <w:rsid w:val="0028674B"/>
    <w:rsid w:val="00286750"/>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46D"/>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E1D"/>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ECB"/>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2EBA"/>
    <w:rsid w:val="002C3330"/>
    <w:rsid w:val="002C3432"/>
    <w:rsid w:val="002C3523"/>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D75"/>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0CD"/>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AD"/>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2D0F"/>
    <w:rsid w:val="002E3035"/>
    <w:rsid w:val="002E3036"/>
    <w:rsid w:val="002E3318"/>
    <w:rsid w:val="002E33F7"/>
    <w:rsid w:val="002E3528"/>
    <w:rsid w:val="002E3594"/>
    <w:rsid w:val="002E3759"/>
    <w:rsid w:val="002E378D"/>
    <w:rsid w:val="002E3958"/>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19A"/>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71D"/>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26E"/>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DC2"/>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1C"/>
    <w:rsid w:val="00325E8B"/>
    <w:rsid w:val="00326026"/>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BD4"/>
    <w:rsid w:val="00331CAD"/>
    <w:rsid w:val="00332132"/>
    <w:rsid w:val="0033217A"/>
    <w:rsid w:val="003321AA"/>
    <w:rsid w:val="00332436"/>
    <w:rsid w:val="0033260F"/>
    <w:rsid w:val="00332665"/>
    <w:rsid w:val="00332B23"/>
    <w:rsid w:val="00332E45"/>
    <w:rsid w:val="00332FF6"/>
    <w:rsid w:val="003334B9"/>
    <w:rsid w:val="003334E6"/>
    <w:rsid w:val="00333917"/>
    <w:rsid w:val="00333D72"/>
    <w:rsid w:val="0033417A"/>
    <w:rsid w:val="0033463C"/>
    <w:rsid w:val="00334683"/>
    <w:rsid w:val="003347F6"/>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18F"/>
    <w:rsid w:val="00345674"/>
    <w:rsid w:val="00345939"/>
    <w:rsid w:val="00345965"/>
    <w:rsid w:val="00345BE0"/>
    <w:rsid w:val="00345C33"/>
    <w:rsid w:val="00346897"/>
    <w:rsid w:val="00346C89"/>
    <w:rsid w:val="00346DEE"/>
    <w:rsid w:val="00346DF1"/>
    <w:rsid w:val="00346F25"/>
    <w:rsid w:val="0034708F"/>
    <w:rsid w:val="003470D2"/>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5C7"/>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0C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1FD"/>
    <w:rsid w:val="0036648B"/>
    <w:rsid w:val="003669FB"/>
    <w:rsid w:val="00367241"/>
    <w:rsid w:val="00367AB6"/>
    <w:rsid w:val="00370334"/>
    <w:rsid w:val="003703C7"/>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45"/>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652"/>
    <w:rsid w:val="003A173A"/>
    <w:rsid w:val="003A1EC7"/>
    <w:rsid w:val="003A1EF6"/>
    <w:rsid w:val="003A2455"/>
    <w:rsid w:val="003A2694"/>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DED"/>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2EC8"/>
    <w:rsid w:val="003C3036"/>
    <w:rsid w:val="003C3080"/>
    <w:rsid w:val="003C3685"/>
    <w:rsid w:val="003C3701"/>
    <w:rsid w:val="003C38AE"/>
    <w:rsid w:val="003C3BF8"/>
    <w:rsid w:val="003C3CE7"/>
    <w:rsid w:val="003C41B0"/>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B8A"/>
    <w:rsid w:val="003D0F96"/>
    <w:rsid w:val="003D0FFC"/>
    <w:rsid w:val="003D112D"/>
    <w:rsid w:val="003D12F2"/>
    <w:rsid w:val="003D1330"/>
    <w:rsid w:val="003D149C"/>
    <w:rsid w:val="003D15AF"/>
    <w:rsid w:val="003D182B"/>
    <w:rsid w:val="003D1DD8"/>
    <w:rsid w:val="003D2938"/>
    <w:rsid w:val="003D36C1"/>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31"/>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0DC"/>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3A8"/>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98A"/>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6F34"/>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1E15"/>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D89"/>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2"/>
    <w:rsid w:val="004413F8"/>
    <w:rsid w:val="004415E3"/>
    <w:rsid w:val="004423C8"/>
    <w:rsid w:val="00442593"/>
    <w:rsid w:val="004425EF"/>
    <w:rsid w:val="00442693"/>
    <w:rsid w:val="00442B41"/>
    <w:rsid w:val="00443151"/>
    <w:rsid w:val="004438A3"/>
    <w:rsid w:val="00443945"/>
    <w:rsid w:val="00443C21"/>
    <w:rsid w:val="00443E77"/>
    <w:rsid w:val="00444088"/>
    <w:rsid w:val="00444203"/>
    <w:rsid w:val="00444F0C"/>
    <w:rsid w:val="00445300"/>
    <w:rsid w:val="00445421"/>
    <w:rsid w:val="004454FA"/>
    <w:rsid w:val="00445683"/>
    <w:rsid w:val="004456A1"/>
    <w:rsid w:val="00445897"/>
    <w:rsid w:val="0044618F"/>
    <w:rsid w:val="00446481"/>
    <w:rsid w:val="0044655D"/>
    <w:rsid w:val="00446929"/>
    <w:rsid w:val="0044698D"/>
    <w:rsid w:val="004474C4"/>
    <w:rsid w:val="00447666"/>
    <w:rsid w:val="004476F1"/>
    <w:rsid w:val="00447E66"/>
    <w:rsid w:val="004503D3"/>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DC0"/>
    <w:rsid w:val="00452EE4"/>
    <w:rsid w:val="00453143"/>
    <w:rsid w:val="00453353"/>
    <w:rsid w:val="004538D4"/>
    <w:rsid w:val="00453E1B"/>
    <w:rsid w:val="00453E56"/>
    <w:rsid w:val="004543DD"/>
    <w:rsid w:val="00454926"/>
    <w:rsid w:val="0045494D"/>
    <w:rsid w:val="00454E8A"/>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05C"/>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68A"/>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BB4"/>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8B3"/>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C2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C65"/>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46F"/>
    <w:rsid w:val="004B0577"/>
    <w:rsid w:val="004B06BB"/>
    <w:rsid w:val="004B06E3"/>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1C0"/>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43"/>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8"/>
    <w:rsid w:val="004D5059"/>
    <w:rsid w:val="004D53D2"/>
    <w:rsid w:val="004D54C5"/>
    <w:rsid w:val="004D55BD"/>
    <w:rsid w:val="004D57BA"/>
    <w:rsid w:val="004D5839"/>
    <w:rsid w:val="004D5980"/>
    <w:rsid w:val="004D59CB"/>
    <w:rsid w:val="004D5AFA"/>
    <w:rsid w:val="004D5B86"/>
    <w:rsid w:val="004D5C7F"/>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D7E17"/>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A11"/>
    <w:rsid w:val="004F2CD6"/>
    <w:rsid w:val="004F31C7"/>
    <w:rsid w:val="004F31EB"/>
    <w:rsid w:val="004F32A2"/>
    <w:rsid w:val="004F34E6"/>
    <w:rsid w:val="004F3587"/>
    <w:rsid w:val="004F35DE"/>
    <w:rsid w:val="004F39C4"/>
    <w:rsid w:val="004F3CB5"/>
    <w:rsid w:val="004F3F7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E80"/>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0B5"/>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3FC"/>
    <w:rsid w:val="00510C08"/>
    <w:rsid w:val="005119C2"/>
    <w:rsid w:val="00511B70"/>
    <w:rsid w:val="00511BAD"/>
    <w:rsid w:val="00512020"/>
    <w:rsid w:val="005123B2"/>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5B5"/>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4E4"/>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518"/>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4D79"/>
    <w:rsid w:val="0054521C"/>
    <w:rsid w:val="0054528F"/>
    <w:rsid w:val="00545582"/>
    <w:rsid w:val="005455C2"/>
    <w:rsid w:val="005455E1"/>
    <w:rsid w:val="00545613"/>
    <w:rsid w:val="00545615"/>
    <w:rsid w:val="005456DF"/>
    <w:rsid w:val="005462D1"/>
    <w:rsid w:val="00546962"/>
    <w:rsid w:val="00546F6D"/>
    <w:rsid w:val="00547205"/>
    <w:rsid w:val="00547390"/>
    <w:rsid w:val="00547630"/>
    <w:rsid w:val="0054771A"/>
    <w:rsid w:val="0054777A"/>
    <w:rsid w:val="00550458"/>
    <w:rsid w:val="005508AE"/>
    <w:rsid w:val="00550DF1"/>
    <w:rsid w:val="005511B8"/>
    <w:rsid w:val="005516CB"/>
    <w:rsid w:val="00551796"/>
    <w:rsid w:val="00551D75"/>
    <w:rsid w:val="00551E7C"/>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074"/>
    <w:rsid w:val="005612DD"/>
    <w:rsid w:val="0056148B"/>
    <w:rsid w:val="005614DB"/>
    <w:rsid w:val="005614F3"/>
    <w:rsid w:val="00561584"/>
    <w:rsid w:val="005615A1"/>
    <w:rsid w:val="005615CA"/>
    <w:rsid w:val="00561AE2"/>
    <w:rsid w:val="00561DAB"/>
    <w:rsid w:val="0056207A"/>
    <w:rsid w:val="00562833"/>
    <w:rsid w:val="0056285D"/>
    <w:rsid w:val="00562909"/>
    <w:rsid w:val="00562B56"/>
    <w:rsid w:val="00562F3B"/>
    <w:rsid w:val="00563294"/>
    <w:rsid w:val="005633C9"/>
    <w:rsid w:val="005635B3"/>
    <w:rsid w:val="00563A7E"/>
    <w:rsid w:val="00563A92"/>
    <w:rsid w:val="00563DD0"/>
    <w:rsid w:val="00563E2F"/>
    <w:rsid w:val="00564129"/>
    <w:rsid w:val="00564343"/>
    <w:rsid w:val="005644CB"/>
    <w:rsid w:val="005646BA"/>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189"/>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544"/>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93F"/>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489"/>
    <w:rsid w:val="0059258E"/>
    <w:rsid w:val="00592605"/>
    <w:rsid w:val="005927DD"/>
    <w:rsid w:val="00592DB6"/>
    <w:rsid w:val="00592FA4"/>
    <w:rsid w:val="005930C9"/>
    <w:rsid w:val="005932B1"/>
    <w:rsid w:val="00593446"/>
    <w:rsid w:val="0059349A"/>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1DD"/>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361"/>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D2F"/>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1E1"/>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EE2"/>
    <w:rsid w:val="005C7FDD"/>
    <w:rsid w:val="005D06B0"/>
    <w:rsid w:val="005D07F5"/>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4BE"/>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095"/>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B68"/>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8A"/>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48"/>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4F37"/>
    <w:rsid w:val="00605501"/>
    <w:rsid w:val="0060558D"/>
    <w:rsid w:val="006059E1"/>
    <w:rsid w:val="00605C18"/>
    <w:rsid w:val="0060608E"/>
    <w:rsid w:val="0060659A"/>
    <w:rsid w:val="00606843"/>
    <w:rsid w:val="00606B0A"/>
    <w:rsid w:val="006071DC"/>
    <w:rsid w:val="006075F0"/>
    <w:rsid w:val="006079F8"/>
    <w:rsid w:val="00607B8C"/>
    <w:rsid w:val="00607D43"/>
    <w:rsid w:val="00607D48"/>
    <w:rsid w:val="006100F7"/>
    <w:rsid w:val="00610258"/>
    <w:rsid w:val="00610A1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3AB"/>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310"/>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A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DF7"/>
    <w:rsid w:val="00651F31"/>
    <w:rsid w:val="00651FA6"/>
    <w:rsid w:val="0065211C"/>
    <w:rsid w:val="00652466"/>
    <w:rsid w:val="00652876"/>
    <w:rsid w:val="006528B6"/>
    <w:rsid w:val="00652991"/>
    <w:rsid w:val="00652AE8"/>
    <w:rsid w:val="00652B8B"/>
    <w:rsid w:val="00652C05"/>
    <w:rsid w:val="00653199"/>
    <w:rsid w:val="00653A86"/>
    <w:rsid w:val="00653C1E"/>
    <w:rsid w:val="00653CB1"/>
    <w:rsid w:val="00653D12"/>
    <w:rsid w:val="00654367"/>
    <w:rsid w:val="006544F2"/>
    <w:rsid w:val="0065462E"/>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10F"/>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3FC"/>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21B"/>
    <w:rsid w:val="00673313"/>
    <w:rsid w:val="00673E48"/>
    <w:rsid w:val="00674162"/>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943"/>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64"/>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DB2"/>
    <w:rsid w:val="00695DBB"/>
    <w:rsid w:val="00696D59"/>
    <w:rsid w:val="00696E5B"/>
    <w:rsid w:val="00696F1D"/>
    <w:rsid w:val="00696FFD"/>
    <w:rsid w:val="0069736B"/>
    <w:rsid w:val="006975CE"/>
    <w:rsid w:val="006976C9"/>
    <w:rsid w:val="0069798C"/>
    <w:rsid w:val="00697D6B"/>
    <w:rsid w:val="006A0093"/>
    <w:rsid w:val="006A009C"/>
    <w:rsid w:val="006A0210"/>
    <w:rsid w:val="006A02FB"/>
    <w:rsid w:val="006A0620"/>
    <w:rsid w:val="006A0AA2"/>
    <w:rsid w:val="006A0C83"/>
    <w:rsid w:val="006A15EE"/>
    <w:rsid w:val="006A1B6B"/>
    <w:rsid w:val="006A1F0B"/>
    <w:rsid w:val="006A1FB5"/>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85D"/>
    <w:rsid w:val="006B4C04"/>
    <w:rsid w:val="006B4DDF"/>
    <w:rsid w:val="006B55BE"/>
    <w:rsid w:val="006B5851"/>
    <w:rsid w:val="006B6185"/>
    <w:rsid w:val="006B6368"/>
    <w:rsid w:val="006B6777"/>
    <w:rsid w:val="006B6B13"/>
    <w:rsid w:val="006B6E31"/>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B7E"/>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6D7"/>
    <w:rsid w:val="006C5B13"/>
    <w:rsid w:val="006C5EF9"/>
    <w:rsid w:val="006C6037"/>
    <w:rsid w:val="006C62AA"/>
    <w:rsid w:val="006C62F1"/>
    <w:rsid w:val="006C6686"/>
    <w:rsid w:val="006C6732"/>
    <w:rsid w:val="006C67B8"/>
    <w:rsid w:val="006C6839"/>
    <w:rsid w:val="006C68B7"/>
    <w:rsid w:val="006C6A5C"/>
    <w:rsid w:val="006C6AEF"/>
    <w:rsid w:val="006C70EB"/>
    <w:rsid w:val="006C72E7"/>
    <w:rsid w:val="006C7535"/>
    <w:rsid w:val="006C7947"/>
    <w:rsid w:val="006C7A07"/>
    <w:rsid w:val="006C7C2A"/>
    <w:rsid w:val="006C7E94"/>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1D42"/>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8F6"/>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6F7FDA"/>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DB6"/>
    <w:rsid w:val="007102F2"/>
    <w:rsid w:val="00710B54"/>
    <w:rsid w:val="00710C49"/>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08D"/>
    <w:rsid w:val="007339BE"/>
    <w:rsid w:val="007341CA"/>
    <w:rsid w:val="0073429E"/>
    <w:rsid w:val="0073430C"/>
    <w:rsid w:val="00734522"/>
    <w:rsid w:val="0073478C"/>
    <w:rsid w:val="00734B8F"/>
    <w:rsid w:val="00734E27"/>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D57"/>
    <w:rsid w:val="00742EEF"/>
    <w:rsid w:val="007439D3"/>
    <w:rsid w:val="007439E7"/>
    <w:rsid w:val="00743BFC"/>
    <w:rsid w:val="00744089"/>
    <w:rsid w:val="007444B4"/>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9BC"/>
    <w:rsid w:val="00747B42"/>
    <w:rsid w:val="00747D6A"/>
    <w:rsid w:val="0075006F"/>
    <w:rsid w:val="007500B1"/>
    <w:rsid w:val="00750420"/>
    <w:rsid w:val="0075076E"/>
    <w:rsid w:val="00750888"/>
    <w:rsid w:val="00750A1A"/>
    <w:rsid w:val="00750AD8"/>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25A"/>
    <w:rsid w:val="007633FE"/>
    <w:rsid w:val="007634C1"/>
    <w:rsid w:val="0076352F"/>
    <w:rsid w:val="00763C65"/>
    <w:rsid w:val="00763DB1"/>
    <w:rsid w:val="0076407C"/>
    <w:rsid w:val="00764223"/>
    <w:rsid w:val="0076425F"/>
    <w:rsid w:val="007642CA"/>
    <w:rsid w:val="0076474B"/>
    <w:rsid w:val="007648AB"/>
    <w:rsid w:val="00764A92"/>
    <w:rsid w:val="00764ADD"/>
    <w:rsid w:val="00764E55"/>
    <w:rsid w:val="00765396"/>
    <w:rsid w:val="0076548F"/>
    <w:rsid w:val="00765510"/>
    <w:rsid w:val="007655EC"/>
    <w:rsid w:val="0076639A"/>
    <w:rsid w:val="007667C4"/>
    <w:rsid w:val="00766905"/>
    <w:rsid w:val="00766C44"/>
    <w:rsid w:val="007671AA"/>
    <w:rsid w:val="007672B4"/>
    <w:rsid w:val="0076765F"/>
    <w:rsid w:val="00767687"/>
    <w:rsid w:val="0076797D"/>
    <w:rsid w:val="00767DD6"/>
    <w:rsid w:val="00767DFB"/>
    <w:rsid w:val="00767E51"/>
    <w:rsid w:val="00770128"/>
    <w:rsid w:val="00770236"/>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13C"/>
    <w:rsid w:val="007773EB"/>
    <w:rsid w:val="00777592"/>
    <w:rsid w:val="00777A15"/>
    <w:rsid w:val="00777A2D"/>
    <w:rsid w:val="00777BD3"/>
    <w:rsid w:val="00777D29"/>
    <w:rsid w:val="00777D3E"/>
    <w:rsid w:val="00777E21"/>
    <w:rsid w:val="00777FAC"/>
    <w:rsid w:val="0078031E"/>
    <w:rsid w:val="0078079D"/>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352"/>
    <w:rsid w:val="007874CD"/>
    <w:rsid w:val="0078764E"/>
    <w:rsid w:val="00787AC7"/>
    <w:rsid w:val="00787B3B"/>
    <w:rsid w:val="00790008"/>
    <w:rsid w:val="0079010F"/>
    <w:rsid w:val="0079027A"/>
    <w:rsid w:val="007902D3"/>
    <w:rsid w:val="007906E7"/>
    <w:rsid w:val="00790727"/>
    <w:rsid w:val="0079092E"/>
    <w:rsid w:val="00790A68"/>
    <w:rsid w:val="00790E04"/>
    <w:rsid w:val="00790F86"/>
    <w:rsid w:val="00790FD2"/>
    <w:rsid w:val="007911AF"/>
    <w:rsid w:val="00791258"/>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0AD"/>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729"/>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356"/>
    <w:rsid w:val="007B4FA9"/>
    <w:rsid w:val="007B4FD0"/>
    <w:rsid w:val="007B5285"/>
    <w:rsid w:val="007B5459"/>
    <w:rsid w:val="007B5A8B"/>
    <w:rsid w:val="007B5B82"/>
    <w:rsid w:val="007B5E2E"/>
    <w:rsid w:val="007B5EE7"/>
    <w:rsid w:val="007B6198"/>
    <w:rsid w:val="007B628B"/>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B4F"/>
    <w:rsid w:val="007D3D4F"/>
    <w:rsid w:val="007D3E74"/>
    <w:rsid w:val="007D3E75"/>
    <w:rsid w:val="007D3FFE"/>
    <w:rsid w:val="007D405E"/>
    <w:rsid w:val="007D442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AB"/>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4D2D"/>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1F4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3DC5"/>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630"/>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61D"/>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AA5"/>
    <w:rsid w:val="00824E46"/>
    <w:rsid w:val="00824F87"/>
    <w:rsid w:val="008251BD"/>
    <w:rsid w:val="0082540D"/>
    <w:rsid w:val="0082541E"/>
    <w:rsid w:val="00825509"/>
    <w:rsid w:val="00825955"/>
    <w:rsid w:val="00825A26"/>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40269"/>
    <w:rsid w:val="00840514"/>
    <w:rsid w:val="00840549"/>
    <w:rsid w:val="008406EA"/>
    <w:rsid w:val="008409B5"/>
    <w:rsid w:val="00840C4F"/>
    <w:rsid w:val="00840E6F"/>
    <w:rsid w:val="00840F07"/>
    <w:rsid w:val="00841083"/>
    <w:rsid w:val="00841474"/>
    <w:rsid w:val="00841638"/>
    <w:rsid w:val="00841887"/>
    <w:rsid w:val="00841956"/>
    <w:rsid w:val="00841991"/>
    <w:rsid w:val="00841A8A"/>
    <w:rsid w:val="00841DC9"/>
    <w:rsid w:val="00841F3E"/>
    <w:rsid w:val="00842124"/>
    <w:rsid w:val="00842701"/>
    <w:rsid w:val="008427B1"/>
    <w:rsid w:val="0084293F"/>
    <w:rsid w:val="0084347B"/>
    <w:rsid w:val="008434CD"/>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3"/>
    <w:rsid w:val="00853D1C"/>
    <w:rsid w:val="00853D51"/>
    <w:rsid w:val="00853E8B"/>
    <w:rsid w:val="00854097"/>
    <w:rsid w:val="00854467"/>
    <w:rsid w:val="0085454D"/>
    <w:rsid w:val="0085481C"/>
    <w:rsid w:val="00854976"/>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A77"/>
    <w:rsid w:val="00874DB7"/>
    <w:rsid w:val="00874E87"/>
    <w:rsid w:val="008754E3"/>
    <w:rsid w:val="008754E7"/>
    <w:rsid w:val="0087557C"/>
    <w:rsid w:val="00875BCF"/>
    <w:rsid w:val="00875E38"/>
    <w:rsid w:val="008764F6"/>
    <w:rsid w:val="008764F7"/>
    <w:rsid w:val="00876522"/>
    <w:rsid w:val="0087785F"/>
    <w:rsid w:val="00877B8C"/>
    <w:rsid w:val="00877BD5"/>
    <w:rsid w:val="00877C7C"/>
    <w:rsid w:val="00880101"/>
    <w:rsid w:val="0088022A"/>
    <w:rsid w:val="00880587"/>
    <w:rsid w:val="00880AE2"/>
    <w:rsid w:val="00880B62"/>
    <w:rsid w:val="00880C6F"/>
    <w:rsid w:val="00880DB4"/>
    <w:rsid w:val="00881109"/>
    <w:rsid w:val="00881500"/>
    <w:rsid w:val="00881541"/>
    <w:rsid w:val="0088156B"/>
    <w:rsid w:val="00881A94"/>
    <w:rsid w:val="00881D1F"/>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3E6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9C"/>
    <w:rsid w:val="008975F2"/>
    <w:rsid w:val="008977A3"/>
    <w:rsid w:val="008978DE"/>
    <w:rsid w:val="0089793B"/>
    <w:rsid w:val="00897DC4"/>
    <w:rsid w:val="00897DDA"/>
    <w:rsid w:val="008A01F5"/>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AC7"/>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476"/>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06F"/>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186"/>
    <w:rsid w:val="008C74F5"/>
    <w:rsid w:val="008C77F4"/>
    <w:rsid w:val="008C7A58"/>
    <w:rsid w:val="008D0183"/>
    <w:rsid w:val="008D0422"/>
    <w:rsid w:val="008D08CE"/>
    <w:rsid w:val="008D09AD"/>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35B"/>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315"/>
    <w:rsid w:val="008F2633"/>
    <w:rsid w:val="008F28E4"/>
    <w:rsid w:val="008F2A28"/>
    <w:rsid w:val="008F2D69"/>
    <w:rsid w:val="008F2DB4"/>
    <w:rsid w:val="008F321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10B"/>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56F"/>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877"/>
    <w:rsid w:val="00920B6F"/>
    <w:rsid w:val="009210C4"/>
    <w:rsid w:val="009216CA"/>
    <w:rsid w:val="00921C25"/>
    <w:rsid w:val="00921CD8"/>
    <w:rsid w:val="00921F09"/>
    <w:rsid w:val="00921F6E"/>
    <w:rsid w:val="00922101"/>
    <w:rsid w:val="0092233B"/>
    <w:rsid w:val="00922431"/>
    <w:rsid w:val="00922B96"/>
    <w:rsid w:val="00922BA5"/>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32"/>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37666"/>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9E"/>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3F3C"/>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6E46"/>
    <w:rsid w:val="00957163"/>
    <w:rsid w:val="00957236"/>
    <w:rsid w:val="009572C6"/>
    <w:rsid w:val="009572CB"/>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60"/>
    <w:rsid w:val="009619B5"/>
    <w:rsid w:val="0096208C"/>
    <w:rsid w:val="0096250F"/>
    <w:rsid w:val="009628AC"/>
    <w:rsid w:val="00962AF6"/>
    <w:rsid w:val="00962C13"/>
    <w:rsid w:val="00962FD0"/>
    <w:rsid w:val="00963109"/>
    <w:rsid w:val="0096339B"/>
    <w:rsid w:val="0096349A"/>
    <w:rsid w:val="009635AD"/>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687"/>
    <w:rsid w:val="00966B7F"/>
    <w:rsid w:val="00966C01"/>
    <w:rsid w:val="009672AA"/>
    <w:rsid w:val="00967476"/>
    <w:rsid w:val="00967A65"/>
    <w:rsid w:val="00967AD3"/>
    <w:rsid w:val="00967B39"/>
    <w:rsid w:val="00967FEB"/>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7FD"/>
    <w:rsid w:val="0097196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2A7"/>
    <w:rsid w:val="0097658B"/>
    <w:rsid w:val="009769A1"/>
    <w:rsid w:val="00976A31"/>
    <w:rsid w:val="00976E87"/>
    <w:rsid w:val="00977016"/>
    <w:rsid w:val="009770AC"/>
    <w:rsid w:val="00977693"/>
    <w:rsid w:val="009779C5"/>
    <w:rsid w:val="00977B05"/>
    <w:rsid w:val="00977CF3"/>
    <w:rsid w:val="00977E1C"/>
    <w:rsid w:val="00980243"/>
    <w:rsid w:val="009803E9"/>
    <w:rsid w:val="009803F9"/>
    <w:rsid w:val="00980456"/>
    <w:rsid w:val="0098046F"/>
    <w:rsid w:val="00980490"/>
    <w:rsid w:val="009804F8"/>
    <w:rsid w:val="0098051A"/>
    <w:rsid w:val="00981931"/>
    <w:rsid w:val="00981CCF"/>
    <w:rsid w:val="00981ED3"/>
    <w:rsid w:val="00982506"/>
    <w:rsid w:val="009825B2"/>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33D"/>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0AC"/>
    <w:rsid w:val="009A222C"/>
    <w:rsid w:val="009A26DE"/>
    <w:rsid w:val="009A2982"/>
    <w:rsid w:val="009A2C38"/>
    <w:rsid w:val="009A3639"/>
    <w:rsid w:val="009A36F1"/>
    <w:rsid w:val="009A3C39"/>
    <w:rsid w:val="009A3D7E"/>
    <w:rsid w:val="009A3EA9"/>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29"/>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DD4"/>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A7C"/>
    <w:rsid w:val="009C2BF8"/>
    <w:rsid w:val="009C2E0A"/>
    <w:rsid w:val="009C30C7"/>
    <w:rsid w:val="009C31FE"/>
    <w:rsid w:val="009C3309"/>
    <w:rsid w:val="009C3533"/>
    <w:rsid w:val="009C3654"/>
    <w:rsid w:val="009C3883"/>
    <w:rsid w:val="009C3A3F"/>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0D4"/>
    <w:rsid w:val="009D7253"/>
    <w:rsid w:val="009D7385"/>
    <w:rsid w:val="009D762F"/>
    <w:rsid w:val="009D784E"/>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406"/>
    <w:rsid w:val="009E57DB"/>
    <w:rsid w:val="009E5DF3"/>
    <w:rsid w:val="009E5DFC"/>
    <w:rsid w:val="009E5EA6"/>
    <w:rsid w:val="009E61E7"/>
    <w:rsid w:val="009E61FB"/>
    <w:rsid w:val="009E6480"/>
    <w:rsid w:val="009E6882"/>
    <w:rsid w:val="009E73EF"/>
    <w:rsid w:val="009E79E1"/>
    <w:rsid w:val="009E7A84"/>
    <w:rsid w:val="009E7A8B"/>
    <w:rsid w:val="009E7A91"/>
    <w:rsid w:val="009E7AA2"/>
    <w:rsid w:val="009E7C6A"/>
    <w:rsid w:val="009F00A4"/>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081"/>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ED1"/>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4E06"/>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622"/>
    <w:rsid w:val="00A15717"/>
    <w:rsid w:val="00A157E4"/>
    <w:rsid w:val="00A157E7"/>
    <w:rsid w:val="00A15893"/>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B93"/>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8F3"/>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6A11"/>
    <w:rsid w:val="00A370AD"/>
    <w:rsid w:val="00A374BF"/>
    <w:rsid w:val="00A377F3"/>
    <w:rsid w:val="00A379EB"/>
    <w:rsid w:val="00A37B95"/>
    <w:rsid w:val="00A37D99"/>
    <w:rsid w:val="00A40118"/>
    <w:rsid w:val="00A40504"/>
    <w:rsid w:val="00A40E1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6AB"/>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2C9"/>
    <w:rsid w:val="00A554AD"/>
    <w:rsid w:val="00A5571E"/>
    <w:rsid w:val="00A559C1"/>
    <w:rsid w:val="00A55CC5"/>
    <w:rsid w:val="00A55D78"/>
    <w:rsid w:val="00A55F13"/>
    <w:rsid w:val="00A55F2A"/>
    <w:rsid w:val="00A55FB9"/>
    <w:rsid w:val="00A56018"/>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6C3"/>
    <w:rsid w:val="00A61864"/>
    <w:rsid w:val="00A61922"/>
    <w:rsid w:val="00A61AC6"/>
    <w:rsid w:val="00A61BEE"/>
    <w:rsid w:val="00A61DB0"/>
    <w:rsid w:val="00A62015"/>
    <w:rsid w:val="00A62304"/>
    <w:rsid w:val="00A626AF"/>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AE4"/>
    <w:rsid w:val="00A65CD1"/>
    <w:rsid w:val="00A65DBF"/>
    <w:rsid w:val="00A66107"/>
    <w:rsid w:val="00A6612F"/>
    <w:rsid w:val="00A662F7"/>
    <w:rsid w:val="00A66373"/>
    <w:rsid w:val="00A663C6"/>
    <w:rsid w:val="00A665CB"/>
    <w:rsid w:val="00A66BEA"/>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9A"/>
    <w:rsid w:val="00A77EFC"/>
    <w:rsid w:val="00A77F58"/>
    <w:rsid w:val="00A800C5"/>
    <w:rsid w:val="00A80780"/>
    <w:rsid w:val="00A80BD3"/>
    <w:rsid w:val="00A80C8E"/>
    <w:rsid w:val="00A80CD5"/>
    <w:rsid w:val="00A80CDD"/>
    <w:rsid w:val="00A80D24"/>
    <w:rsid w:val="00A81354"/>
    <w:rsid w:val="00A813DA"/>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5B9"/>
    <w:rsid w:val="00AA0A1F"/>
    <w:rsid w:val="00AA0F43"/>
    <w:rsid w:val="00AA1C9E"/>
    <w:rsid w:val="00AA1CA8"/>
    <w:rsid w:val="00AA1FF2"/>
    <w:rsid w:val="00AA21FC"/>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4FD3"/>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A55"/>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8AE"/>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2C"/>
    <w:rsid w:val="00AF56C8"/>
    <w:rsid w:val="00AF56D2"/>
    <w:rsid w:val="00AF5767"/>
    <w:rsid w:val="00AF5B87"/>
    <w:rsid w:val="00AF60C7"/>
    <w:rsid w:val="00AF6589"/>
    <w:rsid w:val="00AF6696"/>
    <w:rsid w:val="00AF6A15"/>
    <w:rsid w:val="00AF6D3A"/>
    <w:rsid w:val="00AF7556"/>
    <w:rsid w:val="00AF76DC"/>
    <w:rsid w:val="00B004E6"/>
    <w:rsid w:val="00B00AD0"/>
    <w:rsid w:val="00B00C0E"/>
    <w:rsid w:val="00B00D21"/>
    <w:rsid w:val="00B01284"/>
    <w:rsid w:val="00B012B2"/>
    <w:rsid w:val="00B016BE"/>
    <w:rsid w:val="00B017AC"/>
    <w:rsid w:val="00B0196C"/>
    <w:rsid w:val="00B01D47"/>
    <w:rsid w:val="00B01E39"/>
    <w:rsid w:val="00B02052"/>
    <w:rsid w:val="00B02223"/>
    <w:rsid w:val="00B02452"/>
    <w:rsid w:val="00B027F9"/>
    <w:rsid w:val="00B0285A"/>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FF1"/>
    <w:rsid w:val="00B071AD"/>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1DA9"/>
    <w:rsid w:val="00B22187"/>
    <w:rsid w:val="00B222C4"/>
    <w:rsid w:val="00B2256F"/>
    <w:rsid w:val="00B226D6"/>
    <w:rsid w:val="00B22B23"/>
    <w:rsid w:val="00B22D3E"/>
    <w:rsid w:val="00B22E61"/>
    <w:rsid w:val="00B22F8F"/>
    <w:rsid w:val="00B230EF"/>
    <w:rsid w:val="00B23228"/>
    <w:rsid w:val="00B23634"/>
    <w:rsid w:val="00B23689"/>
    <w:rsid w:val="00B237B3"/>
    <w:rsid w:val="00B2384D"/>
    <w:rsid w:val="00B239D8"/>
    <w:rsid w:val="00B24471"/>
    <w:rsid w:val="00B2451B"/>
    <w:rsid w:val="00B2483A"/>
    <w:rsid w:val="00B24AF7"/>
    <w:rsid w:val="00B24CEE"/>
    <w:rsid w:val="00B24EBC"/>
    <w:rsid w:val="00B251ED"/>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E74"/>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07E"/>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2BA"/>
    <w:rsid w:val="00B512EE"/>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12B"/>
    <w:rsid w:val="00B5731C"/>
    <w:rsid w:val="00B577FD"/>
    <w:rsid w:val="00B57954"/>
    <w:rsid w:val="00B579AA"/>
    <w:rsid w:val="00B57AC9"/>
    <w:rsid w:val="00B57BD3"/>
    <w:rsid w:val="00B57CBF"/>
    <w:rsid w:val="00B57CDE"/>
    <w:rsid w:val="00B57F69"/>
    <w:rsid w:val="00B57FEA"/>
    <w:rsid w:val="00B603A2"/>
    <w:rsid w:val="00B603BE"/>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064"/>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C74"/>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3BD"/>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9AA"/>
    <w:rsid w:val="00BA2DC0"/>
    <w:rsid w:val="00BA312C"/>
    <w:rsid w:val="00BA3483"/>
    <w:rsid w:val="00BA35EB"/>
    <w:rsid w:val="00BA3BC8"/>
    <w:rsid w:val="00BA3D52"/>
    <w:rsid w:val="00BA3DA0"/>
    <w:rsid w:val="00BA3DE4"/>
    <w:rsid w:val="00BA40DC"/>
    <w:rsid w:val="00BA410A"/>
    <w:rsid w:val="00BA41A9"/>
    <w:rsid w:val="00BA41C1"/>
    <w:rsid w:val="00BA4436"/>
    <w:rsid w:val="00BA46DF"/>
    <w:rsid w:val="00BA4A2C"/>
    <w:rsid w:val="00BA4C3F"/>
    <w:rsid w:val="00BA4F1D"/>
    <w:rsid w:val="00BA5379"/>
    <w:rsid w:val="00BA53AE"/>
    <w:rsid w:val="00BA5962"/>
    <w:rsid w:val="00BA5A23"/>
    <w:rsid w:val="00BA5AAA"/>
    <w:rsid w:val="00BA5B91"/>
    <w:rsid w:val="00BA6215"/>
    <w:rsid w:val="00BA6530"/>
    <w:rsid w:val="00BA65FF"/>
    <w:rsid w:val="00BA69CB"/>
    <w:rsid w:val="00BA6EE3"/>
    <w:rsid w:val="00BA71B0"/>
    <w:rsid w:val="00BA74EB"/>
    <w:rsid w:val="00BA793A"/>
    <w:rsid w:val="00BA7CDF"/>
    <w:rsid w:val="00BA7F64"/>
    <w:rsid w:val="00BA7FF9"/>
    <w:rsid w:val="00BB08EA"/>
    <w:rsid w:val="00BB0AAA"/>
    <w:rsid w:val="00BB0B1C"/>
    <w:rsid w:val="00BB15D2"/>
    <w:rsid w:val="00BB164E"/>
    <w:rsid w:val="00BB1954"/>
    <w:rsid w:val="00BB19E6"/>
    <w:rsid w:val="00BB1F52"/>
    <w:rsid w:val="00BB2C4F"/>
    <w:rsid w:val="00BB2CDF"/>
    <w:rsid w:val="00BB354B"/>
    <w:rsid w:val="00BB36A4"/>
    <w:rsid w:val="00BB386D"/>
    <w:rsid w:val="00BB3DD8"/>
    <w:rsid w:val="00BB4029"/>
    <w:rsid w:val="00BB4A6F"/>
    <w:rsid w:val="00BB4D9D"/>
    <w:rsid w:val="00BB4E3C"/>
    <w:rsid w:val="00BB4E57"/>
    <w:rsid w:val="00BB4EBB"/>
    <w:rsid w:val="00BB505E"/>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5BF"/>
    <w:rsid w:val="00BC1996"/>
    <w:rsid w:val="00BC1CF1"/>
    <w:rsid w:val="00BC2227"/>
    <w:rsid w:val="00BC24EE"/>
    <w:rsid w:val="00BC2553"/>
    <w:rsid w:val="00BC255B"/>
    <w:rsid w:val="00BC256B"/>
    <w:rsid w:val="00BC25A0"/>
    <w:rsid w:val="00BC2AA0"/>
    <w:rsid w:val="00BC2E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0E52"/>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AF"/>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4C3"/>
    <w:rsid w:val="00BF27EF"/>
    <w:rsid w:val="00BF2DFB"/>
    <w:rsid w:val="00BF2F90"/>
    <w:rsid w:val="00BF303B"/>
    <w:rsid w:val="00BF32CA"/>
    <w:rsid w:val="00BF34B9"/>
    <w:rsid w:val="00BF34DB"/>
    <w:rsid w:val="00BF4103"/>
    <w:rsid w:val="00BF43F6"/>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2BD5"/>
    <w:rsid w:val="00C0301F"/>
    <w:rsid w:val="00C034DF"/>
    <w:rsid w:val="00C03767"/>
    <w:rsid w:val="00C03786"/>
    <w:rsid w:val="00C039E3"/>
    <w:rsid w:val="00C03B2B"/>
    <w:rsid w:val="00C03BB4"/>
    <w:rsid w:val="00C03CEB"/>
    <w:rsid w:val="00C03D74"/>
    <w:rsid w:val="00C04129"/>
    <w:rsid w:val="00C042A4"/>
    <w:rsid w:val="00C0446D"/>
    <w:rsid w:val="00C04774"/>
    <w:rsid w:val="00C048F1"/>
    <w:rsid w:val="00C0494E"/>
    <w:rsid w:val="00C04DA0"/>
    <w:rsid w:val="00C04EF1"/>
    <w:rsid w:val="00C04FDC"/>
    <w:rsid w:val="00C05140"/>
    <w:rsid w:val="00C058BA"/>
    <w:rsid w:val="00C059CE"/>
    <w:rsid w:val="00C059D8"/>
    <w:rsid w:val="00C05D6F"/>
    <w:rsid w:val="00C05D98"/>
    <w:rsid w:val="00C05DEC"/>
    <w:rsid w:val="00C05E0A"/>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859"/>
    <w:rsid w:val="00C14D02"/>
    <w:rsid w:val="00C14DD1"/>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A8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33D"/>
    <w:rsid w:val="00C37637"/>
    <w:rsid w:val="00C3784C"/>
    <w:rsid w:val="00C37C58"/>
    <w:rsid w:val="00C37EE1"/>
    <w:rsid w:val="00C4000A"/>
    <w:rsid w:val="00C40515"/>
    <w:rsid w:val="00C40A76"/>
    <w:rsid w:val="00C40C61"/>
    <w:rsid w:val="00C40EA4"/>
    <w:rsid w:val="00C41161"/>
    <w:rsid w:val="00C41335"/>
    <w:rsid w:val="00C41765"/>
    <w:rsid w:val="00C418DB"/>
    <w:rsid w:val="00C41C18"/>
    <w:rsid w:val="00C41C8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5E2F"/>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0DB"/>
    <w:rsid w:val="00C53252"/>
    <w:rsid w:val="00C5345F"/>
    <w:rsid w:val="00C53629"/>
    <w:rsid w:val="00C53CB1"/>
    <w:rsid w:val="00C53CB8"/>
    <w:rsid w:val="00C543EA"/>
    <w:rsid w:val="00C54434"/>
    <w:rsid w:val="00C545E9"/>
    <w:rsid w:val="00C54884"/>
    <w:rsid w:val="00C54B19"/>
    <w:rsid w:val="00C55B0D"/>
    <w:rsid w:val="00C56456"/>
    <w:rsid w:val="00C56461"/>
    <w:rsid w:val="00C56B18"/>
    <w:rsid w:val="00C56B28"/>
    <w:rsid w:val="00C56E07"/>
    <w:rsid w:val="00C56E2F"/>
    <w:rsid w:val="00C570E2"/>
    <w:rsid w:val="00C57654"/>
    <w:rsid w:val="00C576B0"/>
    <w:rsid w:val="00C577BD"/>
    <w:rsid w:val="00C57973"/>
    <w:rsid w:val="00C57A74"/>
    <w:rsid w:val="00C57D9E"/>
    <w:rsid w:val="00C6004E"/>
    <w:rsid w:val="00C603BA"/>
    <w:rsid w:val="00C60471"/>
    <w:rsid w:val="00C604C2"/>
    <w:rsid w:val="00C6083E"/>
    <w:rsid w:val="00C608A5"/>
    <w:rsid w:val="00C60B4E"/>
    <w:rsid w:val="00C60BA2"/>
    <w:rsid w:val="00C60CE2"/>
    <w:rsid w:val="00C61228"/>
    <w:rsid w:val="00C615DF"/>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8E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B3B"/>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DD7"/>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54"/>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A23"/>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70"/>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D70"/>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994"/>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5F62"/>
    <w:rsid w:val="00CB602E"/>
    <w:rsid w:val="00CB604E"/>
    <w:rsid w:val="00CB617C"/>
    <w:rsid w:val="00CB6781"/>
    <w:rsid w:val="00CB6AF3"/>
    <w:rsid w:val="00CB6EEA"/>
    <w:rsid w:val="00CB7234"/>
    <w:rsid w:val="00CB7686"/>
    <w:rsid w:val="00CB79D8"/>
    <w:rsid w:val="00CB7B36"/>
    <w:rsid w:val="00CB7DD3"/>
    <w:rsid w:val="00CC027E"/>
    <w:rsid w:val="00CC029D"/>
    <w:rsid w:val="00CC0365"/>
    <w:rsid w:val="00CC0407"/>
    <w:rsid w:val="00CC07CF"/>
    <w:rsid w:val="00CC0B96"/>
    <w:rsid w:val="00CC0D8C"/>
    <w:rsid w:val="00CC0FD9"/>
    <w:rsid w:val="00CC1103"/>
    <w:rsid w:val="00CC11F1"/>
    <w:rsid w:val="00CC14EC"/>
    <w:rsid w:val="00CC1648"/>
    <w:rsid w:val="00CC1BC0"/>
    <w:rsid w:val="00CC1CA4"/>
    <w:rsid w:val="00CC281E"/>
    <w:rsid w:val="00CC2AA6"/>
    <w:rsid w:val="00CC3135"/>
    <w:rsid w:val="00CC354E"/>
    <w:rsid w:val="00CC3AFB"/>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998"/>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2C63"/>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57F"/>
    <w:rsid w:val="00D04602"/>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1E98"/>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2ED"/>
    <w:rsid w:val="00D254B3"/>
    <w:rsid w:val="00D25593"/>
    <w:rsid w:val="00D2585F"/>
    <w:rsid w:val="00D25B7C"/>
    <w:rsid w:val="00D25D8F"/>
    <w:rsid w:val="00D25F9E"/>
    <w:rsid w:val="00D260AE"/>
    <w:rsid w:val="00D2638F"/>
    <w:rsid w:val="00D269CB"/>
    <w:rsid w:val="00D2706D"/>
    <w:rsid w:val="00D2736B"/>
    <w:rsid w:val="00D276DF"/>
    <w:rsid w:val="00D277B7"/>
    <w:rsid w:val="00D27862"/>
    <w:rsid w:val="00D27B75"/>
    <w:rsid w:val="00D27EDC"/>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A89"/>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1F83"/>
    <w:rsid w:val="00D423D5"/>
    <w:rsid w:val="00D42892"/>
    <w:rsid w:val="00D428B3"/>
    <w:rsid w:val="00D42940"/>
    <w:rsid w:val="00D42E5A"/>
    <w:rsid w:val="00D430C1"/>
    <w:rsid w:val="00D4332D"/>
    <w:rsid w:val="00D4347F"/>
    <w:rsid w:val="00D43534"/>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2BF"/>
    <w:rsid w:val="00D5334E"/>
    <w:rsid w:val="00D53651"/>
    <w:rsid w:val="00D5375E"/>
    <w:rsid w:val="00D53A8E"/>
    <w:rsid w:val="00D53B0E"/>
    <w:rsid w:val="00D53F8D"/>
    <w:rsid w:val="00D5461D"/>
    <w:rsid w:val="00D5465F"/>
    <w:rsid w:val="00D547BD"/>
    <w:rsid w:val="00D548A8"/>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6E"/>
    <w:rsid w:val="00D7697E"/>
    <w:rsid w:val="00D76C87"/>
    <w:rsid w:val="00D76D2E"/>
    <w:rsid w:val="00D76DFC"/>
    <w:rsid w:val="00D76E93"/>
    <w:rsid w:val="00D776E4"/>
    <w:rsid w:val="00D77A8A"/>
    <w:rsid w:val="00D77DAF"/>
    <w:rsid w:val="00D77F8A"/>
    <w:rsid w:val="00D80037"/>
    <w:rsid w:val="00D801B7"/>
    <w:rsid w:val="00D8059B"/>
    <w:rsid w:val="00D80B7A"/>
    <w:rsid w:val="00D80E1D"/>
    <w:rsid w:val="00D81170"/>
    <w:rsid w:val="00D8147D"/>
    <w:rsid w:val="00D81910"/>
    <w:rsid w:val="00D81BEA"/>
    <w:rsid w:val="00D81D06"/>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2B4"/>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801"/>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48A"/>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3C"/>
    <w:rsid w:val="00DB2CD9"/>
    <w:rsid w:val="00DB2ECE"/>
    <w:rsid w:val="00DB33C9"/>
    <w:rsid w:val="00DB3450"/>
    <w:rsid w:val="00DB350B"/>
    <w:rsid w:val="00DB36C7"/>
    <w:rsid w:val="00DB38E1"/>
    <w:rsid w:val="00DB3BA7"/>
    <w:rsid w:val="00DB3CC5"/>
    <w:rsid w:val="00DB3E0B"/>
    <w:rsid w:val="00DB3E33"/>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0E7E"/>
    <w:rsid w:val="00DC178F"/>
    <w:rsid w:val="00DC181B"/>
    <w:rsid w:val="00DC19C8"/>
    <w:rsid w:val="00DC1C37"/>
    <w:rsid w:val="00DC2280"/>
    <w:rsid w:val="00DC254B"/>
    <w:rsid w:val="00DC2945"/>
    <w:rsid w:val="00DC29CE"/>
    <w:rsid w:val="00DC3318"/>
    <w:rsid w:val="00DC383D"/>
    <w:rsid w:val="00DC3A28"/>
    <w:rsid w:val="00DC3BF7"/>
    <w:rsid w:val="00DC3F5F"/>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1BF3"/>
    <w:rsid w:val="00DD1CE2"/>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050"/>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74C"/>
    <w:rsid w:val="00DF1C34"/>
    <w:rsid w:val="00DF1D9A"/>
    <w:rsid w:val="00DF1F25"/>
    <w:rsid w:val="00DF205C"/>
    <w:rsid w:val="00DF206F"/>
    <w:rsid w:val="00DF238B"/>
    <w:rsid w:val="00DF23BB"/>
    <w:rsid w:val="00DF2690"/>
    <w:rsid w:val="00DF26A0"/>
    <w:rsid w:val="00DF2C04"/>
    <w:rsid w:val="00DF334B"/>
    <w:rsid w:val="00DF34E5"/>
    <w:rsid w:val="00DF36A7"/>
    <w:rsid w:val="00DF3ACA"/>
    <w:rsid w:val="00DF3C06"/>
    <w:rsid w:val="00DF3C5D"/>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6B1"/>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9F6"/>
    <w:rsid w:val="00E03D0F"/>
    <w:rsid w:val="00E03F12"/>
    <w:rsid w:val="00E04A09"/>
    <w:rsid w:val="00E04B85"/>
    <w:rsid w:val="00E04C62"/>
    <w:rsid w:val="00E04D9D"/>
    <w:rsid w:val="00E04DC9"/>
    <w:rsid w:val="00E055DE"/>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10B"/>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C42"/>
    <w:rsid w:val="00E20E90"/>
    <w:rsid w:val="00E20FA5"/>
    <w:rsid w:val="00E21197"/>
    <w:rsid w:val="00E2143E"/>
    <w:rsid w:val="00E2162F"/>
    <w:rsid w:val="00E21A2B"/>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C7C"/>
    <w:rsid w:val="00E36E2C"/>
    <w:rsid w:val="00E3729D"/>
    <w:rsid w:val="00E372A2"/>
    <w:rsid w:val="00E375C8"/>
    <w:rsid w:val="00E376D7"/>
    <w:rsid w:val="00E378E5"/>
    <w:rsid w:val="00E379CB"/>
    <w:rsid w:val="00E37AB6"/>
    <w:rsid w:val="00E37B42"/>
    <w:rsid w:val="00E40098"/>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B6D"/>
    <w:rsid w:val="00E45C61"/>
    <w:rsid w:val="00E46464"/>
    <w:rsid w:val="00E464DC"/>
    <w:rsid w:val="00E4660F"/>
    <w:rsid w:val="00E46827"/>
    <w:rsid w:val="00E46856"/>
    <w:rsid w:val="00E46B5B"/>
    <w:rsid w:val="00E46F6D"/>
    <w:rsid w:val="00E475BD"/>
    <w:rsid w:val="00E479B5"/>
    <w:rsid w:val="00E47A26"/>
    <w:rsid w:val="00E47D2A"/>
    <w:rsid w:val="00E5018B"/>
    <w:rsid w:val="00E501D2"/>
    <w:rsid w:val="00E501FB"/>
    <w:rsid w:val="00E504A0"/>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BB1"/>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3FFE"/>
    <w:rsid w:val="00E64023"/>
    <w:rsid w:val="00E647FD"/>
    <w:rsid w:val="00E64946"/>
    <w:rsid w:val="00E649C2"/>
    <w:rsid w:val="00E659AA"/>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2E60"/>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7016"/>
    <w:rsid w:val="00E770B8"/>
    <w:rsid w:val="00E770F0"/>
    <w:rsid w:val="00E77450"/>
    <w:rsid w:val="00E77593"/>
    <w:rsid w:val="00E77E2D"/>
    <w:rsid w:val="00E77F46"/>
    <w:rsid w:val="00E8006B"/>
    <w:rsid w:val="00E802DE"/>
    <w:rsid w:val="00E8031B"/>
    <w:rsid w:val="00E80766"/>
    <w:rsid w:val="00E8078D"/>
    <w:rsid w:val="00E807BD"/>
    <w:rsid w:val="00E80E3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17E"/>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0D1"/>
    <w:rsid w:val="00E94182"/>
    <w:rsid w:val="00E94497"/>
    <w:rsid w:val="00E9464C"/>
    <w:rsid w:val="00E95333"/>
    <w:rsid w:val="00E954AB"/>
    <w:rsid w:val="00E956D3"/>
    <w:rsid w:val="00E957F6"/>
    <w:rsid w:val="00E95897"/>
    <w:rsid w:val="00E95A07"/>
    <w:rsid w:val="00E95B6F"/>
    <w:rsid w:val="00E95C42"/>
    <w:rsid w:val="00E95D45"/>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3E"/>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41F"/>
    <w:rsid w:val="00EB15D9"/>
    <w:rsid w:val="00EB16B7"/>
    <w:rsid w:val="00EB191F"/>
    <w:rsid w:val="00EB200E"/>
    <w:rsid w:val="00EB21E6"/>
    <w:rsid w:val="00EB22B4"/>
    <w:rsid w:val="00EB23BB"/>
    <w:rsid w:val="00EB262D"/>
    <w:rsid w:val="00EB274A"/>
    <w:rsid w:val="00EB27CB"/>
    <w:rsid w:val="00EB2F0B"/>
    <w:rsid w:val="00EB2F94"/>
    <w:rsid w:val="00EB33C2"/>
    <w:rsid w:val="00EB36EA"/>
    <w:rsid w:val="00EB37CA"/>
    <w:rsid w:val="00EB3990"/>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544"/>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9A2"/>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AA8"/>
    <w:rsid w:val="00ED4B14"/>
    <w:rsid w:val="00ED5651"/>
    <w:rsid w:val="00ED5909"/>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BCB"/>
    <w:rsid w:val="00EF3CCD"/>
    <w:rsid w:val="00EF3D87"/>
    <w:rsid w:val="00EF3F9F"/>
    <w:rsid w:val="00EF4141"/>
    <w:rsid w:val="00EF4168"/>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2D74"/>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4ADB"/>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23E"/>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E90"/>
    <w:rsid w:val="00F13FEE"/>
    <w:rsid w:val="00F1413D"/>
    <w:rsid w:val="00F14193"/>
    <w:rsid w:val="00F14844"/>
    <w:rsid w:val="00F1486D"/>
    <w:rsid w:val="00F148CB"/>
    <w:rsid w:val="00F1490D"/>
    <w:rsid w:val="00F149C4"/>
    <w:rsid w:val="00F14A8E"/>
    <w:rsid w:val="00F14CD3"/>
    <w:rsid w:val="00F150CF"/>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0EDC"/>
    <w:rsid w:val="00F211C9"/>
    <w:rsid w:val="00F212F6"/>
    <w:rsid w:val="00F2195A"/>
    <w:rsid w:val="00F21C5E"/>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95"/>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229"/>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0BE"/>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56F"/>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27B"/>
    <w:rsid w:val="00F603FE"/>
    <w:rsid w:val="00F60E19"/>
    <w:rsid w:val="00F61067"/>
    <w:rsid w:val="00F61391"/>
    <w:rsid w:val="00F61A10"/>
    <w:rsid w:val="00F61A3E"/>
    <w:rsid w:val="00F61B01"/>
    <w:rsid w:val="00F61C5F"/>
    <w:rsid w:val="00F61E9E"/>
    <w:rsid w:val="00F61FAE"/>
    <w:rsid w:val="00F6224F"/>
    <w:rsid w:val="00F6240E"/>
    <w:rsid w:val="00F624AE"/>
    <w:rsid w:val="00F62525"/>
    <w:rsid w:val="00F626E6"/>
    <w:rsid w:val="00F62A1D"/>
    <w:rsid w:val="00F632FE"/>
    <w:rsid w:val="00F6336C"/>
    <w:rsid w:val="00F636DF"/>
    <w:rsid w:val="00F6375C"/>
    <w:rsid w:val="00F63803"/>
    <w:rsid w:val="00F638DE"/>
    <w:rsid w:val="00F639C5"/>
    <w:rsid w:val="00F63B71"/>
    <w:rsid w:val="00F63BBB"/>
    <w:rsid w:val="00F63CA8"/>
    <w:rsid w:val="00F642BA"/>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04A"/>
    <w:rsid w:val="00F711CB"/>
    <w:rsid w:val="00F71556"/>
    <w:rsid w:val="00F71945"/>
    <w:rsid w:val="00F71DEC"/>
    <w:rsid w:val="00F71FB3"/>
    <w:rsid w:val="00F7201E"/>
    <w:rsid w:val="00F7205C"/>
    <w:rsid w:val="00F72154"/>
    <w:rsid w:val="00F7231F"/>
    <w:rsid w:val="00F7263A"/>
    <w:rsid w:val="00F7334D"/>
    <w:rsid w:val="00F73583"/>
    <w:rsid w:val="00F735BB"/>
    <w:rsid w:val="00F73601"/>
    <w:rsid w:val="00F7389B"/>
    <w:rsid w:val="00F73BA9"/>
    <w:rsid w:val="00F73C16"/>
    <w:rsid w:val="00F73C8B"/>
    <w:rsid w:val="00F740C3"/>
    <w:rsid w:val="00F743D1"/>
    <w:rsid w:val="00F74928"/>
    <w:rsid w:val="00F749BD"/>
    <w:rsid w:val="00F74CB4"/>
    <w:rsid w:val="00F75321"/>
    <w:rsid w:val="00F75A5E"/>
    <w:rsid w:val="00F75D60"/>
    <w:rsid w:val="00F76397"/>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0DDA"/>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9B4"/>
    <w:rsid w:val="00F82B9E"/>
    <w:rsid w:val="00F82F23"/>
    <w:rsid w:val="00F83002"/>
    <w:rsid w:val="00F83007"/>
    <w:rsid w:val="00F8300B"/>
    <w:rsid w:val="00F83320"/>
    <w:rsid w:val="00F83490"/>
    <w:rsid w:val="00F838BE"/>
    <w:rsid w:val="00F83A9F"/>
    <w:rsid w:val="00F83C4B"/>
    <w:rsid w:val="00F83D4E"/>
    <w:rsid w:val="00F83E44"/>
    <w:rsid w:val="00F8402A"/>
    <w:rsid w:val="00F84072"/>
    <w:rsid w:val="00F84161"/>
    <w:rsid w:val="00F84705"/>
    <w:rsid w:val="00F8470F"/>
    <w:rsid w:val="00F8482C"/>
    <w:rsid w:val="00F84B42"/>
    <w:rsid w:val="00F84E77"/>
    <w:rsid w:val="00F84EA1"/>
    <w:rsid w:val="00F84EBB"/>
    <w:rsid w:val="00F850D5"/>
    <w:rsid w:val="00F85479"/>
    <w:rsid w:val="00F8549D"/>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559"/>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01F"/>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435"/>
    <w:rsid w:val="00FA25BE"/>
    <w:rsid w:val="00FA290D"/>
    <w:rsid w:val="00FA2C19"/>
    <w:rsid w:val="00FA2DA0"/>
    <w:rsid w:val="00FA2E8B"/>
    <w:rsid w:val="00FA341B"/>
    <w:rsid w:val="00FA353D"/>
    <w:rsid w:val="00FA37DC"/>
    <w:rsid w:val="00FA3821"/>
    <w:rsid w:val="00FA3A0F"/>
    <w:rsid w:val="00FA3F48"/>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AE7"/>
    <w:rsid w:val="00FA6E79"/>
    <w:rsid w:val="00FA6ECC"/>
    <w:rsid w:val="00FA775E"/>
    <w:rsid w:val="00FA77D7"/>
    <w:rsid w:val="00FA7872"/>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7C1"/>
    <w:rsid w:val="00FC4D81"/>
    <w:rsid w:val="00FC4E4F"/>
    <w:rsid w:val="00FC4E68"/>
    <w:rsid w:val="00FC5018"/>
    <w:rsid w:val="00FC522A"/>
    <w:rsid w:val="00FC5516"/>
    <w:rsid w:val="00FC5572"/>
    <w:rsid w:val="00FC5B7E"/>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409B"/>
    <w:rsid w:val="00FD4199"/>
    <w:rsid w:val="00FD435C"/>
    <w:rsid w:val="00FD4580"/>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6A0"/>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3FAC"/>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59"/>
    <w:rsid w:val="00FF3185"/>
    <w:rsid w:val="00FF3936"/>
    <w:rsid w:val="00FF47DB"/>
    <w:rsid w:val="00FF4A00"/>
    <w:rsid w:val="00FF4B1C"/>
    <w:rsid w:val="00FF4F09"/>
    <w:rsid w:val="00FF574F"/>
    <w:rsid w:val="00FF57E8"/>
    <w:rsid w:val="00FF5A03"/>
    <w:rsid w:val="00FF5FF3"/>
    <w:rsid w:val="00FF6316"/>
    <w:rsid w:val="00FF6627"/>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9E871-FE7F-4B30-ABD7-312187A8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9F00A4"/>
    <w:pPr>
      <w:spacing w:before="120" w:after="360" w:line="276" w:lineRule="auto"/>
      <w:jc w:val="both"/>
      <w:outlineLvl w:val="1"/>
    </w:pPr>
    <w:rPr>
      <w:rFonts w:ascii="Times New Roman" w:eastAsia="PMingLiU" w:hAnsi="Times New Roman"/>
      <w:b/>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F00A4"/>
    <w:rPr>
      <w:rFonts w:asciiTheme="majorHAnsi" w:eastAsia="PMingLiU" w:hAnsiTheme="majorHAnsi" w:cstheme="majorBidi"/>
      <w:b/>
      <w:i/>
      <w:iCs w:val="0"/>
      <w:color w:val="4F81BD" w:themeColor="accent1"/>
      <w:spacing w:val="15"/>
      <w:sz w:val="24"/>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F1223E"/>
    <w:rPr>
      <w:vertAlign w:val="superscript"/>
    </w:rPr>
  </w:style>
  <w:style w:type="paragraph" w:styleId="BalloonText">
    <w:name w:val="Balloon Text"/>
    <w:basedOn w:val="Normal"/>
    <w:link w:val="BalloonTextChar"/>
    <w:uiPriority w:val="99"/>
    <w:semiHidden/>
    <w:unhideWhenUsed/>
    <w:rsid w:val="00281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B45"/>
    <w:rPr>
      <w:rFonts w:ascii="Segoe UI" w:hAnsi="Segoe UI" w:cs="Segoe UI"/>
      <w:sz w:val="18"/>
      <w:szCs w:val="18"/>
      <w:lang w:val="en-GB"/>
    </w:rPr>
  </w:style>
  <w:style w:type="paragraph" w:styleId="NormalIndent">
    <w:name w:val="Normal Indent"/>
    <w:basedOn w:val="BodyText"/>
    <w:next w:val="BodyText"/>
    <w:autoRedefine/>
    <w:semiHidden/>
    <w:rsid w:val="009F00A4"/>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3A2455"/>
    <w:pPr>
      <w:spacing w:after="120"/>
    </w:pPr>
  </w:style>
  <w:style w:type="character" w:customStyle="1" w:styleId="BodyTextChar">
    <w:name w:val="Body Text Char"/>
    <w:basedOn w:val="DefaultParagraphFont"/>
    <w:link w:val="BodyText"/>
    <w:uiPriority w:val="99"/>
    <w:semiHidden/>
    <w:rsid w:val="003A2455"/>
    <w:rPr>
      <w:lang w:val="en-GB"/>
    </w:rPr>
  </w:style>
  <w:style w:type="paragraph" w:styleId="BodyTextIndent">
    <w:name w:val="Body Text Indent"/>
    <w:basedOn w:val="Normal"/>
    <w:link w:val="BodyTextIndentChar"/>
    <w:uiPriority w:val="99"/>
    <w:semiHidden/>
    <w:unhideWhenUsed/>
    <w:rsid w:val="005B2D2F"/>
    <w:pPr>
      <w:spacing w:after="120"/>
      <w:ind w:left="360"/>
    </w:pPr>
  </w:style>
  <w:style w:type="character" w:customStyle="1" w:styleId="BodyTextIndentChar">
    <w:name w:val="Body Text Indent Char"/>
    <w:basedOn w:val="DefaultParagraphFont"/>
    <w:link w:val="BodyTextIndent"/>
    <w:uiPriority w:val="99"/>
    <w:semiHidden/>
    <w:rsid w:val="005B2D2F"/>
    <w:rPr>
      <w:lang w:val="en-GB"/>
    </w:rPr>
  </w:style>
  <w:style w:type="paragraph" w:customStyle="1" w:styleId="MF">
    <w:name w:val="MF"/>
    <w:basedOn w:val="Normal"/>
    <w:rsid w:val="005B2D2F"/>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caps/>
      <w:szCs w:val="20"/>
      <w:lang w:eastAsia="zh-CN"/>
    </w:rPr>
  </w:style>
  <w:style w:type="paragraph" w:customStyle="1" w:styleId="Bob10">
    <w:name w:val="Bob1"/>
    <w:autoRedefine/>
    <w:qFormat/>
    <w:rsid w:val="005B2D2F"/>
    <w:pPr>
      <w:kinsoku w:val="0"/>
      <w:autoSpaceDE w:val="0"/>
      <w:autoSpaceDN w:val="0"/>
      <w:snapToGrid w:val="0"/>
      <w:spacing w:after="360" w:line="360" w:lineRule="auto"/>
      <w:jc w:val="center"/>
    </w:pPr>
    <w:rPr>
      <w:rFonts w:eastAsia="MingLiU"/>
      <w:color w:val="000000"/>
      <w:lang w:val="en-GB" w:eastAsia="zh-CN"/>
    </w:rPr>
  </w:style>
  <w:style w:type="paragraph" w:customStyle="1" w:styleId="Normal4">
    <w:name w:val="Normal 4"/>
    <w:basedOn w:val="Normal"/>
    <w:rsid w:val="005B2D2F"/>
    <w:pPr>
      <w:overflowPunct w:val="0"/>
      <w:autoSpaceDE w:val="0"/>
      <w:autoSpaceDN w:val="0"/>
      <w:adjustRightInd w:val="0"/>
      <w:snapToGrid w:val="0"/>
      <w:spacing w:after="0" w:line="240" w:lineRule="auto"/>
      <w:jc w:val="center"/>
      <w:textAlignment w:val="baseline"/>
    </w:pPr>
    <w:rPr>
      <w:rFonts w:eastAsia="MingLiU"/>
      <w:b/>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9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EE12C-C7FB-4A3C-A493-BFD479D4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6946</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mingyee lam</cp:lastModifiedBy>
  <cp:revision>2</cp:revision>
  <cp:lastPrinted>2018-05-04T02:53:00Z</cp:lastPrinted>
  <dcterms:created xsi:type="dcterms:W3CDTF">2018-05-07T03:07:00Z</dcterms:created>
  <dcterms:modified xsi:type="dcterms:W3CDTF">2018-05-07T03:07:00Z</dcterms:modified>
</cp:coreProperties>
</file>