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847" w:rsidRPr="000B07A7" w:rsidRDefault="005C5847" w:rsidP="005C5847">
      <w:pPr>
        <w:pStyle w:val="Heading3"/>
        <w:spacing w:before="0" w:line="240" w:lineRule="auto"/>
        <w:ind w:right="-43"/>
        <w:jc w:val="right"/>
        <w:rPr>
          <w:rFonts w:ascii="Times New Roman" w:hAnsi="Times New Roman"/>
          <w:b/>
          <w:color w:val="000000" w:themeColor="text1"/>
          <w:sz w:val="28"/>
          <w:szCs w:val="28"/>
        </w:rPr>
      </w:pPr>
      <w:r w:rsidRPr="000B07A7">
        <w:rPr>
          <w:rFonts w:ascii="Times New Roman" w:hAnsi="Times New Roman" w:hint="eastAsia"/>
          <w:color w:val="000000" w:themeColor="text1"/>
          <w:sz w:val="28"/>
          <w:szCs w:val="28"/>
        </w:rPr>
        <w:t>FAM</w:t>
      </w:r>
      <w:r w:rsidRPr="000B07A7">
        <w:rPr>
          <w:rFonts w:ascii="Times New Roman" w:hAnsi="Times New Roman"/>
          <w:color w:val="000000" w:themeColor="text1"/>
          <w:sz w:val="28"/>
          <w:szCs w:val="28"/>
        </w:rPr>
        <w:t>C</w:t>
      </w:r>
      <w:r w:rsidRPr="000B07A7">
        <w:rPr>
          <w:rFonts w:ascii="Times New Roman" w:hAnsi="Times New Roman" w:hint="eastAsia"/>
          <w:color w:val="000000" w:themeColor="text1"/>
          <w:sz w:val="28"/>
          <w:szCs w:val="28"/>
        </w:rPr>
        <w:t xml:space="preserve"> No</w:t>
      </w:r>
      <w:r w:rsidRPr="000B07A7">
        <w:rPr>
          <w:rFonts w:ascii="Times New Roman" w:hAnsi="Times New Roman"/>
          <w:color w:val="000000" w:themeColor="text1"/>
          <w:sz w:val="28"/>
          <w:szCs w:val="28"/>
        </w:rPr>
        <w:t>s</w:t>
      </w:r>
      <w:r w:rsidRPr="000B07A7">
        <w:rPr>
          <w:rFonts w:ascii="Times New Roman" w:hAnsi="Times New Roman" w:hint="eastAsia"/>
          <w:color w:val="000000" w:themeColor="text1"/>
          <w:sz w:val="28"/>
          <w:szCs w:val="28"/>
        </w:rPr>
        <w:t>.</w:t>
      </w:r>
      <w:r w:rsidRPr="000B07A7">
        <w:rPr>
          <w:rFonts w:ascii="Times New Roman" w:hAnsi="Times New Roman"/>
          <w:color w:val="000000" w:themeColor="text1"/>
          <w:sz w:val="28"/>
          <w:szCs w:val="28"/>
        </w:rPr>
        <w:t xml:space="preserve"> 48 and 49 of 2019</w:t>
      </w:r>
    </w:p>
    <w:p w:rsidR="005C5847" w:rsidRPr="000B07A7" w:rsidRDefault="00932FBD" w:rsidP="005C5847">
      <w:pPr>
        <w:ind w:left="5760"/>
        <w:jc w:val="right"/>
        <w:rPr>
          <w:color w:val="000000" w:themeColor="text1"/>
        </w:rPr>
      </w:pPr>
      <w:r>
        <w:rPr>
          <w:color w:val="000000" w:themeColor="text1"/>
        </w:rPr>
        <w:t xml:space="preserve">      [2020] HKCFA 14</w:t>
      </w:r>
    </w:p>
    <w:p w:rsidR="005C5847" w:rsidRPr="000B07A7" w:rsidRDefault="005C5847" w:rsidP="005C5847">
      <w:pPr>
        <w:pStyle w:val="Heading3"/>
        <w:spacing w:before="0" w:line="240" w:lineRule="auto"/>
        <w:ind w:right="-43"/>
        <w:jc w:val="right"/>
        <w:rPr>
          <w:rFonts w:ascii="Times New Roman" w:hAnsi="Times New Roman"/>
          <w:b/>
          <w:color w:val="000000" w:themeColor="text1"/>
          <w:sz w:val="28"/>
          <w:szCs w:val="28"/>
        </w:rPr>
      </w:pPr>
      <w:r w:rsidRPr="000B07A7">
        <w:rPr>
          <w:rFonts w:ascii="Times New Roman" w:hAnsi="Times New Roman" w:hint="eastAsia"/>
          <w:color w:val="000000" w:themeColor="text1"/>
          <w:sz w:val="28"/>
          <w:szCs w:val="28"/>
        </w:rPr>
        <w:t>FAM</w:t>
      </w:r>
      <w:r w:rsidRPr="000B07A7">
        <w:rPr>
          <w:rFonts w:ascii="Times New Roman" w:hAnsi="Times New Roman"/>
          <w:color w:val="000000" w:themeColor="text1"/>
          <w:sz w:val="28"/>
          <w:szCs w:val="28"/>
        </w:rPr>
        <w:t>C</w:t>
      </w:r>
      <w:r w:rsidRPr="000B07A7">
        <w:rPr>
          <w:rFonts w:ascii="Times New Roman" w:hAnsi="Times New Roman" w:hint="eastAsia"/>
          <w:color w:val="000000" w:themeColor="text1"/>
          <w:sz w:val="28"/>
          <w:szCs w:val="28"/>
        </w:rPr>
        <w:t xml:space="preserve"> No.</w:t>
      </w:r>
      <w:r w:rsidRPr="000B07A7">
        <w:rPr>
          <w:rFonts w:ascii="Times New Roman" w:hAnsi="Times New Roman"/>
          <w:color w:val="000000" w:themeColor="text1"/>
          <w:sz w:val="28"/>
          <w:szCs w:val="28"/>
        </w:rPr>
        <w:t xml:space="preserve"> 48 of 2019</w:t>
      </w:r>
    </w:p>
    <w:p w:rsidR="005C5847" w:rsidRPr="000B07A7" w:rsidRDefault="005C5847" w:rsidP="005C5847">
      <w:pPr>
        <w:pStyle w:val="Normal3"/>
        <w:ind w:right="560"/>
        <w:rPr>
          <w:rFonts w:eastAsia="宋体"/>
          <w:color w:val="000000" w:themeColor="text1"/>
        </w:rPr>
      </w:pPr>
    </w:p>
    <w:p w:rsidR="005C5847" w:rsidRPr="000E5FC5" w:rsidRDefault="005C5847" w:rsidP="005C5847">
      <w:pPr>
        <w:pStyle w:val="Normal3"/>
        <w:ind w:right="560"/>
        <w:rPr>
          <w:rFonts w:eastAsia="宋体"/>
        </w:rPr>
      </w:pPr>
    </w:p>
    <w:p w:rsidR="005C5847" w:rsidRPr="000E5FC5" w:rsidRDefault="005C5847" w:rsidP="005C5847">
      <w:pPr>
        <w:pStyle w:val="NormalMF"/>
        <w:rPr>
          <w:sz w:val="28"/>
          <w:szCs w:val="28"/>
        </w:rPr>
      </w:pPr>
      <w:r w:rsidRPr="000E5FC5">
        <w:rPr>
          <w:sz w:val="28"/>
          <w:szCs w:val="28"/>
        </w:rPr>
        <w:t>IN THE COURT OF FINAL APPEAL OF THE</w:t>
      </w:r>
    </w:p>
    <w:p w:rsidR="005C5847" w:rsidRPr="000E5FC5" w:rsidRDefault="005C5847" w:rsidP="005C5847">
      <w:pPr>
        <w:pStyle w:val="NormalMF"/>
        <w:rPr>
          <w:sz w:val="28"/>
          <w:szCs w:val="28"/>
        </w:rPr>
      </w:pPr>
      <w:r w:rsidRPr="000E5FC5">
        <w:rPr>
          <w:sz w:val="28"/>
          <w:szCs w:val="28"/>
        </w:rPr>
        <w:t>HONG KONG SPECIAL ADMINISTRATIVE REGION</w:t>
      </w:r>
    </w:p>
    <w:p w:rsidR="005C5847" w:rsidRPr="000E5FC5" w:rsidRDefault="005C5847" w:rsidP="005C5847">
      <w:pPr>
        <w:pStyle w:val="NormalMF"/>
        <w:rPr>
          <w:sz w:val="28"/>
          <w:szCs w:val="28"/>
        </w:rPr>
      </w:pPr>
    </w:p>
    <w:p w:rsidR="005C5847" w:rsidRPr="000E5FC5" w:rsidRDefault="005C5847" w:rsidP="005C5847">
      <w:pPr>
        <w:pStyle w:val="MF"/>
        <w:rPr>
          <w:bCs/>
          <w:szCs w:val="28"/>
        </w:rPr>
      </w:pPr>
      <w:r w:rsidRPr="000E5FC5">
        <w:rPr>
          <w:rFonts w:eastAsia="宋体" w:hint="eastAsia"/>
          <w:bCs/>
          <w:szCs w:val="28"/>
        </w:rPr>
        <w:t>MIsCELLANEOUS PROCEEDINGS nO.</w:t>
      </w:r>
      <w:r w:rsidRPr="000E5FC5">
        <w:rPr>
          <w:rFonts w:eastAsia="宋体"/>
          <w:bCs/>
          <w:szCs w:val="28"/>
        </w:rPr>
        <w:t xml:space="preserve"> 48 </w:t>
      </w:r>
      <w:r w:rsidRPr="000E5FC5">
        <w:rPr>
          <w:bCs/>
          <w:szCs w:val="28"/>
        </w:rPr>
        <w:t>OF 2019 (</w:t>
      </w:r>
      <w:r w:rsidRPr="000E5FC5">
        <w:rPr>
          <w:rFonts w:eastAsia="宋体" w:hint="eastAsia"/>
          <w:bCs/>
          <w:szCs w:val="28"/>
        </w:rPr>
        <w:t>c</w:t>
      </w:r>
      <w:r w:rsidRPr="000E5FC5">
        <w:rPr>
          <w:rFonts w:eastAsia="宋体"/>
          <w:bCs/>
          <w:szCs w:val="28"/>
        </w:rPr>
        <w:t>RIMINAL</w:t>
      </w:r>
      <w:r w:rsidRPr="000E5FC5">
        <w:rPr>
          <w:bCs/>
          <w:szCs w:val="28"/>
        </w:rPr>
        <w:t>)</w:t>
      </w:r>
    </w:p>
    <w:p w:rsidR="005C5847" w:rsidRPr="000E5FC5" w:rsidRDefault="005C5847" w:rsidP="005C5847">
      <w:pPr>
        <w:pStyle w:val="MF"/>
        <w:tabs>
          <w:tab w:val="clear" w:pos="1440"/>
        </w:tabs>
        <w:rPr>
          <w:rFonts w:eastAsia="宋体"/>
          <w:szCs w:val="28"/>
        </w:rPr>
      </w:pPr>
      <w:r w:rsidRPr="000E5FC5">
        <w:rPr>
          <w:szCs w:val="28"/>
        </w:rPr>
        <w:t xml:space="preserve">(ON </w:t>
      </w:r>
      <w:r w:rsidRPr="000E5FC5">
        <w:rPr>
          <w:rFonts w:eastAsia="宋体" w:hint="eastAsia"/>
          <w:szCs w:val="28"/>
        </w:rPr>
        <w:t xml:space="preserve">APPLICATION FOR LEAVE TO APPEAL FROM </w:t>
      </w:r>
    </w:p>
    <w:p w:rsidR="005C5847" w:rsidRPr="000E5FC5" w:rsidRDefault="005C5847" w:rsidP="005C5847">
      <w:pPr>
        <w:pStyle w:val="MF"/>
        <w:rPr>
          <w:szCs w:val="28"/>
        </w:rPr>
      </w:pPr>
      <w:r w:rsidRPr="000E5FC5">
        <w:rPr>
          <w:rFonts w:eastAsia="宋体"/>
          <w:szCs w:val="28"/>
        </w:rPr>
        <w:t xml:space="preserve">CACC </w:t>
      </w:r>
      <w:r w:rsidRPr="000E5FC5">
        <w:rPr>
          <w:rFonts w:eastAsia="宋体" w:hint="eastAsia"/>
          <w:szCs w:val="28"/>
        </w:rPr>
        <w:t>NO.</w:t>
      </w:r>
      <w:r w:rsidRPr="000E5FC5">
        <w:rPr>
          <w:rFonts w:eastAsia="宋体"/>
          <w:szCs w:val="28"/>
        </w:rPr>
        <w:t xml:space="preserve"> 38</w:t>
      </w:r>
      <w:r w:rsidRPr="000E5FC5">
        <w:rPr>
          <w:rFonts w:eastAsia="宋体" w:hint="eastAsia"/>
          <w:szCs w:val="28"/>
        </w:rPr>
        <w:t xml:space="preserve"> OF 20</w:t>
      </w:r>
      <w:r w:rsidRPr="000E5FC5">
        <w:rPr>
          <w:rFonts w:eastAsia="宋体"/>
          <w:szCs w:val="28"/>
        </w:rPr>
        <w:t>17</w:t>
      </w:r>
      <w:r w:rsidRPr="000E5FC5">
        <w:rPr>
          <w:szCs w:val="28"/>
        </w:rPr>
        <w:t>)</w:t>
      </w:r>
    </w:p>
    <w:p w:rsidR="005C5847" w:rsidRDefault="005C5847" w:rsidP="005C5847">
      <w:pPr>
        <w:pStyle w:val="MF"/>
        <w:rPr>
          <w:szCs w:val="28"/>
        </w:rPr>
      </w:pPr>
    </w:p>
    <w:p w:rsidR="005C5847" w:rsidRPr="000E5FC5" w:rsidRDefault="005C5847" w:rsidP="005C5847">
      <w:pPr>
        <w:pStyle w:val="MF"/>
        <w:rPr>
          <w:szCs w:val="28"/>
          <w:lang w:eastAsia="zh-TW"/>
        </w:rPr>
      </w:pPr>
      <w:r w:rsidRPr="000E5FC5">
        <w:rPr>
          <w:szCs w:val="28"/>
        </w:rPr>
        <w:t>_______________________</w:t>
      </w:r>
    </w:p>
    <w:p w:rsidR="005C5847" w:rsidRDefault="005C5847" w:rsidP="005C5847">
      <w:pPr>
        <w:tabs>
          <w:tab w:val="left" w:pos="5040"/>
        </w:tabs>
        <w:spacing w:after="0" w:line="240" w:lineRule="auto"/>
        <w:rPr>
          <w:rFonts w:eastAsia="宋体"/>
          <w:color w:val="000000"/>
          <w:sz w:val="18"/>
          <w:szCs w:val="18"/>
        </w:rPr>
      </w:pPr>
    </w:p>
    <w:p w:rsidR="005C5847" w:rsidRPr="000E5FC5" w:rsidRDefault="005C5847" w:rsidP="005C5847">
      <w:pPr>
        <w:tabs>
          <w:tab w:val="left" w:pos="5040"/>
        </w:tabs>
        <w:spacing w:after="0" w:line="240" w:lineRule="auto"/>
        <w:rPr>
          <w:rFonts w:eastAsia="宋体"/>
          <w:color w:val="000000"/>
          <w:sz w:val="18"/>
          <w:szCs w:val="18"/>
        </w:rPr>
      </w:pPr>
    </w:p>
    <w:p w:rsidR="005C5847" w:rsidRPr="000E5FC5" w:rsidRDefault="005C5847" w:rsidP="005C5847">
      <w:pPr>
        <w:spacing w:after="0" w:line="240" w:lineRule="auto"/>
        <w:rPr>
          <w:color w:val="000000"/>
          <w:lang w:eastAsia="zh-TW"/>
        </w:rPr>
      </w:pPr>
      <w:r w:rsidRPr="000E5FC5">
        <w:rPr>
          <w:color w:val="000000"/>
        </w:rPr>
        <w:t>B</w:t>
      </w:r>
      <w:r w:rsidRPr="000E5FC5">
        <w:rPr>
          <w:rFonts w:eastAsia="宋体" w:hint="eastAsia"/>
          <w:color w:val="000000"/>
        </w:rPr>
        <w:t>ETWEEN</w:t>
      </w:r>
    </w:p>
    <w:p w:rsidR="005C5847" w:rsidRPr="000E5FC5" w:rsidRDefault="005C5847" w:rsidP="005C5847">
      <w:pPr>
        <w:spacing w:after="0" w:line="240" w:lineRule="auto"/>
        <w:rPr>
          <w:color w:val="000000"/>
          <w:sz w:val="18"/>
          <w:szCs w:val="18"/>
          <w:lang w:eastAsia="zh-TW"/>
        </w:rPr>
      </w:pPr>
    </w:p>
    <w:tbl>
      <w:tblPr>
        <w:tblW w:w="7830" w:type="dxa"/>
        <w:tblInd w:w="1368" w:type="dxa"/>
        <w:tblLayout w:type="fixed"/>
        <w:tblLook w:val="0000" w:firstRow="0" w:lastRow="0" w:firstColumn="0" w:lastColumn="0" w:noHBand="0" w:noVBand="0"/>
      </w:tblPr>
      <w:tblGrid>
        <w:gridCol w:w="5850"/>
        <w:gridCol w:w="1980"/>
      </w:tblGrid>
      <w:tr w:rsidR="005C5847" w:rsidRPr="000E5FC5" w:rsidTr="00FB60C7">
        <w:trPr>
          <w:cantSplit/>
        </w:trPr>
        <w:tc>
          <w:tcPr>
            <w:tcW w:w="5850" w:type="dxa"/>
          </w:tcPr>
          <w:p w:rsidR="005C5847" w:rsidRPr="000E5FC5" w:rsidRDefault="005C5847" w:rsidP="00FB60C7">
            <w:pPr>
              <w:spacing w:after="240" w:line="240" w:lineRule="auto"/>
              <w:jc w:val="center"/>
            </w:pPr>
            <w:r w:rsidRPr="000E5FC5">
              <w:t>HKSAR</w:t>
            </w:r>
          </w:p>
        </w:tc>
        <w:tc>
          <w:tcPr>
            <w:tcW w:w="1980" w:type="dxa"/>
          </w:tcPr>
          <w:p w:rsidR="005C5847" w:rsidRPr="000E5FC5" w:rsidRDefault="005C5847" w:rsidP="00FB60C7">
            <w:pPr>
              <w:spacing w:after="0" w:line="240" w:lineRule="auto"/>
              <w:jc w:val="right"/>
              <w:rPr>
                <w:rFonts w:eastAsia="宋体"/>
                <w:color w:val="000000"/>
              </w:rPr>
            </w:pPr>
            <w:r w:rsidRPr="000E5FC5">
              <w:t>Respondent</w:t>
            </w:r>
          </w:p>
        </w:tc>
      </w:tr>
      <w:tr w:rsidR="005C5847" w:rsidRPr="000E5FC5" w:rsidTr="00FB60C7">
        <w:trPr>
          <w:cantSplit/>
        </w:trPr>
        <w:tc>
          <w:tcPr>
            <w:tcW w:w="5850" w:type="dxa"/>
          </w:tcPr>
          <w:p w:rsidR="005C5847" w:rsidRPr="000E5FC5" w:rsidRDefault="005C5847" w:rsidP="00FB60C7">
            <w:pPr>
              <w:spacing w:after="240" w:line="240" w:lineRule="auto"/>
              <w:jc w:val="center"/>
            </w:pPr>
            <w:r w:rsidRPr="000E5FC5">
              <w:rPr>
                <w:rFonts w:hint="eastAsia"/>
              </w:rPr>
              <w:t>and</w:t>
            </w:r>
          </w:p>
        </w:tc>
        <w:tc>
          <w:tcPr>
            <w:tcW w:w="1980" w:type="dxa"/>
          </w:tcPr>
          <w:p w:rsidR="005C5847" w:rsidRPr="000E5FC5" w:rsidRDefault="005C5847" w:rsidP="00FB60C7">
            <w:pPr>
              <w:spacing w:after="0" w:line="240" w:lineRule="auto"/>
              <w:jc w:val="right"/>
              <w:rPr>
                <w:rFonts w:eastAsia="宋体"/>
                <w:color w:val="000000"/>
              </w:rPr>
            </w:pPr>
          </w:p>
        </w:tc>
      </w:tr>
      <w:tr w:rsidR="005C5847" w:rsidRPr="000E5FC5" w:rsidTr="00FB60C7">
        <w:trPr>
          <w:cantSplit/>
        </w:trPr>
        <w:tc>
          <w:tcPr>
            <w:tcW w:w="5850" w:type="dxa"/>
          </w:tcPr>
          <w:p w:rsidR="005C5847" w:rsidRPr="000E5FC5" w:rsidRDefault="005C5847" w:rsidP="00FB60C7">
            <w:pPr>
              <w:pStyle w:val="sh"/>
              <w:tabs>
                <w:tab w:val="clear" w:pos="720"/>
                <w:tab w:val="clear" w:pos="4320"/>
              </w:tabs>
              <w:jc w:val="center"/>
              <w:rPr>
                <w:rFonts w:eastAsia="PMingLiU"/>
                <w:szCs w:val="28"/>
                <w:lang w:val="en-GB" w:eastAsia="en-US"/>
              </w:rPr>
            </w:pPr>
            <w:r w:rsidRPr="000E5FC5">
              <w:rPr>
                <w:rFonts w:eastAsia="PMingLiU"/>
                <w:szCs w:val="28"/>
                <w:lang w:val="en-GB" w:eastAsia="en-US"/>
              </w:rPr>
              <w:t>CHAN SIU TAN (</w:t>
            </w:r>
            <w:proofErr w:type="spellStart"/>
            <w:r w:rsidRPr="000E5FC5">
              <w:rPr>
                <w:rFonts w:eastAsia="PMingLiU"/>
                <w:szCs w:val="28"/>
                <w:lang w:val="en-GB" w:eastAsia="en-US"/>
              </w:rPr>
              <w:t>陳少丹</w:t>
            </w:r>
            <w:proofErr w:type="spellEnd"/>
            <w:r w:rsidRPr="000E5FC5">
              <w:rPr>
                <w:rFonts w:eastAsia="PMingLiU"/>
                <w:szCs w:val="28"/>
                <w:lang w:val="en-GB" w:eastAsia="en-US"/>
              </w:rPr>
              <w:t>) (D5)</w:t>
            </w:r>
          </w:p>
        </w:tc>
        <w:tc>
          <w:tcPr>
            <w:tcW w:w="1980" w:type="dxa"/>
          </w:tcPr>
          <w:p w:rsidR="005C5847" w:rsidRPr="000E5FC5" w:rsidRDefault="005C5847" w:rsidP="00FB60C7">
            <w:pPr>
              <w:spacing w:after="0" w:line="240" w:lineRule="auto"/>
              <w:jc w:val="right"/>
              <w:rPr>
                <w:rFonts w:eastAsia="宋体"/>
              </w:rPr>
            </w:pPr>
            <w:r w:rsidRPr="000E5FC5">
              <w:rPr>
                <w:rFonts w:eastAsia="宋体"/>
              </w:rPr>
              <w:t>5</w:t>
            </w:r>
            <w:r w:rsidRPr="000E5FC5">
              <w:rPr>
                <w:rFonts w:eastAsia="宋体"/>
                <w:vertAlign w:val="superscript"/>
              </w:rPr>
              <w:t>th</w:t>
            </w:r>
            <w:r w:rsidRPr="000E5FC5">
              <w:rPr>
                <w:rFonts w:eastAsia="宋体"/>
              </w:rPr>
              <w:t xml:space="preserve"> </w:t>
            </w:r>
            <w:r w:rsidRPr="000E5FC5">
              <w:rPr>
                <w:rFonts w:eastAsia="宋体" w:hint="eastAsia"/>
              </w:rPr>
              <w:t>Applican</w:t>
            </w:r>
            <w:r w:rsidRPr="000E5FC5">
              <w:rPr>
                <w:rFonts w:eastAsia="宋体"/>
              </w:rPr>
              <w:t>t</w:t>
            </w:r>
          </w:p>
        </w:tc>
      </w:tr>
    </w:tbl>
    <w:p w:rsidR="005C5847" w:rsidRPr="000E5FC5" w:rsidRDefault="005C5847" w:rsidP="005C5847">
      <w:pPr>
        <w:pStyle w:val="MF"/>
        <w:rPr>
          <w:lang w:eastAsia="zh-TW"/>
        </w:rPr>
      </w:pPr>
      <w:r w:rsidRPr="000E5FC5">
        <w:t>_______________________</w:t>
      </w:r>
    </w:p>
    <w:p w:rsidR="005C5847" w:rsidRDefault="005C5847" w:rsidP="005C5847">
      <w:pPr>
        <w:spacing w:after="0" w:line="240" w:lineRule="auto"/>
        <w:jc w:val="center"/>
        <w:rPr>
          <w:color w:val="000000"/>
          <w:lang w:eastAsia="zh-TW"/>
        </w:rPr>
      </w:pPr>
    </w:p>
    <w:p w:rsidR="005C5847" w:rsidRPr="000E5FC5" w:rsidRDefault="005C5847" w:rsidP="005C5847">
      <w:pPr>
        <w:spacing w:after="0" w:line="240" w:lineRule="auto"/>
        <w:jc w:val="center"/>
        <w:rPr>
          <w:color w:val="000000"/>
          <w:lang w:eastAsia="zh-TW"/>
        </w:rPr>
      </w:pPr>
    </w:p>
    <w:p w:rsidR="005C5847" w:rsidRPr="00AD5D61" w:rsidRDefault="005C5847" w:rsidP="005C5847">
      <w:pPr>
        <w:pStyle w:val="Heading3"/>
        <w:spacing w:before="0" w:line="240" w:lineRule="auto"/>
        <w:ind w:right="-43"/>
        <w:jc w:val="right"/>
        <w:rPr>
          <w:rFonts w:ascii="Times New Roman" w:hAnsi="Times New Roman"/>
          <w:b/>
          <w:color w:val="000000" w:themeColor="text1"/>
          <w:sz w:val="28"/>
          <w:szCs w:val="28"/>
        </w:rPr>
      </w:pPr>
      <w:r w:rsidRPr="00AD5D61">
        <w:rPr>
          <w:rFonts w:ascii="Times New Roman" w:hAnsi="Times New Roman" w:hint="eastAsia"/>
          <w:color w:val="000000" w:themeColor="text1"/>
          <w:sz w:val="28"/>
          <w:szCs w:val="28"/>
        </w:rPr>
        <w:t>FAM</w:t>
      </w:r>
      <w:r w:rsidRPr="00AD5D61">
        <w:rPr>
          <w:rFonts w:ascii="Times New Roman" w:hAnsi="Times New Roman"/>
          <w:color w:val="000000" w:themeColor="text1"/>
          <w:sz w:val="28"/>
          <w:szCs w:val="28"/>
        </w:rPr>
        <w:t>C</w:t>
      </w:r>
      <w:r w:rsidRPr="00AD5D61">
        <w:rPr>
          <w:rFonts w:ascii="Times New Roman" w:hAnsi="Times New Roman" w:hint="eastAsia"/>
          <w:color w:val="000000" w:themeColor="text1"/>
          <w:sz w:val="28"/>
          <w:szCs w:val="28"/>
        </w:rPr>
        <w:t xml:space="preserve"> No.</w:t>
      </w:r>
      <w:r w:rsidRPr="00AD5D61">
        <w:rPr>
          <w:rFonts w:ascii="Times New Roman" w:hAnsi="Times New Roman"/>
          <w:color w:val="000000" w:themeColor="text1"/>
          <w:sz w:val="28"/>
          <w:szCs w:val="28"/>
        </w:rPr>
        <w:t xml:space="preserve"> 49 of 2019</w:t>
      </w:r>
    </w:p>
    <w:p w:rsidR="005C5847" w:rsidRPr="000E5FC5" w:rsidRDefault="005C5847" w:rsidP="005C5847">
      <w:pPr>
        <w:pStyle w:val="Normal3"/>
        <w:ind w:right="560"/>
        <w:rPr>
          <w:rFonts w:eastAsia="宋体"/>
        </w:rPr>
      </w:pPr>
    </w:p>
    <w:p w:rsidR="005C5847" w:rsidRPr="000E5FC5" w:rsidRDefault="005C5847" w:rsidP="005C5847">
      <w:pPr>
        <w:pStyle w:val="NormalMF"/>
        <w:rPr>
          <w:sz w:val="28"/>
          <w:szCs w:val="28"/>
        </w:rPr>
      </w:pPr>
      <w:r w:rsidRPr="000E5FC5">
        <w:rPr>
          <w:sz w:val="28"/>
          <w:szCs w:val="28"/>
        </w:rPr>
        <w:t>IN THE COURT OF FINAL APPEAL OF THE</w:t>
      </w:r>
    </w:p>
    <w:p w:rsidR="005C5847" w:rsidRPr="000E5FC5" w:rsidRDefault="005C5847" w:rsidP="005C5847">
      <w:pPr>
        <w:pStyle w:val="NormalMF"/>
        <w:rPr>
          <w:sz w:val="28"/>
          <w:szCs w:val="28"/>
        </w:rPr>
      </w:pPr>
      <w:r w:rsidRPr="000E5FC5">
        <w:rPr>
          <w:sz w:val="28"/>
          <w:szCs w:val="28"/>
        </w:rPr>
        <w:t>HONG KONG SPECIAL ADMINISTRATIVE REGION</w:t>
      </w:r>
    </w:p>
    <w:p w:rsidR="005C5847" w:rsidRPr="000E5FC5" w:rsidRDefault="005C5847" w:rsidP="005C5847">
      <w:pPr>
        <w:pStyle w:val="NormalMF"/>
        <w:rPr>
          <w:b w:val="0"/>
          <w:sz w:val="28"/>
          <w:szCs w:val="28"/>
        </w:rPr>
      </w:pPr>
    </w:p>
    <w:p w:rsidR="005C5847" w:rsidRPr="000E5FC5" w:rsidRDefault="005C5847" w:rsidP="005C5847">
      <w:pPr>
        <w:pStyle w:val="MF"/>
        <w:rPr>
          <w:bCs/>
          <w:szCs w:val="28"/>
        </w:rPr>
      </w:pPr>
      <w:r w:rsidRPr="000E5FC5">
        <w:rPr>
          <w:rFonts w:eastAsia="宋体" w:hint="eastAsia"/>
          <w:bCs/>
          <w:szCs w:val="28"/>
        </w:rPr>
        <w:t>MIsCELLANEOUS PROCEEDINGS nO.</w:t>
      </w:r>
      <w:r w:rsidRPr="000E5FC5">
        <w:rPr>
          <w:rFonts w:eastAsia="宋体"/>
          <w:bCs/>
          <w:szCs w:val="28"/>
        </w:rPr>
        <w:t xml:space="preserve"> 49 </w:t>
      </w:r>
      <w:r w:rsidRPr="000E5FC5">
        <w:rPr>
          <w:bCs/>
          <w:szCs w:val="28"/>
        </w:rPr>
        <w:t>OF 2019 (</w:t>
      </w:r>
      <w:r w:rsidRPr="000E5FC5">
        <w:rPr>
          <w:rFonts w:eastAsia="宋体" w:hint="eastAsia"/>
          <w:bCs/>
          <w:szCs w:val="28"/>
        </w:rPr>
        <w:t>c</w:t>
      </w:r>
      <w:r w:rsidRPr="000E5FC5">
        <w:rPr>
          <w:rFonts w:eastAsia="宋体"/>
          <w:bCs/>
          <w:szCs w:val="28"/>
        </w:rPr>
        <w:t>RIMINAL</w:t>
      </w:r>
      <w:r w:rsidRPr="000E5FC5">
        <w:rPr>
          <w:bCs/>
          <w:szCs w:val="28"/>
        </w:rPr>
        <w:t>)</w:t>
      </w:r>
    </w:p>
    <w:p w:rsidR="005C5847" w:rsidRPr="000E5FC5" w:rsidRDefault="005C5847" w:rsidP="005C5847">
      <w:pPr>
        <w:pStyle w:val="MF"/>
        <w:tabs>
          <w:tab w:val="clear" w:pos="1440"/>
        </w:tabs>
        <w:rPr>
          <w:rFonts w:eastAsia="宋体"/>
          <w:szCs w:val="28"/>
        </w:rPr>
      </w:pPr>
      <w:r w:rsidRPr="000E5FC5">
        <w:rPr>
          <w:szCs w:val="28"/>
        </w:rPr>
        <w:t xml:space="preserve">(ON </w:t>
      </w:r>
      <w:r w:rsidRPr="000E5FC5">
        <w:rPr>
          <w:rFonts w:eastAsia="宋体" w:hint="eastAsia"/>
          <w:szCs w:val="28"/>
        </w:rPr>
        <w:t xml:space="preserve">APPLICATION FOR LEAVE TO APPEAL FROM </w:t>
      </w:r>
    </w:p>
    <w:p w:rsidR="005C5847" w:rsidRPr="000E5FC5" w:rsidRDefault="005C5847" w:rsidP="005C5847">
      <w:pPr>
        <w:pStyle w:val="MF"/>
        <w:rPr>
          <w:szCs w:val="28"/>
        </w:rPr>
      </w:pPr>
      <w:r w:rsidRPr="000E5FC5">
        <w:rPr>
          <w:rFonts w:eastAsia="宋体"/>
          <w:szCs w:val="28"/>
        </w:rPr>
        <w:t xml:space="preserve">CACC </w:t>
      </w:r>
      <w:r w:rsidRPr="000E5FC5">
        <w:rPr>
          <w:rFonts w:eastAsia="宋体" w:hint="eastAsia"/>
          <w:szCs w:val="28"/>
        </w:rPr>
        <w:t>NO.</w:t>
      </w:r>
      <w:r w:rsidRPr="000E5FC5">
        <w:rPr>
          <w:rFonts w:eastAsia="宋体"/>
          <w:szCs w:val="28"/>
        </w:rPr>
        <w:t xml:space="preserve"> 38</w:t>
      </w:r>
      <w:r w:rsidRPr="000E5FC5">
        <w:rPr>
          <w:rFonts w:eastAsia="宋体" w:hint="eastAsia"/>
          <w:szCs w:val="28"/>
        </w:rPr>
        <w:t xml:space="preserve"> OF 20</w:t>
      </w:r>
      <w:r w:rsidRPr="000E5FC5">
        <w:rPr>
          <w:rFonts w:eastAsia="宋体"/>
          <w:szCs w:val="28"/>
        </w:rPr>
        <w:t>17</w:t>
      </w:r>
      <w:r w:rsidRPr="000E5FC5">
        <w:rPr>
          <w:szCs w:val="28"/>
        </w:rPr>
        <w:t>)</w:t>
      </w:r>
    </w:p>
    <w:p w:rsidR="005C5847" w:rsidRPr="000E5FC5" w:rsidRDefault="005C5847" w:rsidP="005C5847">
      <w:pPr>
        <w:pStyle w:val="MF"/>
        <w:rPr>
          <w:szCs w:val="28"/>
          <w:lang w:eastAsia="zh-TW"/>
        </w:rPr>
      </w:pPr>
      <w:r w:rsidRPr="000E5FC5">
        <w:rPr>
          <w:szCs w:val="28"/>
        </w:rPr>
        <w:t>_______________________</w:t>
      </w:r>
    </w:p>
    <w:p w:rsidR="005C5847" w:rsidRPr="000E5FC5" w:rsidRDefault="005C5847" w:rsidP="005C5847">
      <w:pPr>
        <w:tabs>
          <w:tab w:val="left" w:pos="5040"/>
        </w:tabs>
        <w:spacing w:after="0" w:line="240" w:lineRule="auto"/>
        <w:rPr>
          <w:rFonts w:eastAsia="宋体"/>
          <w:color w:val="000000"/>
          <w:sz w:val="18"/>
          <w:szCs w:val="18"/>
        </w:rPr>
      </w:pPr>
    </w:p>
    <w:p w:rsidR="005C5847" w:rsidRPr="000E5FC5" w:rsidRDefault="005C5847" w:rsidP="005C5847">
      <w:pPr>
        <w:spacing w:after="0" w:line="240" w:lineRule="auto"/>
        <w:rPr>
          <w:color w:val="000000"/>
          <w:lang w:eastAsia="zh-TW"/>
        </w:rPr>
      </w:pPr>
      <w:r w:rsidRPr="000E5FC5">
        <w:rPr>
          <w:color w:val="000000"/>
        </w:rPr>
        <w:t>B</w:t>
      </w:r>
      <w:r w:rsidRPr="000E5FC5">
        <w:rPr>
          <w:rFonts w:eastAsia="宋体" w:hint="eastAsia"/>
          <w:color w:val="000000"/>
        </w:rPr>
        <w:t>ETWEEN</w:t>
      </w:r>
      <w:r w:rsidRPr="000E5FC5">
        <w:rPr>
          <w:color w:val="000000"/>
        </w:rPr>
        <w:t xml:space="preserve"> </w:t>
      </w:r>
    </w:p>
    <w:p w:rsidR="005C5847" w:rsidRPr="000E5FC5" w:rsidRDefault="005C5847" w:rsidP="005C5847">
      <w:pPr>
        <w:spacing w:after="0" w:line="240" w:lineRule="auto"/>
        <w:rPr>
          <w:color w:val="000000"/>
          <w:sz w:val="18"/>
          <w:szCs w:val="18"/>
          <w:lang w:eastAsia="zh-TW"/>
        </w:rPr>
      </w:pPr>
    </w:p>
    <w:tbl>
      <w:tblPr>
        <w:tblW w:w="7954" w:type="dxa"/>
        <w:tblInd w:w="1368" w:type="dxa"/>
        <w:tblLayout w:type="fixed"/>
        <w:tblLook w:val="0000" w:firstRow="0" w:lastRow="0" w:firstColumn="0" w:lastColumn="0" w:noHBand="0" w:noVBand="0"/>
      </w:tblPr>
      <w:tblGrid>
        <w:gridCol w:w="5828"/>
        <w:gridCol w:w="2126"/>
      </w:tblGrid>
      <w:tr w:rsidR="005C5847" w:rsidRPr="000E5FC5" w:rsidTr="00FB60C7">
        <w:trPr>
          <w:cantSplit/>
        </w:trPr>
        <w:tc>
          <w:tcPr>
            <w:tcW w:w="5828" w:type="dxa"/>
          </w:tcPr>
          <w:p w:rsidR="005C5847" w:rsidRPr="000E5FC5" w:rsidRDefault="005C5847" w:rsidP="00FB60C7">
            <w:pPr>
              <w:spacing w:after="240" w:line="240" w:lineRule="auto"/>
              <w:jc w:val="center"/>
            </w:pPr>
            <w:r w:rsidRPr="000E5FC5">
              <w:t>HKSAR</w:t>
            </w:r>
          </w:p>
        </w:tc>
        <w:tc>
          <w:tcPr>
            <w:tcW w:w="2126" w:type="dxa"/>
          </w:tcPr>
          <w:p w:rsidR="005C5847" w:rsidRPr="000E5FC5" w:rsidRDefault="005C5847" w:rsidP="00FB60C7">
            <w:pPr>
              <w:spacing w:after="0" w:line="240" w:lineRule="auto"/>
              <w:jc w:val="right"/>
              <w:rPr>
                <w:rFonts w:eastAsia="宋体"/>
                <w:color w:val="000000"/>
              </w:rPr>
            </w:pPr>
            <w:r w:rsidRPr="000E5FC5">
              <w:t>Respondent</w:t>
            </w:r>
          </w:p>
        </w:tc>
      </w:tr>
      <w:tr w:rsidR="005C5847" w:rsidRPr="000E5FC5" w:rsidTr="00FB60C7">
        <w:trPr>
          <w:cantSplit/>
        </w:trPr>
        <w:tc>
          <w:tcPr>
            <w:tcW w:w="5828" w:type="dxa"/>
          </w:tcPr>
          <w:p w:rsidR="005C5847" w:rsidRPr="000E5FC5" w:rsidRDefault="005C5847" w:rsidP="00FB60C7">
            <w:pPr>
              <w:spacing w:after="240" w:line="240" w:lineRule="auto"/>
              <w:jc w:val="center"/>
            </w:pPr>
            <w:r w:rsidRPr="000E5FC5">
              <w:rPr>
                <w:rFonts w:hint="eastAsia"/>
              </w:rPr>
              <w:t>and</w:t>
            </w:r>
          </w:p>
        </w:tc>
        <w:tc>
          <w:tcPr>
            <w:tcW w:w="2126" w:type="dxa"/>
          </w:tcPr>
          <w:p w:rsidR="005C5847" w:rsidRPr="000E5FC5" w:rsidRDefault="005C5847" w:rsidP="00FB60C7">
            <w:pPr>
              <w:spacing w:after="0" w:line="240" w:lineRule="auto"/>
              <w:jc w:val="right"/>
              <w:rPr>
                <w:rFonts w:eastAsia="宋体"/>
                <w:color w:val="000000"/>
              </w:rPr>
            </w:pPr>
          </w:p>
        </w:tc>
      </w:tr>
      <w:tr w:rsidR="005C5847" w:rsidRPr="000E5FC5" w:rsidTr="00FB60C7">
        <w:trPr>
          <w:cantSplit/>
        </w:trPr>
        <w:tc>
          <w:tcPr>
            <w:tcW w:w="5828" w:type="dxa"/>
          </w:tcPr>
          <w:p w:rsidR="005C5847" w:rsidRPr="000E5FC5" w:rsidRDefault="005C5847" w:rsidP="00FB60C7">
            <w:pPr>
              <w:pStyle w:val="sh"/>
              <w:tabs>
                <w:tab w:val="clear" w:pos="720"/>
                <w:tab w:val="clear" w:pos="4320"/>
              </w:tabs>
              <w:jc w:val="center"/>
              <w:rPr>
                <w:bCs/>
                <w:szCs w:val="28"/>
                <w:lang w:val="en-GB"/>
              </w:rPr>
            </w:pPr>
            <w:r w:rsidRPr="000E5FC5">
              <w:rPr>
                <w:rFonts w:eastAsia="PMingLiU"/>
                <w:szCs w:val="28"/>
                <w:lang w:val="en-GB" w:eastAsia="en-US"/>
              </w:rPr>
              <w:t>WONG CHO SHING (</w:t>
            </w:r>
            <w:proofErr w:type="spellStart"/>
            <w:r w:rsidRPr="000E5FC5">
              <w:rPr>
                <w:rFonts w:eastAsia="PMingLiU"/>
                <w:szCs w:val="28"/>
                <w:lang w:val="en-GB" w:eastAsia="en-US"/>
              </w:rPr>
              <w:t>黃祖成</w:t>
            </w:r>
            <w:proofErr w:type="spellEnd"/>
            <w:r w:rsidRPr="000E5FC5">
              <w:rPr>
                <w:rFonts w:eastAsia="PMingLiU"/>
                <w:szCs w:val="28"/>
                <w:lang w:val="en-GB" w:eastAsia="en-US"/>
              </w:rPr>
              <w:t>) (D1)</w:t>
            </w:r>
          </w:p>
        </w:tc>
        <w:tc>
          <w:tcPr>
            <w:tcW w:w="2126" w:type="dxa"/>
          </w:tcPr>
          <w:p w:rsidR="005C5847" w:rsidRPr="000E5FC5" w:rsidRDefault="005C5847" w:rsidP="00FB60C7">
            <w:pPr>
              <w:spacing w:after="0" w:line="240" w:lineRule="auto"/>
              <w:jc w:val="right"/>
              <w:rPr>
                <w:rFonts w:eastAsia="宋体"/>
                <w:color w:val="000000"/>
              </w:rPr>
            </w:pPr>
            <w:r w:rsidRPr="000E5FC5">
              <w:rPr>
                <w:rFonts w:eastAsia="宋体"/>
              </w:rPr>
              <w:t>1</w:t>
            </w:r>
            <w:r w:rsidRPr="000E5FC5">
              <w:rPr>
                <w:rFonts w:eastAsia="宋体"/>
                <w:vertAlign w:val="superscript"/>
              </w:rPr>
              <w:t>st</w:t>
            </w:r>
            <w:r w:rsidRPr="000E5FC5">
              <w:rPr>
                <w:rFonts w:eastAsia="宋体"/>
              </w:rPr>
              <w:t xml:space="preserve"> </w:t>
            </w:r>
            <w:r w:rsidRPr="000E5FC5">
              <w:rPr>
                <w:rFonts w:eastAsia="宋体" w:hint="eastAsia"/>
              </w:rPr>
              <w:t>Applican</w:t>
            </w:r>
            <w:r w:rsidRPr="000E5FC5">
              <w:rPr>
                <w:rFonts w:eastAsia="宋体"/>
              </w:rPr>
              <w:t>t</w:t>
            </w:r>
          </w:p>
        </w:tc>
      </w:tr>
      <w:tr w:rsidR="005C5847" w:rsidRPr="000E5FC5" w:rsidTr="00FB60C7">
        <w:trPr>
          <w:cantSplit/>
        </w:trPr>
        <w:tc>
          <w:tcPr>
            <w:tcW w:w="5828" w:type="dxa"/>
          </w:tcPr>
          <w:p w:rsidR="005C5847" w:rsidRPr="000E5FC5" w:rsidRDefault="005C5847" w:rsidP="00FB60C7">
            <w:pPr>
              <w:pStyle w:val="sh"/>
              <w:tabs>
                <w:tab w:val="clear" w:pos="720"/>
                <w:tab w:val="clear" w:pos="4320"/>
              </w:tabs>
              <w:jc w:val="center"/>
              <w:rPr>
                <w:rFonts w:eastAsia="PMingLiU"/>
                <w:szCs w:val="28"/>
                <w:lang w:val="en-GB" w:eastAsia="en-US"/>
              </w:rPr>
            </w:pPr>
          </w:p>
        </w:tc>
        <w:tc>
          <w:tcPr>
            <w:tcW w:w="2126" w:type="dxa"/>
          </w:tcPr>
          <w:p w:rsidR="005C5847" w:rsidRPr="000E5FC5" w:rsidRDefault="005C5847" w:rsidP="00FB60C7">
            <w:pPr>
              <w:spacing w:after="0" w:line="240" w:lineRule="auto"/>
              <w:jc w:val="right"/>
              <w:rPr>
                <w:rFonts w:eastAsia="宋体"/>
              </w:rPr>
            </w:pPr>
          </w:p>
        </w:tc>
      </w:tr>
      <w:tr w:rsidR="005C5847" w:rsidRPr="000E5FC5" w:rsidTr="00FB60C7">
        <w:trPr>
          <w:cantSplit/>
        </w:trPr>
        <w:tc>
          <w:tcPr>
            <w:tcW w:w="5828" w:type="dxa"/>
          </w:tcPr>
          <w:p w:rsidR="005C5847" w:rsidRPr="000E5FC5" w:rsidRDefault="005C5847" w:rsidP="00FB60C7">
            <w:pPr>
              <w:pStyle w:val="sh"/>
              <w:tabs>
                <w:tab w:val="clear" w:pos="720"/>
                <w:tab w:val="clear" w:pos="4320"/>
              </w:tabs>
              <w:jc w:val="center"/>
              <w:rPr>
                <w:bCs/>
                <w:szCs w:val="28"/>
                <w:lang w:val="en-GB"/>
              </w:rPr>
            </w:pPr>
            <w:r w:rsidRPr="000E5FC5">
              <w:rPr>
                <w:rFonts w:eastAsia="PMingLiU"/>
                <w:szCs w:val="28"/>
                <w:lang w:val="en-GB" w:eastAsia="en-US"/>
              </w:rPr>
              <w:t>LAU CHEUK NGAI (</w:t>
            </w:r>
            <w:proofErr w:type="spellStart"/>
            <w:r w:rsidRPr="000E5FC5">
              <w:rPr>
                <w:rFonts w:eastAsia="PMingLiU"/>
                <w:szCs w:val="28"/>
                <w:lang w:val="en-GB" w:eastAsia="en-US"/>
              </w:rPr>
              <w:t>劉卓毅</w:t>
            </w:r>
            <w:proofErr w:type="spellEnd"/>
            <w:r w:rsidRPr="000E5FC5">
              <w:rPr>
                <w:rFonts w:eastAsia="PMingLiU"/>
                <w:szCs w:val="28"/>
                <w:lang w:val="en-GB" w:eastAsia="en-US"/>
              </w:rPr>
              <w:t>) (D2)</w:t>
            </w:r>
          </w:p>
        </w:tc>
        <w:tc>
          <w:tcPr>
            <w:tcW w:w="2126" w:type="dxa"/>
          </w:tcPr>
          <w:p w:rsidR="005C5847" w:rsidRPr="000E5FC5" w:rsidRDefault="005C5847" w:rsidP="00FB60C7">
            <w:pPr>
              <w:spacing w:after="0" w:line="240" w:lineRule="auto"/>
              <w:jc w:val="right"/>
              <w:rPr>
                <w:rFonts w:eastAsia="宋体"/>
              </w:rPr>
            </w:pPr>
            <w:r w:rsidRPr="000E5FC5">
              <w:rPr>
                <w:rFonts w:eastAsia="宋体"/>
              </w:rPr>
              <w:t>2</w:t>
            </w:r>
            <w:r w:rsidRPr="000E5FC5">
              <w:rPr>
                <w:rFonts w:eastAsia="宋体"/>
                <w:vertAlign w:val="superscript"/>
              </w:rPr>
              <w:t>nd</w:t>
            </w:r>
            <w:r w:rsidRPr="000E5FC5">
              <w:rPr>
                <w:rFonts w:eastAsia="宋体"/>
              </w:rPr>
              <w:t xml:space="preserve"> </w:t>
            </w:r>
            <w:r w:rsidRPr="000E5FC5">
              <w:rPr>
                <w:rFonts w:eastAsia="宋体" w:hint="eastAsia"/>
              </w:rPr>
              <w:t>Applican</w:t>
            </w:r>
            <w:r w:rsidRPr="000E5FC5">
              <w:rPr>
                <w:rFonts w:eastAsia="宋体"/>
              </w:rPr>
              <w:t>t</w:t>
            </w:r>
          </w:p>
        </w:tc>
      </w:tr>
      <w:tr w:rsidR="005C5847" w:rsidRPr="000E5FC5" w:rsidTr="00FB60C7">
        <w:trPr>
          <w:cantSplit/>
        </w:trPr>
        <w:tc>
          <w:tcPr>
            <w:tcW w:w="5828" w:type="dxa"/>
          </w:tcPr>
          <w:p w:rsidR="005C5847" w:rsidRPr="000E5FC5" w:rsidRDefault="005C5847" w:rsidP="00FB60C7">
            <w:pPr>
              <w:pStyle w:val="sh"/>
              <w:tabs>
                <w:tab w:val="clear" w:pos="720"/>
                <w:tab w:val="clear" w:pos="4320"/>
              </w:tabs>
              <w:jc w:val="center"/>
              <w:rPr>
                <w:rFonts w:eastAsia="PMingLiU"/>
                <w:szCs w:val="28"/>
                <w:lang w:val="en-GB" w:eastAsia="en-US"/>
              </w:rPr>
            </w:pPr>
          </w:p>
        </w:tc>
        <w:tc>
          <w:tcPr>
            <w:tcW w:w="2126" w:type="dxa"/>
          </w:tcPr>
          <w:p w:rsidR="005C5847" w:rsidRPr="000E5FC5" w:rsidRDefault="005C5847" w:rsidP="00FB60C7">
            <w:pPr>
              <w:spacing w:after="0" w:line="240" w:lineRule="auto"/>
              <w:jc w:val="right"/>
              <w:rPr>
                <w:rFonts w:eastAsia="宋体"/>
              </w:rPr>
            </w:pPr>
          </w:p>
        </w:tc>
      </w:tr>
      <w:tr w:rsidR="005C5847" w:rsidRPr="000E5FC5" w:rsidTr="00FB60C7">
        <w:trPr>
          <w:cantSplit/>
        </w:trPr>
        <w:tc>
          <w:tcPr>
            <w:tcW w:w="5828" w:type="dxa"/>
          </w:tcPr>
          <w:p w:rsidR="005C5847" w:rsidRPr="000E5FC5" w:rsidRDefault="005C5847" w:rsidP="00FB60C7">
            <w:pPr>
              <w:pStyle w:val="sh"/>
              <w:tabs>
                <w:tab w:val="clear" w:pos="720"/>
                <w:tab w:val="clear" w:pos="4320"/>
              </w:tabs>
              <w:jc w:val="center"/>
              <w:rPr>
                <w:bCs/>
                <w:szCs w:val="28"/>
                <w:lang w:val="en-GB"/>
              </w:rPr>
            </w:pPr>
            <w:r w:rsidRPr="000E5FC5">
              <w:rPr>
                <w:rFonts w:eastAsia="PMingLiU"/>
                <w:szCs w:val="28"/>
                <w:lang w:val="en-GB" w:eastAsia="en-US"/>
              </w:rPr>
              <w:t>PAK WING BUN (</w:t>
            </w:r>
            <w:proofErr w:type="spellStart"/>
            <w:r w:rsidRPr="000E5FC5">
              <w:rPr>
                <w:rFonts w:eastAsia="PMingLiU"/>
                <w:szCs w:val="28"/>
                <w:lang w:val="en-GB" w:eastAsia="en-US"/>
              </w:rPr>
              <w:t>白榮斌</w:t>
            </w:r>
            <w:proofErr w:type="spellEnd"/>
            <w:r w:rsidRPr="000E5FC5">
              <w:rPr>
                <w:rFonts w:eastAsia="PMingLiU"/>
                <w:szCs w:val="28"/>
                <w:lang w:val="en-GB" w:eastAsia="en-US"/>
              </w:rPr>
              <w:t>) (D3)</w:t>
            </w:r>
          </w:p>
        </w:tc>
        <w:tc>
          <w:tcPr>
            <w:tcW w:w="2126" w:type="dxa"/>
          </w:tcPr>
          <w:p w:rsidR="005C5847" w:rsidRPr="000E5FC5" w:rsidRDefault="005C5847" w:rsidP="00FB60C7">
            <w:pPr>
              <w:spacing w:after="0" w:line="240" w:lineRule="auto"/>
              <w:jc w:val="right"/>
              <w:rPr>
                <w:rFonts w:eastAsia="宋体"/>
              </w:rPr>
            </w:pPr>
            <w:r w:rsidRPr="000E5FC5">
              <w:rPr>
                <w:rFonts w:eastAsia="宋体"/>
              </w:rPr>
              <w:t>3</w:t>
            </w:r>
            <w:r w:rsidRPr="000E5FC5">
              <w:rPr>
                <w:rFonts w:eastAsia="宋体"/>
                <w:vertAlign w:val="superscript"/>
              </w:rPr>
              <w:t>rd</w:t>
            </w:r>
            <w:r w:rsidRPr="000E5FC5">
              <w:rPr>
                <w:rFonts w:eastAsia="宋体"/>
              </w:rPr>
              <w:t xml:space="preserve"> A</w:t>
            </w:r>
            <w:r w:rsidRPr="000E5FC5">
              <w:rPr>
                <w:rFonts w:eastAsia="宋体" w:hint="eastAsia"/>
              </w:rPr>
              <w:t>pplican</w:t>
            </w:r>
            <w:r w:rsidRPr="000E5FC5">
              <w:rPr>
                <w:rFonts w:eastAsia="宋体"/>
              </w:rPr>
              <w:t>t</w:t>
            </w:r>
          </w:p>
        </w:tc>
      </w:tr>
      <w:tr w:rsidR="005C5847" w:rsidRPr="000E5FC5" w:rsidTr="00FB60C7">
        <w:trPr>
          <w:cantSplit/>
        </w:trPr>
        <w:tc>
          <w:tcPr>
            <w:tcW w:w="5828" w:type="dxa"/>
          </w:tcPr>
          <w:p w:rsidR="005C5847" w:rsidRPr="000E5FC5" w:rsidRDefault="005C5847" w:rsidP="00FB60C7">
            <w:pPr>
              <w:pStyle w:val="sh"/>
              <w:tabs>
                <w:tab w:val="clear" w:pos="720"/>
                <w:tab w:val="clear" w:pos="4320"/>
              </w:tabs>
              <w:jc w:val="center"/>
              <w:rPr>
                <w:rFonts w:eastAsia="PMingLiU"/>
                <w:szCs w:val="28"/>
                <w:lang w:val="en-GB" w:eastAsia="en-US"/>
              </w:rPr>
            </w:pPr>
          </w:p>
        </w:tc>
        <w:tc>
          <w:tcPr>
            <w:tcW w:w="2126" w:type="dxa"/>
          </w:tcPr>
          <w:p w:rsidR="005C5847" w:rsidRPr="000E5FC5" w:rsidRDefault="005C5847" w:rsidP="00FB60C7">
            <w:pPr>
              <w:spacing w:after="0" w:line="240" w:lineRule="auto"/>
              <w:jc w:val="right"/>
              <w:rPr>
                <w:rFonts w:eastAsia="宋体"/>
              </w:rPr>
            </w:pPr>
          </w:p>
        </w:tc>
      </w:tr>
      <w:tr w:rsidR="005C5847" w:rsidRPr="000E5FC5" w:rsidTr="00FB60C7">
        <w:trPr>
          <w:cantSplit/>
        </w:trPr>
        <w:tc>
          <w:tcPr>
            <w:tcW w:w="5828" w:type="dxa"/>
          </w:tcPr>
          <w:p w:rsidR="005C5847" w:rsidRPr="000E5FC5" w:rsidRDefault="005C5847" w:rsidP="00FB60C7">
            <w:pPr>
              <w:pStyle w:val="sh"/>
              <w:tabs>
                <w:tab w:val="clear" w:pos="720"/>
                <w:tab w:val="clear" w:pos="4320"/>
              </w:tabs>
              <w:jc w:val="center"/>
              <w:rPr>
                <w:bCs/>
                <w:szCs w:val="28"/>
                <w:lang w:val="en-GB"/>
              </w:rPr>
            </w:pPr>
            <w:r w:rsidRPr="000E5FC5">
              <w:rPr>
                <w:rFonts w:eastAsia="PMingLiU"/>
                <w:szCs w:val="28"/>
                <w:lang w:val="en-GB" w:eastAsia="en-US"/>
              </w:rPr>
              <w:t>KWAN KA HO (</w:t>
            </w:r>
            <w:proofErr w:type="spellStart"/>
            <w:r w:rsidRPr="000E5FC5">
              <w:rPr>
                <w:rFonts w:eastAsia="PMingLiU"/>
                <w:szCs w:val="28"/>
                <w:lang w:val="en-GB" w:eastAsia="en-US"/>
              </w:rPr>
              <w:t>關嘉豪</w:t>
            </w:r>
            <w:proofErr w:type="spellEnd"/>
            <w:r w:rsidRPr="000E5FC5">
              <w:rPr>
                <w:rFonts w:eastAsia="PMingLiU"/>
                <w:szCs w:val="28"/>
                <w:lang w:val="en-GB" w:eastAsia="en-US"/>
              </w:rPr>
              <w:t>) (D6)</w:t>
            </w:r>
          </w:p>
        </w:tc>
        <w:tc>
          <w:tcPr>
            <w:tcW w:w="2126" w:type="dxa"/>
          </w:tcPr>
          <w:p w:rsidR="005C5847" w:rsidRPr="000E5FC5" w:rsidRDefault="005C5847" w:rsidP="00FB60C7">
            <w:pPr>
              <w:spacing w:after="0" w:line="240" w:lineRule="auto"/>
              <w:jc w:val="right"/>
              <w:rPr>
                <w:rFonts w:eastAsia="宋体"/>
              </w:rPr>
            </w:pPr>
            <w:r w:rsidRPr="000E5FC5">
              <w:rPr>
                <w:rFonts w:eastAsia="宋体"/>
              </w:rPr>
              <w:t>6</w:t>
            </w:r>
            <w:r w:rsidRPr="000E5FC5">
              <w:rPr>
                <w:rFonts w:eastAsia="宋体"/>
                <w:vertAlign w:val="superscript"/>
              </w:rPr>
              <w:t>th</w:t>
            </w:r>
            <w:r w:rsidRPr="000E5FC5">
              <w:rPr>
                <w:rFonts w:eastAsia="宋体"/>
              </w:rPr>
              <w:t xml:space="preserve"> </w:t>
            </w:r>
            <w:r w:rsidRPr="000E5FC5">
              <w:rPr>
                <w:rFonts w:eastAsia="宋体" w:hint="eastAsia"/>
              </w:rPr>
              <w:t>Applican</w:t>
            </w:r>
            <w:r w:rsidRPr="000E5FC5">
              <w:rPr>
                <w:rFonts w:eastAsia="宋体"/>
              </w:rPr>
              <w:t>t</w:t>
            </w:r>
          </w:p>
        </w:tc>
      </w:tr>
      <w:tr w:rsidR="000B07A7" w:rsidRPr="000E5FC5" w:rsidTr="00FB60C7">
        <w:trPr>
          <w:cantSplit/>
        </w:trPr>
        <w:tc>
          <w:tcPr>
            <w:tcW w:w="5828" w:type="dxa"/>
          </w:tcPr>
          <w:p w:rsidR="000B07A7" w:rsidRPr="000E5FC5" w:rsidRDefault="000B07A7" w:rsidP="00FB60C7">
            <w:pPr>
              <w:pStyle w:val="sh"/>
              <w:tabs>
                <w:tab w:val="clear" w:pos="720"/>
                <w:tab w:val="clear" w:pos="4320"/>
              </w:tabs>
              <w:jc w:val="center"/>
              <w:rPr>
                <w:rFonts w:eastAsia="PMingLiU"/>
                <w:szCs w:val="28"/>
                <w:lang w:val="en-GB" w:eastAsia="en-US"/>
              </w:rPr>
            </w:pPr>
          </w:p>
        </w:tc>
        <w:tc>
          <w:tcPr>
            <w:tcW w:w="2126" w:type="dxa"/>
          </w:tcPr>
          <w:p w:rsidR="000B07A7" w:rsidRPr="000E5FC5" w:rsidRDefault="000B07A7" w:rsidP="00FB60C7">
            <w:pPr>
              <w:spacing w:after="0" w:line="240" w:lineRule="auto"/>
              <w:jc w:val="right"/>
              <w:rPr>
                <w:rFonts w:eastAsia="宋体"/>
              </w:rPr>
            </w:pPr>
          </w:p>
        </w:tc>
      </w:tr>
    </w:tbl>
    <w:p w:rsidR="005C5847" w:rsidRDefault="005C5847" w:rsidP="005C5847">
      <w:pPr>
        <w:pStyle w:val="MF"/>
      </w:pPr>
      <w:r w:rsidRPr="000E5FC5">
        <w:t>_______________________</w:t>
      </w:r>
    </w:p>
    <w:p w:rsidR="000B07A7" w:rsidRDefault="000B07A7" w:rsidP="005C5847">
      <w:pPr>
        <w:pStyle w:val="MF"/>
        <w:rPr>
          <w:lang w:eastAsia="zh-TW"/>
        </w:rPr>
      </w:pPr>
    </w:p>
    <w:p w:rsidR="000B07A7" w:rsidRPr="000E5FC5" w:rsidRDefault="000B07A7" w:rsidP="005C5847">
      <w:pPr>
        <w:pStyle w:val="MF"/>
        <w:rPr>
          <w:lang w:eastAsia="zh-TW"/>
        </w:rPr>
      </w:pPr>
    </w:p>
    <w:p w:rsidR="005C5847" w:rsidRPr="000E5FC5" w:rsidRDefault="005C5847" w:rsidP="005C5847">
      <w:pPr>
        <w:jc w:val="center"/>
      </w:pPr>
      <w:r w:rsidRPr="000E5FC5">
        <w:t>(HEARD TOGETHER)</w:t>
      </w:r>
    </w:p>
    <w:p w:rsidR="005C5847" w:rsidRPr="000E5FC5" w:rsidRDefault="005C5847" w:rsidP="005C5847">
      <w:pPr>
        <w:spacing w:after="0" w:line="240" w:lineRule="auto"/>
        <w:jc w:val="center"/>
        <w:rPr>
          <w:color w:val="000000"/>
          <w:lang w:eastAsia="zh-TW"/>
        </w:rPr>
      </w:pPr>
    </w:p>
    <w:tbl>
      <w:tblPr>
        <w:tblW w:w="9450" w:type="dxa"/>
        <w:tblInd w:w="108" w:type="dxa"/>
        <w:tblLook w:val="0000" w:firstRow="0" w:lastRow="0" w:firstColumn="0" w:lastColumn="0" w:noHBand="0" w:noVBand="0"/>
      </w:tblPr>
      <w:tblGrid>
        <w:gridCol w:w="2970"/>
        <w:gridCol w:w="6480"/>
      </w:tblGrid>
      <w:tr w:rsidR="005C5847" w:rsidRPr="000E5FC5" w:rsidTr="00FB60C7">
        <w:trPr>
          <w:trHeight w:val="720"/>
        </w:trPr>
        <w:tc>
          <w:tcPr>
            <w:tcW w:w="2970" w:type="dxa"/>
          </w:tcPr>
          <w:p w:rsidR="005C5847" w:rsidRPr="000E5FC5" w:rsidRDefault="005C5847" w:rsidP="00FB60C7">
            <w:pPr>
              <w:spacing w:after="0" w:line="240" w:lineRule="auto"/>
              <w:rPr>
                <w:rFonts w:eastAsia="宋体"/>
                <w:lang w:val="en-US"/>
              </w:rPr>
            </w:pPr>
            <w:r w:rsidRPr="000E5FC5">
              <w:rPr>
                <w:rFonts w:eastAsia="宋体"/>
                <w:lang w:val="en-US"/>
              </w:rPr>
              <w:t>Appeal Committee:</w:t>
            </w:r>
          </w:p>
        </w:tc>
        <w:tc>
          <w:tcPr>
            <w:tcW w:w="6480" w:type="dxa"/>
          </w:tcPr>
          <w:p w:rsidR="005C5847" w:rsidRPr="000E5FC5" w:rsidRDefault="005C5847" w:rsidP="00FB60C7">
            <w:pPr>
              <w:snapToGrid w:val="0"/>
              <w:spacing w:after="0" w:line="240" w:lineRule="auto"/>
              <w:jc w:val="both"/>
              <w:rPr>
                <w:rFonts w:eastAsia="宋体"/>
                <w:lang w:val="en-US"/>
              </w:rPr>
            </w:pPr>
            <w:r w:rsidRPr="000E5FC5">
              <w:rPr>
                <w:rFonts w:eastAsia="宋体"/>
                <w:lang w:val="en-US"/>
              </w:rPr>
              <w:t xml:space="preserve">Chief Justice Ma, </w:t>
            </w:r>
            <w:proofErr w:type="spellStart"/>
            <w:r w:rsidRPr="000E5FC5">
              <w:rPr>
                <w:rFonts w:eastAsia="宋体"/>
                <w:lang w:val="en-US"/>
              </w:rPr>
              <w:t>Mr</w:t>
            </w:r>
            <w:proofErr w:type="spellEnd"/>
            <w:r w:rsidRPr="000E5FC5">
              <w:rPr>
                <w:rFonts w:eastAsia="宋体"/>
                <w:lang w:val="en-US"/>
              </w:rPr>
              <w:t xml:space="preserve"> Justice </w:t>
            </w:r>
            <w:r w:rsidRPr="000E5FC5">
              <w:rPr>
                <w:rFonts w:eastAsia="宋体" w:hint="eastAsia"/>
              </w:rPr>
              <w:t>Ribeiro</w:t>
            </w:r>
            <w:r w:rsidRPr="000E5FC5">
              <w:rPr>
                <w:rFonts w:eastAsia="宋体"/>
                <w:lang w:val="en-US"/>
              </w:rPr>
              <w:t xml:space="preserve"> PJ and</w:t>
            </w:r>
          </w:p>
          <w:p w:rsidR="005C5847" w:rsidRPr="000E5FC5" w:rsidRDefault="005C5847" w:rsidP="00FB60C7">
            <w:pPr>
              <w:spacing w:after="0" w:line="240" w:lineRule="auto"/>
              <w:rPr>
                <w:rFonts w:eastAsia="宋体"/>
                <w:lang w:val="en-US"/>
              </w:rPr>
            </w:pPr>
            <w:proofErr w:type="spellStart"/>
            <w:r w:rsidRPr="000E5FC5">
              <w:rPr>
                <w:rFonts w:eastAsia="宋体"/>
                <w:lang w:val="en-US"/>
              </w:rPr>
              <w:t>Mr</w:t>
            </w:r>
            <w:proofErr w:type="spellEnd"/>
            <w:r w:rsidRPr="000E5FC5">
              <w:rPr>
                <w:rFonts w:eastAsia="宋体"/>
                <w:lang w:val="en-US"/>
              </w:rPr>
              <w:t xml:space="preserve"> Justice Cheung PJ</w:t>
            </w:r>
          </w:p>
          <w:p w:rsidR="005C5847" w:rsidRPr="000E5FC5" w:rsidRDefault="005C5847" w:rsidP="00FB60C7">
            <w:pPr>
              <w:spacing w:after="0" w:line="240" w:lineRule="auto"/>
              <w:rPr>
                <w:rFonts w:eastAsia="宋体"/>
                <w:lang w:val="en-US"/>
              </w:rPr>
            </w:pPr>
          </w:p>
        </w:tc>
      </w:tr>
      <w:tr w:rsidR="005C5847" w:rsidRPr="000E5FC5" w:rsidTr="00FB60C7">
        <w:trPr>
          <w:trHeight w:val="720"/>
        </w:trPr>
        <w:tc>
          <w:tcPr>
            <w:tcW w:w="2970" w:type="dxa"/>
          </w:tcPr>
          <w:p w:rsidR="005C5847" w:rsidRPr="000E5FC5" w:rsidRDefault="005C5847" w:rsidP="00FB60C7">
            <w:pPr>
              <w:spacing w:after="0" w:line="240" w:lineRule="auto"/>
              <w:rPr>
                <w:rFonts w:eastAsia="宋体"/>
                <w:lang w:val="en-US"/>
              </w:rPr>
            </w:pPr>
            <w:r w:rsidRPr="000E5FC5">
              <w:rPr>
                <w:rFonts w:eastAsia="宋体"/>
                <w:lang w:val="en-US"/>
              </w:rPr>
              <w:t>Date of Hearing and Determination:</w:t>
            </w:r>
          </w:p>
          <w:p w:rsidR="005C5847" w:rsidRPr="000E5FC5" w:rsidRDefault="005C5847" w:rsidP="00FB60C7">
            <w:pPr>
              <w:spacing w:after="0" w:line="240" w:lineRule="auto"/>
              <w:rPr>
                <w:rFonts w:eastAsia="宋体"/>
                <w:lang w:val="en-US"/>
              </w:rPr>
            </w:pPr>
          </w:p>
        </w:tc>
        <w:tc>
          <w:tcPr>
            <w:tcW w:w="6480" w:type="dxa"/>
          </w:tcPr>
          <w:p w:rsidR="005C5847" w:rsidRPr="000E5FC5" w:rsidRDefault="005C5847" w:rsidP="00FB60C7">
            <w:pPr>
              <w:spacing w:after="0" w:line="240" w:lineRule="auto"/>
              <w:rPr>
                <w:rFonts w:eastAsia="宋体"/>
                <w:lang w:val="en-US"/>
              </w:rPr>
            </w:pPr>
            <w:r w:rsidRPr="000E5FC5">
              <w:rPr>
                <w:rFonts w:eastAsia="宋体"/>
                <w:lang w:val="en-US"/>
              </w:rPr>
              <w:t>7 April 2020</w:t>
            </w:r>
          </w:p>
        </w:tc>
      </w:tr>
      <w:tr w:rsidR="005C5847" w:rsidRPr="000E5FC5" w:rsidTr="00FB60C7">
        <w:trPr>
          <w:trHeight w:val="918"/>
        </w:trPr>
        <w:tc>
          <w:tcPr>
            <w:tcW w:w="2970" w:type="dxa"/>
          </w:tcPr>
          <w:p w:rsidR="005C5847" w:rsidRPr="000E5FC5" w:rsidRDefault="005C5847" w:rsidP="00FB60C7">
            <w:pPr>
              <w:spacing w:after="0" w:line="240" w:lineRule="auto"/>
              <w:rPr>
                <w:rFonts w:eastAsia="宋体"/>
                <w:lang w:val="en-US"/>
              </w:rPr>
            </w:pPr>
            <w:r w:rsidRPr="000E5FC5">
              <w:rPr>
                <w:rFonts w:eastAsia="宋体"/>
                <w:lang w:val="en-US"/>
              </w:rPr>
              <w:t>Date of Reasons for Determination:</w:t>
            </w:r>
          </w:p>
        </w:tc>
        <w:tc>
          <w:tcPr>
            <w:tcW w:w="6480" w:type="dxa"/>
          </w:tcPr>
          <w:p w:rsidR="005C5847" w:rsidRPr="000E5FC5" w:rsidRDefault="00932FBD" w:rsidP="00932FBD">
            <w:pPr>
              <w:spacing w:after="0" w:line="240" w:lineRule="auto"/>
              <w:rPr>
                <w:rFonts w:eastAsia="宋体"/>
                <w:lang w:val="en-US"/>
              </w:rPr>
            </w:pPr>
            <w:r>
              <w:rPr>
                <w:rFonts w:eastAsia="宋体"/>
                <w:lang w:val="en-US"/>
              </w:rPr>
              <w:t>17</w:t>
            </w:r>
            <w:r w:rsidR="005C5847" w:rsidRPr="000E5FC5">
              <w:rPr>
                <w:rFonts w:eastAsia="宋体"/>
                <w:lang w:val="en-US"/>
              </w:rPr>
              <w:t xml:space="preserve"> April 2020</w:t>
            </w:r>
          </w:p>
        </w:tc>
      </w:tr>
    </w:tbl>
    <w:p w:rsidR="005C5847" w:rsidRPr="000E5FC5" w:rsidRDefault="005C5847" w:rsidP="005C5847">
      <w:pPr>
        <w:pStyle w:val="BodyTextIndent"/>
        <w:tabs>
          <w:tab w:val="left" w:pos="0"/>
          <w:tab w:val="left" w:pos="540"/>
        </w:tabs>
        <w:ind w:left="0" w:right="118" w:firstLine="0"/>
        <w:rPr>
          <w:sz w:val="28"/>
          <w:szCs w:val="28"/>
        </w:rPr>
      </w:pPr>
      <w:r w:rsidRPr="000E5FC5">
        <w:rPr>
          <w:rFonts w:hint="eastAsia"/>
        </w:rPr>
        <w:tab/>
      </w:r>
      <w:r w:rsidRPr="000E5FC5">
        <w:rPr>
          <w:rFonts w:hint="eastAsia"/>
        </w:rPr>
        <w:tab/>
      </w:r>
      <w:r w:rsidRPr="000E5FC5">
        <w:rPr>
          <w:rFonts w:hint="eastAsia"/>
        </w:rPr>
        <w:tab/>
      </w:r>
      <w:r w:rsidRPr="000E5FC5">
        <w:rPr>
          <w:rFonts w:hint="eastAsia"/>
        </w:rPr>
        <w:tab/>
      </w:r>
      <w:r w:rsidRPr="000E5FC5">
        <w:rPr>
          <w:rFonts w:hint="eastAsia"/>
        </w:rPr>
        <w:tab/>
      </w:r>
    </w:p>
    <w:tbl>
      <w:tblPr>
        <w:tblW w:w="0" w:type="auto"/>
        <w:tblInd w:w="2088" w:type="dxa"/>
        <w:tblBorders>
          <w:top w:val="single" w:sz="4" w:space="0" w:color="auto"/>
          <w:bottom w:val="single" w:sz="4" w:space="0" w:color="auto"/>
        </w:tblBorders>
        <w:tblLook w:val="04A0" w:firstRow="1" w:lastRow="0" w:firstColumn="1" w:lastColumn="0" w:noHBand="0" w:noVBand="1"/>
      </w:tblPr>
      <w:tblGrid>
        <w:gridCol w:w="4950"/>
      </w:tblGrid>
      <w:tr w:rsidR="005C5847" w:rsidRPr="000E5FC5" w:rsidTr="00FB60C7">
        <w:tc>
          <w:tcPr>
            <w:tcW w:w="4950" w:type="dxa"/>
          </w:tcPr>
          <w:p w:rsidR="005C5847" w:rsidRPr="000E5FC5" w:rsidRDefault="005C5847" w:rsidP="00FB60C7">
            <w:pPr>
              <w:pStyle w:val="sh"/>
              <w:tabs>
                <w:tab w:val="clear" w:pos="720"/>
              </w:tabs>
              <w:snapToGrid w:val="0"/>
              <w:spacing w:before="240" w:after="240"/>
              <w:jc w:val="center"/>
              <w:rPr>
                <w:b/>
                <w:szCs w:val="28"/>
              </w:rPr>
            </w:pPr>
            <w:r w:rsidRPr="000E5FC5">
              <w:rPr>
                <w:b/>
                <w:szCs w:val="28"/>
              </w:rPr>
              <w:t>REASONS FOR DETERMINATION</w:t>
            </w:r>
          </w:p>
        </w:tc>
      </w:tr>
    </w:tbl>
    <w:p w:rsidR="005C5847" w:rsidRPr="000E5FC5" w:rsidRDefault="005C5847" w:rsidP="005C5847">
      <w:pPr>
        <w:pStyle w:val="BodyTextIndent"/>
        <w:tabs>
          <w:tab w:val="left" w:pos="0"/>
          <w:tab w:val="left" w:pos="540"/>
        </w:tabs>
        <w:ind w:left="0" w:right="118" w:firstLine="0"/>
        <w:rPr>
          <w:sz w:val="28"/>
          <w:szCs w:val="28"/>
        </w:rPr>
      </w:pPr>
    </w:p>
    <w:p w:rsidR="005C5847" w:rsidRPr="00335D4C" w:rsidRDefault="005C5847" w:rsidP="005C5847">
      <w:pPr>
        <w:pStyle w:val="Bob1"/>
        <w:numPr>
          <w:ilvl w:val="0"/>
          <w:numId w:val="0"/>
        </w:numPr>
        <w:ind w:left="720" w:hanging="720"/>
        <w:rPr>
          <w:b/>
        </w:rPr>
      </w:pPr>
      <w:r w:rsidRPr="00335D4C">
        <w:rPr>
          <w:b/>
        </w:rPr>
        <w:t>The Appeal Committee:</w:t>
      </w:r>
    </w:p>
    <w:p w:rsidR="00756AB7" w:rsidRDefault="00756AB7" w:rsidP="000B07A7">
      <w:pPr>
        <w:pStyle w:val="Bob1"/>
        <w:tabs>
          <w:tab w:val="clear" w:pos="720"/>
          <w:tab w:val="left" w:pos="1440"/>
        </w:tabs>
        <w:ind w:left="0" w:firstLine="0"/>
        <w:jc w:val="both"/>
      </w:pPr>
      <w:r>
        <w:t>After hearing submissions</w:t>
      </w:r>
      <w:r w:rsidR="00943BCC">
        <w:t>, we dismissed</w:t>
      </w:r>
      <w:r w:rsidR="00AD5D61">
        <w:t xml:space="preserve"> these</w:t>
      </w:r>
      <w:r>
        <w:t xml:space="preserve"> application</w:t>
      </w:r>
      <w:r w:rsidR="00AD5D61">
        <w:t>s</w:t>
      </w:r>
      <w:r>
        <w:t xml:space="preserve"> for leave to appeal</w:t>
      </w:r>
      <w:r w:rsidR="00943BCC">
        <w:t xml:space="preserve"> for reasons to be provided later.  These are our reasons.</w:t>
      </w:r>
    </w:p>
    <w:p w:rsidR="00A872F0" w:rsidRPr="00A872F0" w:rsidRDefault="00A872F0" w:rsidP="000B07A7">
      <w:pPr>
        <w:pStyle w:val="Bob1"/>
        <w:tabs>
          <w:tab w:val="clear" w:pos="720"/>
          <w:tab w:val="left" w:pos="1440"/>
        </w:tabs>
        <w:ind w:left="0" w:firstLine="0"/>
        <w:jc w:val="both"/>
      </w:pPr>
      <w:r w:rsidRPr="00A872F0">
        <w:rPr>
          <w:rFonts w:hint="eastAsia"/>
        </w:rPr>
        <w:t xml:space="preserve">The </w:t>
      </w:r>
      <w:r w:rsidR="007953BA">
        <w:t>a</w:t>
      </w:r>
      <w:r w:rsidRPr="00A872F0">
        <w:rPr>
          <w:rFonts w:hint="eastAsia"/>
        </w:rPr>
        <w:t>pplicants</w:t>
      </w:r>
      <w:r>
        <w:t>, who</w:t>
      </w:r>
      <w:r w:rsidRPr="00A872F0">
        <w:rPr>
          <w:rFonts w:hint="eastAsia"/>
        </w:rPr>
        <w:t xml:space="preserve"> were serving police officers, were convicted after trial </w:t>
      </w:r>
      <w:r>
        <w:t xml:space="preserve">before HH Judge </w:t>
      </w:r>
      <w:proofErr w:type="spellStart"/>
      <w:r>
        <w:t>Dufton</w:t>
      </w:r>
      <w:proofErr w:type="spellEnd"/>
      <w:r>
        <w:rPr>
          <w:rStyle w:val="FootnoteReference"/>
        </w:rPr>
        <w:footnoteReference w:id="1"/>
      </w:r>
      <w:r>
        <w:t xml:space="preserve"> </w:t>
      </w:r>
      <w:r w:rsidRPr="00A872F0">
        <w:rPr>
          <w:rFonts w:hint="eastAsia"/>
        </w:rPr>
        <w:t>of assault occasioning actual bodil</w:t>
      </w:r>
      <w:r>
        <w:rPr>
          <w:rFonts w:hint="eastAsia"/>
        </w:rPr>
        <w:t>y harm against Tsang Kin Chiu (</w:t>
      </w:r>
      <w:r>
        <w:t>“</w:t>
      </w:r>
      <w:r w:rsidRPr="000B07A7">
        <w:rPr>
          <w:rFonts w:hint="eastAsia"/>
          <w:u w:val="single"/>
        </w:rPr>
        <w:t>Tsang</w:t>
      </w:r>
      <w:r w:rsidR="00180CB8">
        <w:t>”</w:t>
      </w:r>
      <w:r w:rsidRPr="00A872F0">
        <w:rPr>
          <w:rFonts w:hint="eastAsia"/>
        </w:rPr>
        <w:t xml:space="preserve">) on 15 October 2014, </w:t>
      </w:r>
      <w:r>
        <w:t xml:space="preserve">in the course of a police operation </w:t>
      </w:r>
      <w:r w:rsidR="007953BA">
        <w:t>conducted during what have become known as the “Occupy Central” protests.  The 5</w:t>
      </w:r>
      <w:r w:rsidR="007953BA" w:rsidRPr="000B07A7">
        <w:rPr>
          <w:vertAlign w:val="superscript"/>
        </w:rPr>
        <w:t>th</w:t>
      </w:r>
      <w:r w:rsidR="007953BA">
        <w:t xml:space="preserve"> applicant </w:t>
      </w:r>
      <w:r w:rsidRPr="00A872F0">
        <w:rPr>
          <w:rFonts w:hint="eastAsia"/>
        </w:rPr>
        <w:t xml:space="preserve">was also convicted of an additional charge </w:t>
      </w:r>
      <w:r w:rsidR="00A26B6A">
        <w:rPr>
          <w:rFonts w:hint="eastAsia"/>
        </w:rPr>
        <w:t>of common assault against Tsang</w:t>
      </w:r>
      <w:r w:rsidRPr="00A872F0">
        <w:rPr>
          <w:rFonts w:hint="eastAsia"/>
        </w:rPr>
        <w:t xml:space="preserve"> later </w:t>
      </w:r>
      <w:r w:rsidR="007953BA">
        <w:t xml:space="preserve">that </w:t>
      </w:r>
      <w:r w:rsidRPr="00A872F0">
        <w:rPr>
          <w:rFonts w:hint="eastAsia"/>
        </w:rPr>
        <w:t>day, inside the Central Police Station.</w:t>
      </w:r>
      <w:r w:rsidR="00A26B6A">
        <w:t xml:space="preserve">  Their </w:t>
      </w:r>
      <w:r w:rsidR="00A26B6A">
        <w:lastRenderedPageBreak/>
        <w:t>appeal to the Court of Appeal</w:t>
      </w:r>
      <w:r w:rsidR="00A26B6A">
        <w:rPr>
          <w:rStyle w:val="FootnoteReference"/>
        </w:rPr>
        <w:footnoteReference w:id="2"/>
      </w:r>
      <w:r w:rsidR="00A26B6A">
        <w:t xml:space="preserve"> was dismissed, as was their application for certification.  They now renew their application before the Appeal Committee</w:t>
      </w:r>
      <w:r w:rsidR="00E720AA">
        <w:t>, seeking certification and leave to appeal in respect of four questions and leave to appeal on two grounds on the substantial and grave injustice basis</w:t>
      </w:r>
      <w:r w:rsidR="00A26B6A">
        <w:t>.</w:t>
      </w:r>
    </w:p>
    <w:p w:rsidR="0067253E" w:rsidRPr="00805D69" w:rsidRDefault="0067253E" w:rsidP="0067253E">
      <w:pPr>
        <w:pStyle w:val="docmapheading"/>
      </w:pPr>
      <w:r w:rsidRPr="00805D69">
        <w:t>Question 1</w:t>
      </w:r>
    </w:p>
    <w:p w:rsidR="0067253E" w:rsidRPr="00805D69" w:rsidRDefault="0067253E" w:rsidP="000B07A7">
      <w:pPr>
        <w:pStyle w:val="Bob1"/>
        <w:numPr>
          <w:ilvl w:val="0"/>
          <w:numId w:val="1"/>
        </w:numPr>
        <w:tabs>
          <w:tab w:val="clear" w:pos="720"/>
          <w:tab w:val="left" w:pos="1440"/>
        </w:tabs>
        <w:ind w:left="0" w:firstLine="0"/>
      </w:pPr>
      <w:r w:rsidRPr="00805D69">
        <w:t xml:space="preserve">Question 1 states: </w:t>
      </w:r>
    </w:p>
    <w:p w:rsidR="0067253E" w:rsidRPr="00805D69" w:rsidRDefault="0067253E" w:rsidP="000B07A7">
      <w:pPr>
        <w:pStyle w:val="Bob1"/>
        <w:numPr>
          <w:ilvl w:val="0"/>
          <w:numId w:val="0"/>
        </w:numPr>
        <w:spacing w:line="240" w:lineRule="auto"/>
        <w:ind w:left="720"/>
        <w:jc w:val="both"/>
        <w:rPr>
          <w:sz w:val="24"/>
        </w:rPr>
      </w:pPr>
      <w:r w:rsidRPr="00805D69">
        <w:rPr>
          <w:sz w:val="24"/>
        </w:rPr>
        <w:t>“When the authenticity (and thus relevance) of video recorded material is in issue, does the test for admissibility require the party seeking to admit it to establish</w:t>
      </w:r>
      <w:r w:rsidR="00AD5D61">
        <w:rPr>
          <w:sz w:val="24"/>
        </w:rPr>
        <w:t>,</w:t>
      </w:r>
      <w:r w:rsidRPr="00805D69">
        <w:rPr>
          <w:sz w:val="24"/>
        </w:rPr>
        <w:t xml:space="preserve"> to any legal standard, that the material is in fact authentic or is it sufficient merely to ask whether the disputed evidence, if believed by the tribunal of fact, would be sufficient to prove authent</w:t>
      </w:r>
      <w:r w:rsidR="00AD5D61">
        <w:rPr>
          <w:sz w:val="24"/>
        </w:rPr>
        <w:t>icity beyond a reasonable doubt?</w:t>
      </w:r>
      <w:r w:rsidRPr="00805D69">
        <w:rPr>
          <w:sz w:val="24"/>
        </w:rPr>
        <w:t>”</w:t>
      </w:r>
    </w:p>
    <w:p w:rsidR="00A872F0" w:rsidRDefault="004D6831" w:rsidP="000B07A7">
      <w:pPr>
        <w:pStyle w:val="Bob1"/>
        <w:tabs>
          <w:tab w:val="clear" w:pos="720"/>
          <w:tab w:val="left" w:pos="1440"/>
        </w:tabs>
        <w:ind w:left="0" w:firstLine="0"/>
        <w:jc w:val="both"/>
      </w:pPr>
      <w:r>
        <w:t>Th</w:t>
      </w:r>
      <w:r w:rsidR="00FF5368">
        <w:t xml:space="preserve">is </w:t>
      </w:r>
      <w:r>
        <w:t xml:space="preserve">Question </w:t>
      </w:r>
      <w:r w:rsidR="00FF5368">
        <w:t xml:space="preserve">relates to </w:t>
      </w:r>
      <w:r>
        <w:t>the admissibility of video recordings which were the central component of the prosecution’s evidence relied on to prove the assault</w:t>
      </w:r>
      <w:r w:rsidR="004735C1">
        <w:t xml:space="preserve"> against Tsang</w:t>
      </w:r>
      <w:r>
        <w:t xml:space="preserve">.  </w:t>
      </w:r>
      <w:r w:rsidR="00FF5368">
        <w:t xml:space="preserve">The proposition </w:t>
      </w:r>
      <w:r w:rsidR="003821B2">
        <w:t xml:space="preserve">which underlies it </w:t>
      </w:r>
      <w:r w:rsidR="00FF5368">
        <w:t xml:space="preserve">is that the Judge and the Court of Appeal adopted erroneous approaches to the test of such admissibility, in particular as to the “legal standard” required to be satisfied and as to the Judge’s alleged reliance on an “if believed” test. </w:t>
      </w:r>
      <w:r w:rsidR="00F5699D">
        <w:t xml:space="preserve"> </w:t>
      </w:r>
    </w:p>
    <w:p w:rsidR="00811C95" w:rsidRPr="00805D69" w:rsidRDefault="00811C95" w:rsidP="000B07A7">
      <w:pPr>
        <w:pStyle w:val="Bob1"/>
        <w:tabs>
          <w:tab w:val="clear" w:pos="720"/>
          <w:tab w:val="left" w:pos="1440"/>
        </w:tabs>
        <w:ind w:left="0" w:firstLine="0"/>
        <w:jc w:val="both"/>
      </w:pPr>
      <w:r w:rsidRPr="00805D69">
        <w:t xml:space="preserve">It </w:t>
      </w:r>
      <w:r>
        <w:t xml:space="preserve">is important to note that these issues </w:t>
      </w:r>
      <w:r w:rsidR="000C40B1">
        <w:t>are raised</w:t>
      </w:r>
      <w:r>
        <w:t xml:space="preserve"> in the context of the</w:t>
      </w:r>
      <w:r w:rsidRPr="00805D69">
        <w:t xml:space="preserve"> Judge</w:t>
      </w:r>
      <w:r>
        <w:t xml:space="preserve"> </w:t>
      </w:r>
      <w:r w:rsidR="009424A5">
        <w:t xml:space="preserve">having </w:t>
      </w:r>
      <w:r>
        <w:t>acced</w:t>
      </w:r>
      <w:r w:rsidR="009424A5">
        <w:t>ed</w:t>
      </w:r>
      <w:r>
        <w:t xml:space="preserve"> to the parties’ request to conduct a </w:t>
      </w:r>
      <w:proofErr w:type="spellStart"/>
      <w:r>
        <w:t>voire</w:t>
      </w:r>
      <w:proofErr w:type="spellEnd"/>
      <w:r>
        <w:t xml:space="preserve"> dire.</w:t>
      </w:r>
      <w:r w:rsidR="0049684C">
        <w:rPr>
          <w:rStyle w:val="FootnoteReference"/>
          <w:sz w:val="24"/>
        </w:rPr>
        <w:footnoteReference w:id="3"/>
      </w:r>
      <w:r>
        <w:t xml:space="preserve">  His Honour noted</w:t>
      </w:r>
      <w:r w:rsidRPr="00805D69">
        <w:t>:</w:t>
      </w:r>
    </w:p>
    <w:p w:rsidR="00811C95" w:rsidRPr="00805D69" w:rsidRDefault="00811C95" w:rsidP="000B07A7">
      <w:pPr>
        <w:pStyle w:val="Bob1"/>
        <w:numPr>
          <w:ilvl w:val="0"/>
          <w:numId w:val="0"/>
        </w:numPr>
        <w:spacing w:line="240" w:lineRule="auto"/>
        <w:ind w:left="720"/>
        <w:jc w:val="both"/>
        <w:rPr>
          <w:sz w:val="24"/>
        </w:rPr>
      </w:pPr>
      <w:r w:rsidRPr="00805D69">
        <w:rPr>
          <w:sz w:val="24"/>
        </w:rPr>
        <w:lastRenderedPageBreak/>
        <w:t xml:space="preserve">“Notwithstanding witnesses would need to be recalled all counsel agreed that the court should first determine the admissibility of the video footage, photographs and CCTV recordings by way of </w:t>
      </w:r>
      <w:proofErr w:type="spellStart"/>
      <w:r w:rsidRPr="00805D69">
        <w:rPr>
          <w:sz w:val="24"/>
        </w:rPr>
        <w:t>voir</w:t>
      </w:r>
      <w:proofErr w:type="spellEnd"/>
      <w:r w:rsidRPr="00805D69">
        <w:rPr>
          <w:sz w:val="24"/>
        </w:rPr>
        <w:t xml:space="preserve"> dire and not adopt the alternative procedure.”</w:t>
      </w:r>
      <w:r>
        <w:rPr>
          <w:rStyle w:val="FootnoteReference"/>
          <w:sz w:val="24"/>
        </w:rPr>
        <w:footnoteReference w:id="4"/>
      </w:r>
      <w:r w:rsidRPr="00805D69">
        <w:rPr>
          <w:sz w:val="24"/>
        </w:rPr>
        <w:t xml:space="preserve"> </w:t>
      </w:r>
    </w:p>
    <w:p w:rsidR="00811C95" w:rsidRDefault="007734ED" w:rsidP="000B07A7">
      <w:pPr>
        <w:pStyle w:val="Bob1"/>
        <w:tabs>
          <w:tab w:val="clear" w:pos="720"/>
          <w:tab w:val="left" w:pos="1440"/>
        </w:tabs>
        <w:ind w:left="0" w:firstLine="0"/>
        <w:jc w:val="both"/>
      </w:pPr>
      <w:r>
        <w:t xml:space="preserve">As the Full Court </w:t>
      </w:r>
      <w:r w:rsidR="00C32FE0">
        <w:t>held</w:t>
      </w:r>
      <w:r>
        <w:t xml:space="preserve"> in 1970,</w:t>
      </w:r>
      <w:r>
        <w:rPr>
          <w:rStyle w:val="FootnoteReference"/>
        </w:rPr>
        <w:footnoteReference w:id="5"/>
      </w:r>
      <w:r>
        <w:t xml:space="preserve"> although it was common practice to </w:t>
      </w:r>
      <w:r w:rsidR="00C32FE0">
        <w:t>conduct</w:t>
      </w:r>
      <w:r>
        <w:t xml:space="preserve"> a </w:t>
      </w:r>
      <w:proofErr w:type="spellStart"/>
      <w:r>
        <w:t>voire</w:t>
      </w:r>
      <w:proofErr w:type="spellEnd"/>
      <w:r>
        <w:t xml:space="preserve"> dire in the District Court, the court </w:t>
      </w:r>
      <w:r w:rsidR="003821B2">
        <w:t>is</w:t>
      </w:r>
      <w:r>
        <w:t xml:space="preserve"> not obliged to do so and what the Judge </w:t>
      </w:r>
      <w:r w:rsidR="00976B5C">
        <w:t xml:space="preserve">in the present case </w:t>
      </w:r>
      <w:r>
        <w:t xml:space="preserve">referred to as the “alternative procedure” </w:t>
      </w:r>
      <w:r w:rsidR="00381897">
        <w:t>with suitable safeguards for the defendant</w:t>
      </w:r>
      <w:r w:rsidR="00381897">
        <w:rPr>
          <w:rStyle w:val="FootnoteReference"/>
        </w:rPr>
        <w:footnoteReference w:id="6"/>
      </w:r>
      <w:r w:rsidR="00B83560">
        <w:t xml:space="preserve"> was approved.</w:t>
      </w:r>
      <w:r w:rsidR="00C32FE0">
        <w:t xml:space="preserve">  </w:t>
      </w:r>
      <w:r w:rsidR="00A57143">
        <w:t xml:space="preserve">This was </w:t>
      </w:r>
      <w:r w:rsidR="00B83560">
        <w:t>re-</w:t>
      </w:r>
      <w:r w:rsidR="00A57143">
        <w:t xml:space="preserve">affirmed by the Full Court in </w:t>
      </w:r>
      <w:r w:rsidR="00AD5D61">
        <w:rPr>
          <w:i/>
        </w:rPr>
        <w:t>The Queen</w:t>
      </w:r>
      <w:r w:rsidR="00A57143">
        <w:rPr>
          <w:i/>
        </w:rPr>
        <w:t xml:space="preserve"> v Leung Siu-ng</w:t>
      </w:r>
      <w:r w:rsidR="00A57143">
        <w:t>,</w:t>
      </w:r>
      <w:r w:rsidR="00A57143">
        <w:rPr>
          <w:rStyle w:val="FootnoteReference"/>
        </w:rPr>
        <w:footnoteReference w:id="7"/>
      </w:r>
      <w:r w:rsidR="0080624B">
        <w:t xml:space="preserve"> which noted </w:t>
      </w:r>
      <w:r w:rsidR="009424A5">
        <w:t xml:space="preserve">that the alternative procedure </w:t>
      </w:r>
      <w:r w:rsidR="000467B4">
        <w:t xml:space="preserve">often </w:t>
      </w:r>
      <w:r w:rsidR="009424A5">
        <w:t xml:space="preserve">commended itself because of the inconvenience and </w:t>
      </w:r>
      <w:r w:rsidR="0080624B">
        <w:t xml:space="preserve">a certain artificiality in holding a </w:t>
      </w:r>
      <w:proofErr w:type="spellStart"/>
      <w:r w:rsidR="0080624B">
        <w:t>voire</w:t>
      </w:r>
      <w:proofErr w:type="spellEnd"/>
      <w:r w:rsidR="0080624B">
        <w:t xml:space="preserve"> dire in trials without a jury:</w:t>
      </w:r>
    </w:p>
    <w:p w:rsidR="009424A5" w:rsidRPr="009424A5" w:rsidRDefault="009424A5" w:rsidP="000B07A7">
      <w:pPr>
        <w:spacing w:line="240" w:lineRule="auto"/>
        <w:ind w:left="720"/>
        <w:jc w:val="both"/>
        <w:rPr>
          <w:sz w:val="24"/>
        </w:rPr>
      </w:pPr>
      <w:r w:rsidRPr="009424A5">
        <w:rPr>
          <w:sz w:val="24"/>
        </w:rPr>
        <w:t>“The [</w:t>
      </w:r>
      <w:proofErr w:type="spellStart"/>
      <w:r w:rsidRPr="009424A5">
        <w:rPr>
          <w:sz w:val="24"/>
        </w:rPr>
        <w:t>voir</w:t>
      </w:r>
      <w:r w:rsidR="00AD5D61">
        <w:rPr>
          <w:sz w:val="24"/>
        </w:rPr>
        <w:t>e</w:t>
      </w:r>
      <w:proofErr w:type="spellEnd"/>
      <w:r w:rsidRPr="009424A5">
        <w:rPr>
          <w:sz w:val="24"/>
        </w:rPr>
        <w:t xml:space="preserve"> dire] procedure ... requires that the special issue be abstracted from all the other issues of fact and law which are subsumed under the general issue and that it be dealt with by way of a separate trial in the course of which the wider trial is arrested and inquiry into all the other questions at issue is suspended until the special issue has been resolved.  It is, no doubt, the inconvenience of the </w:t>
      </w:r>
      <w:proofErr w:type="spellStart"/>
      <w:r w:rsidRPr="009424A5">
        <w:rPr>
          <w:sz w:val="24"/>
        </w:rPr>
        <w:t>voir</w:t>
      </w:r>
      <w:proofErr w:type="spellEnd"/>
      <w:r w:rsidRPr="009424A5">
        <w:rPr>
          <w:sz w:val="24"/>
        </w:rPr>
        <w:t xml:space="preserve"> dire and a certain artificiality in the distinctions which have to be made concerning the evidence given on the special and general issues which have, especially since </w:t>
      </w:r>
      <w:proofErr w:type="spellStart"/>
      <w:r w:rsidRPr="009424A5">
        <w:rPr>
          <w:i/>
          <w:sz w:val="24"/>
        </w:rPr>
        <w:t>Ho</w:t>
      </w:r>
      <w:proofErr w:type="spellEnd"/>
      <w:r w:rsidRPr="009424A5">
        <w:rPr>
          <w:i/>
          <w:sz w:val="24"/>
        </w:rPr>
        <w:t xml:space="preserve"> </w:t>
      </w:r>
      <w:proofErr w:type="spellStart"/>
      <w:r w:rsidRPr="009424A5">
        <w:rPr>
          <w:i/>
          <w:sz w:val="24"/>
        </w:rPr>
        <w:t>Yiu-fai's</w:t>
      </w:r>
      <w:proofErr w:type="spellEnd"/>
      <w:r w:rsidRPr="009424A5">
        <w:rPr>
          <w:sz w:val="24"/>
        </w:rPr>
        <w:t xml:space="preserve"> case, led to the increasing employment of the alternative procedure in trials without a jury in this territory.”</w:t>
      </w:r>
      <w:r w:rsidR="00D57608">
        <w:rPr>
          <w:rStyle w:val="FootnoteReference"/>
          <w:sz w:val="24"/>
        </w:rPr>
        <w:footnoteReference w:id="8"/>
      </w:r>
    </w:p>
    <w:p w:rsidR="0080624B" w:rsidRDefault="00142F47" w:rsidP="000B07A7">
      <w:pPr>
        <w:pStyle w:val="Bob1"/>
        <w:tabs>
          <w:tab w:val="clear" w:pos="720"/>
          <w:tab w:val="left" w:pos="1440"/>
        </w:tabs>
        <w:ind w:left="0" w:firstLine="0"/>
        <w:jc w:val="both"/>
      </w:pPr>
      <w:r>
        <w:t>Notwithstanding possible inconvenience, t</w:t>
      </w:r>
      <w:r w:rsidR="00EA0A7F">
        <w:t xml:space="preserve">he </w:t>
      </w:r>
      <w:proofErr w:type="spellStart"/>
      <w:r w:rsidR="00EA0A7F">
        <w:t>voire</w:t>
      </w:r>
      <w:proofErr w:type="spellEnd"/>
      <w:r w:rsidR="00EA0A7F">
        <w:t xml:space="preserve"> dire procedure, </w:t>
      </w:r>
      <w:r w:rsidR="00381897">
        <w:t>including</w:t>
      </w:r>
      <w:r w:rsidR="00EA0A7F">
        <w:t xml:space="preserve"> in cases tried without a jury, has the benefit of enabling the defendant </w:t>
      </w:r>
      <w:r w:rsidR="00EA0A7F">
        <w:lastRenderedPageBreak/>
        <w:t xml:space="preserve">to know the strength of the prosecution case </w:t>
      </w:r>
      <w:r w:rsidR="00F5699D">
        <w:t xml:space="preserve">at an </w:t>
      </w:r>
      <w:r>
        <w:t>appropriate</w:t>
      </w:r>
      <w:r w:rsidR="00F5699D">
        <w:t xml:space="preserve"> stage </w:t>
      </w:r>
      <w:r w:rsidR="00EA0A7F">
        <w:t xml:space="preserve">and thus to decide whether to give evidence in his or her </w:t>
      </w:r>
      <w:r w:rsidR="00B83560">
        <w:t xml:space="preserve">own </w:t>
      </w:r>
      <w:r w:rsidR="00EA0A7F">
        <w:t xml:space="preserve">defence, thus giving effect to “the cardinal principle that the prisoner should not be called upon to make his defence until the body of </w:t>
      </w:r>
      <w:r w:rsidR="00D57608">
        <w:t xml:space="preserve">the </w:t>
      </w:r>
      <w:r w:rsidR="00EA0A7F">
        <w:t>evidence standing against him has been defined”.</w:t>
      </w:r>
      <w:r w:rsidR="00EA0A7F">
        <w:rPr>
          <w:rStyle w:val="FootnoteReference"/>
        </w:rPr>
        <w:footnoteReference w:id="9"/>
      </w:r>
      <w:r w:rsidR="000467B4">
        <w:t xml:space="preserve">  </w:t>
      </w:r>
    </w:p>
    <w:p w:rsidR="00720D32" w:rsidRDefault="00720D32" w:rsidP="00720D32">
      <w:pPr>
        <w:pStyle w:val="docmapheading"/>
      </w:pPr>
      <w:r>
        <w:t>“If believed”</w:t>
      </w:r>
    </w:p>
    <w:p w:rsidR="00F5699D" w:rsidRDefault="00F5699D" w:rsidP="000B07A7">
      <w:pPr>
        <w:pStyle w:val="Bob1"/>
        <w:tabs>
          <w:tab w:val="clear" w:pos="720"/>
          <w:tab w:val="left" w:pos="1440"/>
        </w:tabs>
        <w:ind w:left="0" w:firstLine="0"/>
        <w:jc w:val="both"/>
      </w:pPr>
      <w:r w:rsidRPr="00805D69">
        <w:t>Question 1 seeks to suggest that the Judge applied the wrong test because he erroneously thought “it sufficient merely to ask whether the disputed evidence, if believed by the tribunal of fact” as the basis for proving “authenticity beyond a reasonable dou</w:t>
      </w:r>
      <w:r w:rsidR="009247F9">
        <w:t xml:space="preserve">bt”.  </w:t>
      </w:r>
      <w:r w:rsidR="00142F47">
        <w:t>T</w:t>
      </w:r>
      <w:r w:rsidRPr="00805D69">
        <w:t xml:space="preserve">his is a misreading of the </w:t>
      </w:r>
      <w:r w:rsidR="00745951">
        <w:t>Reasons for Verdict</w:t>
      </w:r>
      <w:r w:rsidRPr="00805D69">
        <w:t xml:space="preserve">. </w:t>
      </w:r>
    </w:p>
    <w:p w:rsidR="00F5699D" w:rsidRPr="00805D69" w:rsidRDefault="00F5699D" w:rsidP="000B07A7">
      <w:pPr>
        <w:pStyle w:val="Bob1"/>
        <w:tabs>
          <w:tab w:val="clear" w:pos="720"/>
          <w:tab w:val="left" w:pos="1440"/>
        </w:tabs>
        <w:ind w:left="0" w:firstLine="0"/>
        <w:jc w:val="both"/>
      </w:pPr>
      <w:r w:rsidRPr="00805D69">
        <w:t xml:space="preserve">This can be illustrated by examining </w:t>
      </w:r>
      <w:r>
        <w:t>the Judge’s</w:t>
      </w:r>
      <w:r w:rsidRPr="00805D69">
        <w:t xml:space="preserve"> treatment of the evidence regarding the TVB footage.</w:t>
      </w:r>
      <w:r w:rsidR="0006341F">
        <w:rPr>
          <w:rStyle w:val="FootnoteReference"/>
        </w:rPr>
        <w:footnoteReference w:id="10"/>
      </w:r>
      <w:r w:rsidRPr="00805D69">
        <w:t xml:space="preserve">  The videos relied on by the prosecution were downloaded by a police sergeant from YouTube and TVB’s website.  He was unable to say who had uploaded it to YouTube or what may have happened to the footage before uploading.</w:t>
      </w:r>
      <w:r w:rsidRPr="00805D69">
        <w:rPr>
          <w:rStyle w:val="FootnoteReference"/>
        </w:rPr>
        <w:footnoteReference w:id="11"/>
      </w:r>
      <w:r w:rsidRPr="00805D69">
        <w:t xml:space="preserve">  The original footage was not obtained from TVB because of Barne</w:t>
      </w:r>
      <w:r w:rsidR="00711ACD">
        <w:t>s</w:t>
      </w:r>
      <w:r w:rsidRPr="00805D69">
        <w:t xml:space="preserve"> J’s earlier refusal to order production.</w:t>
      </w:r>
      <w:r w:rsidR="00B83560">
        <w:rPr>
          <w:rStyle w:val="FootnoteReference"/>
        </w:rPr>
        <w:footnoteReference w:id="12"/>
      </w:r>
      <w:r w:rsidRPr="00805D69">
        <w:t xml:space="preserve">  </w:t>
      </w:r>
      <w:r w:rsidR="000F2BC2">
        <w:t>It was in those circumstances that t</w:t>
      </w:r>
      <w:r w:rsidRPr="00805D69">
        <w:t xml:space="preserve">he </w:t>
      </w:r>
      <w:r w:rsidR="00861D37">
        <w:t>applicants</w:t>
      </w:r>
      <w:r w:rsidRPr="00805D69">
        <w:t xml:space="preserve"> challenged the authenticity of the footage relied on.</w:t>
      </w:r>
    </w:p>
    <w:p w:rsidR="00F5699D" w:rsidRPr="00805D69" w:rsidRDefault="00F5699D" w:rsidP="000B07A7">
      <w:pPr>
        <w:pStyle w:val="Bob1"/>
        <w:tabs>
          <w:tab w:val="clear" w:pos="720"/>
          <w:tab w:val="left" w:pos="1440"/>
        </w:tabs>
        <w:ind w:left="0" w:firstLine="0"/>
        <w:jc w:val="both"/>
      </w:pPr>
      <w:r w:rsidRPr="00805D69">
        <w:t xml:space="preserve">The evidence on authenticity considered by the Judge </w:t>
      </w:r>
      <w:r w:rsidR="000F2BC2">
        <w:t>(</w:t>
      </w:r>
      <w:r w:rsidRPr="00805D69">
        <w:t xml:space="preserve">adopting the </w:t>
      </w:r>
      <w:proofErr w:type="spellStart"/>
      <w:r w:rsidRPr="00805D69">
        <w:t>voire</w:t>
      </w:r>
      <w:proofErr w:type="spellEnd"/>
      <w:r w:rsidRPr="00805D69">
        <w:t xml:space="preserve"> dire procedure) consisted in the first place of the testimony of three TVB witnesses: </w:t>
      </w:r>
    </w:p>
    <w:p w:rsidR="00F5699D" w:rsidRPr="00805D69" w:rsidRDefault="00F5699D" w:rsidP="000B07A7">
      <w:pPr>
        <w:pStyle w:val="Bob1"/>
        <w:numPr>
          <w:ilvl w:val="1"/>
          <w:numId w:val="11"/>
        </w:numPr>
        <w:jc w:val="both"/>
      </w:pPr>
      <w:r w:rsidRPr="00805D69">
        <w:t xml:space="preserve">Mr Sum </w:t>
      </w:r>
      <w:proofErr w:type="spellStart"/>
      <w:r w:rsidRPr="00805D69">
        <w:t>Ka</w:t>
      </w:r>
      <w:proofErr w:type="spellEnd"/>
      <w:r w:rsidRPr="00805D69">
        <w:t xml:space="preserve"> Hung (PW9), a senior technician, who explained the process whereby footage filmed by cameramen was transmitted in </w:t>
      </w:r>
      <w:r w:rsidRPr="00805D69">
        <w:lastRenderedPageBreak/>
        <w:t>real time by fibre optical cable or TVU and automatically recorded onto the server at TVB’s news department; how the signal which he had monitored was normal and not interfered with; how the files created were password protected and how he and his colleagues were unable to make any alterations to the files stored in the server.</w:t>
      </w:r>
      <w:r w:rsidRPr="00805D69">
        <w:rPr>
          <w:rStyle w:val="FootnoteReference"/>
        </w:rPr>
        <w:footnoteReference w:id="13"/>
      </w:r>
      <w:r w:rsidRPr="00805D69">
        <w:t xml:space="preserve"> </w:t>
      </w:r>
    </w:p>
    <w:p w:rsidR="00F5699D" w:rsidRPr="00805D69" w:rsidRDefault="00F5699D" w:rsidP="000B07A7">
      <w:pPr>
        <w:pStyle w:val="Bob1"/>
        <w:numPr>
          <w:ilvl w:val="1"/>
          <w:numId w:val="11"/>
        </w:numPr>
        <w:jc w:val="both"/>
      </w:pPr>
      <w:r w:rsidRPr="00805D69">
        <w:t xml:space="preserve">Mr Lam </w:t>
      </w:r>
      <w:proofErr w:type="spellStart"/>
      <w:r w:rsidRPr="00805D69">
        <w:t>Ka</w:t>
      </w:r>
      <w:proofErr w:type="spellEnd"/>
      <w:r w:rsidRPr="00805D69">
        <w:t xml:space="preserve"> Yu (PW10), a senior librarian, who testified that he retrieved the footage from the server and copied it onto Blu-ray discs without altering it.  He said that he had compared the discs with the server file and found the content to be identical.  He then stored the discs in the library and subsequently handed them to Mr Wong.</w:t>
      </w:r>
      <w:r w:rsidRPr="00805D69">
        <w:rPr>
          <w:rStyle w:val="FootnoteReference"/>
        </w:rPr>
        <w:footnoteReference w:id="14"/>
      </w:r>
    </w:p>
    <w:p w:rsidR="00F5699D" w:rsidRDefault="00F5699D" w:rsidP="000B07A7">
      <w:pPr>
        <w:pStyle w:val="Bob1"/>
        <w:numPr>
          <w:ilvl w:val="1"/>
          <w:numId w:val="11"/>
        </w:numPr>
        <w:jc w:val="both"/>
      </w:pPr>
      <w:r w:rsidRPr="00805D69">
        <w:t xml:space="preserve">Mr David Wong (PW8), the news production manager, who testified that he had compared the footage uploaded to the TVB website with the relevant Blu-ray disc.  The main difference involved the elimination of certain footage </w:t>
      </w:r>
      <w:r w:rsidR="00A175F7" w:rsidRPr="00805D69">
        <w:t xml:space="preserve">from the uploaded content </w:t>
      </w:r>
      <w:r w:rsidRPr="00805D69">
        <w:t>consisting of shots where the group being filmed were blocked by a van.  He provided a commentary on the videos which were played in court, indicating that apart from very minor differences, they were the same as the material in the library.</w:t>
      </w:r>
      <w:r w:rsidRPr="00805D69">
        <w:rPr>
          <w:rStyle w:val="FootnoteReference"/>
        </w:rPr>
        <w:footnoteReference w:id="15"/>
      </w:r>
    </w:p>
    <w:p w:rsidR="00861D37" w:rsidRDefault="00256CC7" w:rsidP="000B07A7">
      <w:pPr>
        <w:pStyle w:val="Bob1"/>
        <w:tabs>
          <w:tab w:val="clear" w:pos="720"/>
          <w:tab w:val="num" w:pos="1440"/>
        </w:tabs>
        <w:ind w:left="0" w:firstLine="0"/>
        <w:jc w:val="both"/>
      </w:pPr>
      <w:r>
        <w:t xml:space="preserve">Having heard the witnesses on </w:t>
      </w:r>
      <w:r w:rsidR="00861D37">
        <w:t xml:space="preserve">the </w:t>
      </w:r>
      <w:proofErr w:type="spellStart"/>
      <w:r w:rsidR="00861D37">
        <w:t>voire</w:t>
      </w:r>
      <w:proofErr w:type="spellEnd"/>
      <w:r w:rsidR="00861D37">
        <w:t xml:space="preserve"> dire, </w:t>
      </w:r>
      <w:r w:rsidR="00EF12D6">
        <w:t>the parties having agreed that the evidence (heard over 10 days) should be taken into consideration on the general issue,</w:t>
      </w:r>
      <w:r w:rsidR="00EF12D6">
        <w:rPr>
          <w:rStyle w:val="FootnoteReference"/>
        </w:rPr>
        <w:footnoteReference w:id="16"/>
      </w:r>
      <w:r w:rsidR="00EF12D6">
        <w:t xml:space="preserve"> </w:t>
      </w:r>
      <w:r w:rsidR="00861D37">
        <w:t xml:space="preserve">the Judge </w:t>
      </w:r>
      <w:r w:rsidR="00EF12D6">
        <w:t>“found all the vid</w:t>
      </w:r>
      <w:r w:rsidR="0047232F">
        <w:t xml:space="preserve">eo footage, photographs and </w:t>
      </w:r>
      <w:r w:rsidR="0047232F">
        <w:lastRenderedPageBreak/>
        <w:t>CCTV</w:t>
      </w:r>
      <w:r w:rsidR="00EF12D6">
        <w:t xml:space="preserve"> record</w:t>
      </w:r>
      <w:r w:rsidR="00D57608">
        <w:t>ing</w:t>
      </w:r>
      <w:r w:rsidR="00EF12D6">
        <w:t>s r</w:t>
      </w:r>
      <w:r w:rsidR="00D57608">
        <w:t>elevant and prima facie authentic</w:t>
      </w:r>
      <w:r w:rsidR="00EF12D6">
        <w:t>”.</w:t>
      </w:r>
      <w:r w:rsidR="00EF12D6">
        <w:rPr>
          <w:rStyle w:val="FootnoteReference"/>
        </w:rPr>
        <w:footnoteReference w:id="17"/>
      </w:r>
      <w:r w:rsidR="00EF12D6">
        <w:t xml:space="preserve">  In his oral ruling he held</w:t>
      </w:r>
      <w:r w:rsidR="00861D37">
        <w:rPr>
          <w:rStyle w:val="FootnoteReference"/>
        </w:rPr>
        <w:footnoteReference w:id="18"/>
      </w:r>
      <w:r w:rsidR="00B147B4">
        <w:t xml:space="preserve"> </w:t>
      </w:r>
      <w:r w:rsidR="000F2BC2">
        <w:t xml:space="preserve">that </w:t>
      </w:r>
      <w:r w:rsidR="00B147B4">
        <w:t xml:space="preserve">the </w:t>
      </w:r>
      <w:r w:rsidR="000F2BC2">
        <w:t xml:space="preserve">footage was </w:t>
      </w:r>
      <w:r w:rsidR="00D57608">
        <w:t xml:space="preserve">relevant and </w:t>
      </w:r>
      <w:r w:rsidR="000F2BC2">
        <w:t>prima facie authentic</w:t>
      </w:r>
      <w:r w:rsidR="00F70127">
        <w:t>,</w:t>
      </w:r>
      <w:r w:rsidR="000F2BC2">
        <w:t xml:space="preserve"> and so admissible</w:t>
      </w:r>
      <w:r w:rsidR="00B147B4">
        <w:t>:</w:t>
      </w:r>
    </w:p>
    <w:p w:rsidR="00B147B4" w:rsidRPr="00B147B4" w:rsidRDefault="00B147B4" w:rsidP="000B07A7">
      <w:pPr>
        <w:pStyle w:val="Bob1"/>
        <w:numPr>
          <w:ilvl w:val="0"/>
          <w:numId w:val="0"/>
        </w:numPr>
        <w:spacing w:line="240" w:lineRule="auto"/>
        <w:ind w:left="720"/>
        <w:jc w:val="both"/>
        <w:rPr>
          <w:sz w:val="24"/>
        </w:rPr>
      </w:pPr>
      <w:r w:rsidRPr="00B147B4">
        <w:rPr>
          <w:sz w:val="24"/>
        </w:rPr>
        <w:t>“I have carefully considered all the evidence and submissions of counsel.  I find all the video footage, the photographs and CCTV recordings relevant and prima facie authentic.  I rule all the video footage, the photographs and the CCTV recordings admissible in evidence, each video footage, each photograph and CCTV recordings considered separately.”</w:t>
      </w:r>
    </w:p>
    <w:p w:rsidR="00F5699D" w:rsidRPr="00805D69" w:rsidRDefault="00B147B4" w:rsidP="000B07A7">
      <w:pPr>
        <w:pStyle w:val="Bob1"/>
        <w:tabs>
          <w:tab w:val="clear" w:pos="720"/>
          <w:tab w:val="left" w:pos="1440"/>
        </w:tabs>
        <w:ind w:left="0" w:firstLine="0"/>
        <w:jc w:val="both"/>
      </w:pPr>
      <w:r>
        <w:t xml:space="preserve">Later, in his written Reasons for Verdict, after </w:t>
      </w:r>
      <w:r w:rsidR="00F5699D" w:rsidRPr="00805D69">
        <w:t xml:space="preserve">summarising </w:t>
      </w:r>
      <w:r w:rsidR="00256CC7">
        <w:t>th</w:t>
      </w:r>
      <w:r w:rsidR="00A175F7">
        <w:t>e</w:t>
      </w:r>
      <w:r w:rsidR="00F5699D" w:rsidRPr="00805D69">
        <w:t xml:space="preserve"> evidence</w:t>
      </w:r>
      <w:r>
        <w:t>,</w:t>
      </w:r>
      <w:r w:rsidR="00F5699D" w:rsidRPr="00805D69">
        <w:t xml:space="preserve"> the Judge held:</w:t>
      </w:r>
    </w:p>
    <w:p w:rsidR="00F5699D" w:rsidRPr="00805D69" w:rsidRDefault="00F5699D" w:rsidP="000B07A7">
      <w:pPr>
        <w:pStyle w:val="Bob1"/>
        <w:numPr>
          <w:ilvl w:val="0"/>
          <w:numId w:val="0"/>
        </w:numPr>
        <w:spacing w:line="240" w:lineRule="auto"/>
        <w:ind w:left="720"/>
        <w:jc w:val="both"/>
        <w:rPr>
          <w:sz w:val="24"/>
        </w:rPr>
      </w:pPr>
      <w:r w:rsidRPr="00805D69">
        <w:rPr>
          <w:sz w:val="24"/>
        </w:rPr>
        <w:t xml:space="preserve">“I was satisfied, </w:t>
      </w:r>
      <w:r w:rsidRPr="00A175F7">
        <w:rPr>
          <w:i/>
          <w:sz w:val="24"/>
        </w:rPr>
        <w:t>if believed</w:t>
      </w:r>
      <w:r w:rsidRPr="00805D69">
        <w:rPr>
          <w:sz w:val="24"/>
        </w:rPr>
        <w:t>, that the evidence of Mr Sum; Mr Lam and David Wong was sufficient to prove the authenticity of the TVB footage beyond reasonable doubt.  I therefore ruled the TVB footage prima facie authentic and admissible in evidence.”</w:t>
      </w:r>
      <w:r w:rsidRPr="00805D69">
        <w:rPr>
          <w:rStyle w:val="FootnoteReference"/>
          <w:sz w:val="24"/>
        </w:rPr>
        <w:footnoteReference w:id="19"/>
      </w:r>
      <w:r w:rsidR="00A175F7">
        <w:rPr>
          <w:sz w:val="24"/>
        </w:rPr>
        <w:t xml:space="preserve"> (Italics supplied)</w:t>
      </w:r>
    </w:p>
    <w:p w:rsidR="00F5699D" w:rsidRPr="00805D69" w:rsidRDefault="00F5699D" w:rsidP="000B07A7">
      <w:pPr>
        <w:pStyle w:val="Bob1"/>
        <w:tabs>
          <w:tab w:val="clear" w:pos="720"/>
          <w:tab w:val="left" w:pos="1440"/>
        </w:tabs>
        <w:ind w:left="0" w:firstLine="0"/>
      </w:pPr>
      <w:r w:rsidRPr="00805D69">
        <w:t xml:space="preserve">The Judge also relied on </w:t>
      </w:r>
      <w:r w:rsidR="00B147B4">
        <w:t>Tsang’s</w:t>
      </w:r>
      <w:r w:rsidRPr="00805D69">
        <w:t xml:space="preserve"> evidence</w:t>
      </w:r>
      <w:r w:rsidR="00B147B4">
        <w:t>:</w:t>
      </w:r>
    </w:p>
    <w:p w:rsidR="00F5699D" w:rsidRPr="00805D69" w:rsidRDefault="00F5699D" w:rsidP="000B07A7">
      <w:pPr>
        <w:pStyle w:val="Bob1"/>
        <w:numPr>
          <w:ilvl w:val="0"/>
          <w:numId w:val="0"/>
        </w:numPr>
        <w:spacing w:line="240" w:lineRule="auto"/>
        <w:ind w:left="720"/>
        <w:jc w:val="both"/>
        <w:rPr>
          <w:sz w:val="24"/>
        </w:rPr>
      </w:pPr>
      <w:r w:rsidRPr="00805D69">
        <w:rPr>
          <w:sz w:val="24"/>
        </w:rPr>
        <w:t>“In addition, as summarised earlier the TVB footage P1(b) and P1(c), showing the escort and the assault at the substation was played to Tsang, who confirmed the footage was consistent with his recollection of the events that night.  Tsang also identified himself as the person being carried in the TVB f</w:t>
      </w:r>
      <w:r w:rsidR="004D3CE9">
        <w:rPr>
          <w:sz w:val="24"/>
        </w:rPr>
        <w:t>ootage P1</w:t>
      </w:r>
      <w:r w:rsidRPr="00805D69">
        <w:rPr>
          <w:sz w:val="24"/>
        </w:rPr>
        <w:t xml:space="preserve">(h). I was satisfied the evidence of Tsang, </w:t>
      </w:r>
      <w:r w:rsidRPr="00A175F7">
        <w:rPr>
          <w:i/>
          <w:sz w:val="24"/>
        </w:rPr>
        <w:t>if believed</w:t>
      </w:r>
      <w:r w:rsidRPr="00805D69">
        <w:rPr>
          <w:sz w:val="24"/>
        </w:rPr>
        <w:t>, was also sufficient to prove the authenticity of the TVB footage beyond reasonable doubt.”</w:t>
      </w:r>
      <w:r w:rsidRPr="00805D69">
        <w:rPr>
          <w:rStyle w:val="FootnoteReference"/>
          <w:sz w:val="24"/>
        </w:rPr>
        <w:footnoteReference w:id="20"/>
      </w:r>
      <w:r w:rsidR="00A175F7">
        <w:rPr>
          <w:sz w:val="24"/>
        </w:rPr>
        <w:t xml:space="preserve"> (Italics supplied)</w:t>
      </w:r>
    </w:p>
    <w:p w:rsidR="00B147B4" w:rsidRDefault="00F5699D" w:rsidP="000B07A7">
      <w:pPr>
        <w:pStyle w:val="Bob1"/>
        <w:tabs>
          <w:tab w:val="clear" w:pos="720"/>
          <w:tab w:val="left" w:pos="1440"/>
        </w:tabs>
        <w:ind w:left="0" w:firstLine="0"/>
        <w:jc w:val="both"/>
      </w:pPr>
      <w:r w:rsidRPr="00805D69">
        <w:t xml:space="preserve">These statements plainly </w:t>
      </w:r>
      <w:r w:rsidR="00B147B4">
        <w:t xml:space="preserve">show that the Judge’s “if believed” statement was </w:t>
      </w:r>
      <w:r w:rsidRPr="00805D69">
        <w:t xml:space="preserve">made </w:t>
      </w:r>
      <w:r w:rsidR="00E26BC0">
        <w:t xml:space="preserve">at </w:t>
      </w:r>
      <w:r w:rsidR="00B147B4">
        <w:t xml:space="preserve">the </w:t>
      </w:r>
      <w:proofErr w:type="spellStart"/>
      <w:r w:rsidRPr="00805D69">
        <w:t>voire</w:t>
      </w:r>
      <w:proofErr w:type="spellEnd"/>
      <w:r w:rsidRPr="00805D69">
        <w:t xml:space="preserve"> dire </w:t>
      </w:r>
      <w:r w:rsidR="00B147B4">
        <w:t>stage.</w:t>
      </w:r>
      <w:r w:rsidR="00580CD2">
        <w:t xml:space="preserve">  </w:t>
      </w:r>
      <w:r w:rsidR="006B6FBB">
        <w:t xml:space="preserve">He was drawing a distinction between himself as the tribunal </w:t>
      </w:r>
      <w:r w:rsidR="00256CC7">
        <w:t xml:space="preserve">considering the evidence for the purposes of </w:t>
      </w:r>
      <w:r w:rsidR="006B6FBB">
        <w:t xml:space="preserve">admissibility and himself as the tribunal </w:t>
      </w:r>
      <w:r w:rsidR="00B147B4">
        <w:t xml:space="preserve">determining </w:t>
      </w:r>
      <w:r w:rsidR="006B6FBB">
        <w:t>the general issue</w:t>
      </w:r>
      <w:r w:rsidR="00E26BC0">
        <w:t xml:space="preserve"> of guilt</w:t>
      </w:r>
      <w:r w:rsidR="006B6FBB">
        <w:t xml:space="preserve">.  </w:t>
      </w:r>
      <w:r w:rsidR="00B147B4">
        <w:t xml:space="preserve">At the </w:t>
      </w:r>
      <w:proofErr w:type="spellStart"/>
      <w:r w:rsidR="00B147B4">
        <w:t>voire</w:t>
      </w:r>
      <w:proofErr w:type="spellEnd"/>
      <w:r w:rsidR="00B147B4">
        <w:t xml:space="preserve"> dire stage, he</w:t>
      </w:r>
      <w:r w:rsidR="00D57608">
        <w:t xml:space="preserve"> applied a “prima facie authentic</w:t>
      </w:r>
      <w:r w:rsidR="00B147B4">
        <w:t xml:space="preserve">” test.  If he had found that the evidence did not establish that the video footage was prima facie authentic, he would have ruled it inadmissible and the prosecution case would probably have collapsed.  But, having ruled the evidence admissible, he </w:t>
      </w:r>
      <w:r w:rsidR="00E26BC0">
        <w:t>went on to find</w:t>
      </w:r>
      <w:r w:rsidR="00B147B4">
        <w:t xml:space="preserve">, in his </w:t>
      </w:r>
      <w:r w:rsidR="00B147B4">
        <w:lastRenderedPageBreak/>
        <w:t>capacity as the tribunal determining guilt, that the evidence established authentic</w:t>
      </w:r>
      <w:r w:rsidR="00D57608">
        <w:t>ity beyond reasonable doubt.</w:t>
      </w:r>
      <w:r w:rsidR="00D57608">
        <w:rPr>
          <w:rStyle w:val="FootnoteReference"/>
        </w:rPr>
        <w:footnoteReference w:id="21"/>
      </w:r>
    </w:p>
    <w:p w:rsidR="00761245" w:rsidRDefault="00761245" w:rsidP="000B07A7">
      <w:pPr>
        <w:pStyle w:val="Bob1"/>
        <w:tabs>
          <w:tab w:val="clear" w:pos="720"/>
          <w:tab w:val="left" w:pos="1440"/>
        </w:tabs>
        <w:ind w:left="0" w:firstLine="0"/>
        <w:jc w:val="both"/>
      </w:pPr>
      <w:r>
        <w:t xml:space="preserve">His Honour’s “if believed” formulation is derived from </w:t>
      </w:r>
      <w:r w:rsidRPr="000B07A7">
        <w:rPr>
          <w:i/>
        </w:rPr>
        <w:t>Cross &amp; Tapper on Evidence</w:t>
      </w:r>
      <w:r>
        <w:t>,</w:t>
      </w:r>
      <w:r>
        <w:rPr>
          <w:rStyle w:val="FootnoteReference"/>
        </w:rPr>
        <w:footnoteReference w:id="22"/>
      </w:r>
      <w:r>
        <w:t xml:space="preserve"> in which</w:t>
      </w:r>
      <w:r w:rsidR="00A175F7">
        <w:t xml:space="preserve"> (in a jury trial context)</w:t>
      </w:r>
      <w:r>
        <w:t xml:space="preserve"> the “if believed” statement contrasts the role of the judge at the </w:t>
      </w:r>
      <w:proofErr w:type="spellStart"/>
      <w:r>
        <w:t>voire</w:t>
      </w:r>
      <w:proofErr w:type="spellEnd"/>
      <w:r>
        <w:t xml:space="preserve"> dire stage with the jury’s ultimate decision on guilt.  The learned authors stated:</w:t>
      </w:r>
    </w:p>
    <w:p w:rsidR="00761245" w:rsidRPr="00761245" w:rsidRDefault="00761245" w:rsidP="000B07A7">
      <w:pPr>
        <w:pStyle w:val="Bob1"/>
        <w:numPr>
          <w:ilvl w:val="0"/>
          <w:numId w:val="0"/>
        </w:numPr>
        <w:spacing w:line="240" w:lineRule="auto"/>
        <w:ind w:left="720"/>
        <w:jc w:val="both"/>
        <w:rPr>
          <w:sz w:val="24"/>
        </w:rPr>
      </w:pPr>
      <w:r w:rsidRPr="00761245">
        <w:rPr>
          <w:sz w:val="24"/>
        </w:rPr>
        <w:t xml:space="preserve">“It is submitted that the better view is that the requirement is no different from that applying to the satisfaction of an evidential burden, namely whether the evidence, </w:t>
      </w:r>
      <w:r w:rsidRPr="00A175F7">
        <w:rPr>
          <w:i/>
          <w:sz w:val="24"/>
        </w:rPr>
        <w:t>if believed by the jury</w:t>
      </w:r>
      <w:r w:rsidRPr="00761245">
        <w:rPr>
          <w:sz w:val="24"/>
        </w:rPr>
        <w:t>, would be sufficient to prove the matter asserted to the standard required to satisfy the legal burden, namely beyond reasonable doubt, when borne by the prosecution in a criminal case.  This involves no usurpation of the function of the jury since the jury is free not to believe the evidence, and may well not do so after taking into account its contravention by the other side.  Such a view is in complete harmony with the ordinary rules on the discharge of an evidential burden, the determination of whether or not there is a case to answer, and the proper distribution of functions between judge and jury.”</w:t>
      </w:r>
      <w:r w:rsidR="00A175F7">
        <w:rPr>
          <w:sz w:val="24"/>
        </w:rPr>
        <w:t xml:space="preserve"> (Italics supplied)</w:t>
      </w:r>
    </w:p>
    <w:p w:rsidR="00E26BC0" w:rsidRDefault="00F5699D" w:rsidP="000B07A7">
      <w:pPr>
        <w:pStyle w:val="Bob1"/>
        <w:tabs>
          <w:tab w:val="clear" w:pos="720"/>
          <w:tab w:val="left" w:pos="1440"/>
        </w:tabs>
        <w:ind w:left="0" w:firstLine="0"/>
        <w:jc w:val="both"/>
      </w:pPr>
      <w:r w:rsidRPr="00805D69">
        <w:t xml:space="preserve">Thus, when the Judge’s </w:t>
      </w:r>
      <w:r w:rsidR="00E26BC0">
        <w:t>use of</w:t>
      </w:r>
      <w:r w:rsidR="00E26BC0" w:rsidRPr="00805D69">
        <w:t xml:space="preserve"> the “if believed” formula </w:t>
      </w:r>
      <w:r w:rsidR="00E26BC0">
        <w:t>is</w:t>
      </w:r>
      <w:r w:rsidRPr="00805D69">
        <w:t xml:space="preserve"> properly understood, Question 1 </w:t>
      </w:r>
      <w:r w:rsidR="00A175F7">
        <w:t xml:space="preserve">is obviously </w:t>
      </w:r>
      <w:r w:rsidR="00142F47">
        <w:t xml:space="preserve">misdirected and </w:t>
      </w:r>
      <w:r w:rsidR="00E26BC0">
        <w:t>based on a misapprehension of the Judge’s ruling</w:t>
      </w:r>
      <w:r w:rsidRPr="00805D69">
        <w:t xml:space="preserve">.  </w:t>
      </w:r>
      <w:r w:rsidR="00E26BC0">
        <w:t xml:space="preserve">The Judge was </w:t>
      </w:r>
      <w:r w:rsidR="00E26BC0" w:rsidRPr="001E7B1E">
        <w:rPr>
          <w:i/>
        </w:rPr>
        <w:t xml:space="preserve">not </w:t>
      </w:r>
      <w:r w:rsidR="00E26BC0">
        <w:t>suggesting that “</w:t>
      </w:r>
      <w:r w:rsidR="00E26BC0" w:rsidRPr="00E26BC0">
        <w:t>merely to ask whether the disputed evidence, if believed by the tribunal of fact, would be sufficient to prove authenticity beyond a reasonable doubt</w:t>
      </w:r>
      <w:r w:rsidR="00E26BC0">
        <w:t>”</w:t>
      </w:r>
      <w:r w:rsidR="00496168">
        <w:t xml:space="preserve"> and thus to establish admissibility at the </w:t>
      </w:r>
      <w:proofErr w:type="spellStart"/>
      <w:r w:rsidR="00496168">
        <w:t>voire</w:t>
      </w:r>
      <w:proofErr w:type="spellEnd"/>
      <w:r w:rsidR="00496168">
        <w:t xml:space="preserve"> dire stage</w:t>
      </w:r>
      <w:r w:rsidR="00E26BC0">
        <w:t xml:space="preserve">.  He was assessing </w:t>
      </w:r>
      <w:r w:rsidR="00142F47">
        <w:t xml:space="preserve">whether </w:t>
      </w:r>
      <w:r w:rsidR="00E26BC0">
        <w:t>the evidence established prima facie authenticity such that it merited further assessment for the purposes – if believed – of proving guilt beyond reasonable doubt</w:t>
      </w:r>
      <w:r w:rsidR="00496168">
        <w:t xml:space="preserve"> on the general issue</w:t>
      </w:r>
      <w:r w:rsidR="00E26BC0">
        <w:t xml:space="preserve">.  </w:t>
      </w:r>
    </w:p>
    <w:p w:rsidR="00F5699D" w:rsidRPr="00805D69" w:rsidRDefault="001E7B1E" w:rsidP="000B07A7">
      <w:pPr>
        <w:pStyle w:val="Bob1"/>
        <w:tabs>
          <w:tab w:val="clear" w:pos="720"/>
          <w:tab w:val="left" w:pos="1440"/>
        </w:tabs>
        <w:ind w:left="0" w:firstLine="0"/>
        <w:jc w:val="both"/>
      </w:pPr>
      <w:r>
        <w:t xml:space="preserve">Since the Judge went on to find that the evidence not only established prima facie authenticity but established authenticity beyond reasonable doubt, </w:t>
      </w:r>
      <w:r w:rsidR="00CD3B8D">
        <w:t xml:space="preserve">the </w:t>
      </w:r>
      <w:r w:rsidR="00BC1266">
        <w:t>application for leave to debate</w:t>
      </w:r>
      <w:r w:rsidR="00CD3B8D">
        <w:t xml:space="preserve"> </w:t>
      </w:r>
      <w:r w:rsidR="00BC1266">
        <w:t xml:space="preserve">on further appeal </w:t>
      </w:r>
      <w:r w:rsidR="00CD3B8D">
        <w:t xml:space="preserve">whether he </w:t>
      </w:r>
      <w:r w:rsidR="00CD3B8D">
        <w:lastRenderedPageBreak/>
        <w:t xml:space="preserve">had or had not correctly adopted a “prima facie evidence” standard rather than a “balance of probabilities” (or some other) standard </w:t>
      </w:r>
      <w:r>
        <w:t xml:space="preserve">to determine admissibility at the </w:t>
      </w:r>
      <w:proofErr w:type="spellStart"/>
      <w:r>
        <w:t>voire</w:t>
      </w:r>
      <w:proofErr w:type="spellEnd"/>
      <w:r>
        <w:t xml:space="preserve"> dire stage </w:t>
      </w:r>
      <w:r w:rsidR="00F5699D" w:rsidRPr="00805D69">
        <w:t xml:space="preserve">is academic for all practical purposes.  As </w:t>
      </w:r>
      <w:proofErr w:type="spellStart"/>
      <w:r w:rsidR="00F5699D" w:rsidRPr="00805D69">
        <w:t>Macrae</w:t>
      </w:r>
      <w:proofErr w:type="spellEnd"/>
      <w:r w:rsidR="00F5699D" w:rsidRPr="00805D69">
        <w:t xml:space="preserve"> VP, writing for the Court of Appeal, pointed out in refusing leave to appeal:</w:t>
      </w:r>
    </w:p>
    <w:p w:rsidR="00F5699D" w:rsidRDefault="00F5699D" w:rsidP="000B07A7">
      <w:pPr>
        <w:pStyle w:val="Bob1"/>
        <w:numPr>
          <w:ilvl w:val="0"/>
          <w:numId w:val="0"/>
        </w:numPr>
        <w:spacing w:line="240" w:lineRule="auto"/>
        <w:ind w:left="720"/>
        <w:jc w:val="both"/>
        <w:rPr>
          <w:sz w:val="24"/>
          <w:lang w:eastAsia="zh-TW"/>
        </w:rPr>
      </w:pPr>
      <w:r w:rsidRPr="00805D69">
        <w:rPr>
          <w:sz w:val="24"/>
        </w:rPr>
        <w:t>“</w:t>
      </w:r>
      <w:r w:rsidRPr="00805D69">
        <w:rPr>
          <w:sz w:val="24"/>
          <w:lang w:eastAsia="zh-TW"/>
        </w:rPr>
        <w:t>In any event, the judge (sitting as both judge and jury) was ultimately to find, following a painstaking assessment of the evidence, which the Court also itself conducted, that the authenticity of the impugned material was proved beyond reasonable doubt.  Accordingly, the argument was said by the Court to be rather academic.”</w:t>
      </w:r>
      <w:r w:rsidRPr="00805D69">
        <w:rPr>
          <w:rStyle w:val="FootnoteReference"/>
          <w:sz w:val="24"/>
          <w:lang w:eastAsia="zh-TW"/>
        </w:rPr>
        <w:footnoteReference w:id="23"/>
      </w:r>
    </w:p>
    <w:p w:rsidR="00720D32" w:rsidRPr="00805D69" w:rsidRDefault="00720D32" w:rsidP="00AF5C22">
      <w:pPr>
        <w:pStyle w:val="docmapheading"/>
        <w:keepNext/>
        <w:rPr>
          <w:lang w:eastAsia="zh-TW"/>
        </w:rPr>
      </w:pPr>
      <w:r>
        <w:rPr>
          <w:lang w:eastAsia="zh-TW"/>
        </w:rPr>
        <w:t>The applicable legal standard</w:t>
      </w:r>
    </w:p>
    <w:p w:rsidR="007E3C7D" w:rsidRDefault="00142F47" w:rsidP="000B07A7">
      <w:pPr>
        <w:pStyle w:val="Bob1"/>
        <w:tabs>
          <w:tab w:val="clear" w:pos="720"/>
          <w:tab w:val="left" w:pos="1440"/>
        </w:tabs>
        <w:ind w:left="0" w:firstLine="0"/>
        <w:jc w:val="both"/>
      </w:pPr>
      <w:r>
        <w:t>In Hong Kong, the “prima facie evidence” standard is clearly established</w:t>
      </w:r>
      <w:r w:rsidR="006B04B0">
        <w:t xml:space="preserve"> </w:t>
      </w:r>
      <w:r>
        <w:t>as applicable where</w:t>
      </w:r>
      <w:r w:rsidR="006B04B0">
        <w:t xml:space="preserve"> a </w:t>
      </w:r>
      <w:r w:rsidR="001E7B1E">
        <w:t xml:space="preserve">challenge is made to the admissibility of video recordings on the basis of lack of </w:t>
      </w:r>
      <w:r w:rsidR="006B04B0">
        <w:t>authenticity</w:t>
      </w:r>
      <w:r>
        <w:t>.</w:t>
      </w:r>
      <w:r w:rsidR="006B04B0">
        <w:rPr>
          <w:rStyle w:val="FootnoteReference"/>
        </w:rPr>
        <w:footnoteReference w:id="24"/>
      </w:r>
      <w:r w:rsidR="006B04B0">
        <w:t xml:space="preserve"> </w:t>
      </w:r>
      <w:r>
        <w:t xml:space="preserve"> It is </w:t>
      </w:r>
      <w:r w:rsidR="00886ABE">
        <w:t xml:space="preserve">the legal standard which justifies the issue going forward for </w:t>
      </w:r>
      <w:r w:rsidR="00CE7F51">
        <w:t xml:space="preserve">determination of </w:t>
      </w:r>
      <w:r w:rsidR="00886ABE">
        <w:t>the general issue</w:t>
      </w:r>
      <w:r>
        <w:t xml:space="preserve"> of guilt</w:t>
      </w:r>
      <w:r w:rsidR="00886ABE">
        <w:t xml:space="preserve">.  </w:t>
      </w:r>
    </w:p>
    <w:p w:rsidR="00142C97" w:rsidRPr="00142C97" w:rsidRDefault="00142C97" w:rsidP="000B07A7">
      <w:pPr>
        <w:pStyle w:val="Bob1"/>
        <w:tabs>
          <w:tab w:val="clear" w:pos="720"/>
          <w:tab w:val="left" w:pos="1440"/>
        </w:tabs>
        <w:ind w:left="0" w:firstLine="0"/>
        <w:jc w:val="both"/>
      </w:pPr>
      <w:r>
        <w:t xml:space="preserve">In </w:t>
      </w:r>
      <w:r w:rsidRPr="000B07A7">
        <w:rPr>
          <w:rFonts w:eastAsia="PMingLiU"/>
          <w:i/>
          <w:lang w:eastAsia="zh-TW"/>
        </w:rPr>
        <w:t xml:space="preserve">R </w:t>
      </w:r>
      <w:r w:rsidRPr="000B07A7">
        <w:rPr>
          <w:rFonts w:eastAsia="等线"/>
          <w:i/>
        </w:rPr>
        <w:t>v</w:t>
      </w:r>
      <w:r w:rsidRPr="000B07A7">
        <w:rPr>
          <w:rFonts w:eastAsia="PMingLiU"/>
          <w:i/>
          <w:lang w:eastAsia="zh-HK"/>
        </w:rPr>
        <w:t xml:space="preserve"> Robson</w:t>
      </w:r>
      <w:r w:rsidRPr="000B07A7">
        <w:rPr>
          <w:rFonts w:eastAsia="PMingLiU"/>
          <w:lang w:eastAsia="zh-HK"/>
        </w:rPr>
        <w:t>,</w:t>
      </w:r>
      <w:r>
        <w:rPr>
          <w:rStyle w:val="FootnoteReference"/>
          <w:rFonts w:eastAsia="PMingLiU"/>
          <w:lang w:eastAsia="zh-HK"/>
        </w:rPr>
        <w:footnoteReference w:id="25"/>
      </w:r>
      <w:r w:rsidRPr="000B07A7">
        <w:rPr>
          <w:rFonts w:eastAsia="PMingLiU"/>
          <w:lang w:eastAsia="zh-HK"/>
        </w:rPr>
        <w:t xml:space="preserve"> a case involving the authenticity (or as it was there put, the “originality”) of audio tape recordings, Shaw J explained the position</w:t>
      </w:r>
      <w:r w:rsidR="00CE7F51" w:rsidRPr="000B07A7">
        <w:rPr>
          <w:rFonts w:eastAsia="PMingLiU"/>
          <w:lang w:eastAsia="zh-HK"/>
        </w:rPr>
        <w:t xml:space="preserve">, distinguishing between the </w:t>
      </w:r>
      <w:proofErr w:type="spellStart"/>
      <w:r w:rsidR="00CE7F51" w:rsidRPr="000B07A7">
        <w:rPr>
          <w:rFonts w:eastAsia="PMingLiU"/>
          <w:lang w:eastAsia="zh-HK"/>
        </w:rPr>
        <w:t>voire</w:t>
      </w:r>
      <w:proofErr w:type="spellEnd"/>
      <w:r w:rsidR="00CE7F51" w:rsidRPr="000B07A7">
        <w:rPr>
          <w:rFonts w:eastAsia="PMingLiU"/>
          <w:lang w:eastAsia="zh-HK"/>
        </w:rPr>
        <w:t xml:space="preserve"> dire stage and </w:t>
      </w:r>
      <w:r w:rsidR="004966C2" w:rsidRPr="000B07A7">
        <w:rPr>
          <w:rFonts w:eastAsia="PMingLiU"/>
          <w:lang w:eastAsia="zh-HK"/>
        </w:rPr>
        <w:t xml:space="preserve">determination </w:t>
      </w:r>
      <w:r w:rsidR="00CE7F51" w:rsidRPr="000B07A7">
        <w:rPr>
          <w:rFonts w:eastAsia="PMingLiU"/>
          <w:lang w:eastAsia="zh-HK"/>
        </w:rPr>
        <w:t>of the general issue</w:t>
      </w:r>
      <w:r w:rsidR="00A175F7" w:rsidRPr="000B07A7">
        <w:rPr>
          <w:rFonts w:eastAsia="PMingLiU"/>
          <w:lang w:eastAsia="zh-HK"/>
        </w:rPr>
        <w:t>, as follows</w:t>
      </w:r>
      <w:r w:rsidRPr="000B07A7">
        <w:rPr>
          <w:rFonts w:eastAsia="PMingLiU"/>
          <w:lang w:eastAsia="zh-HK"/>
        </w:rPr>
        <w:t>:</w:t>
      </w:r>
    </w:p>
    <w:p w:rsidR="00142C97" w:rsidRDefault="00CE7F51" w:rsidP="000B07A7">
      <w:pPr>
        <w:pStyle w:val="Bob1"/>
        <w:numPr>
          <w:ilvl w:val="0"/>
          <w:numId w:val="0"/>
        </w:numPr>
        <w:spacing w:line="240" w:lineRule="auto"/>
        <w:ind w:left="720"/>
        <w:jc w:val="both"/>
        <w:rPr>
          <w:color w:val="000000"/>
          <w:sz w:val="24"/>
          <w:szCs w:val="24"/>
        </w:rPr>
      </w:pPr>
      <w:r w:rsidRPr="00CE7F51">
        <w:rPr>
          <w:sz w:val="24"/>
        </w:rPr>
        <w:t>“</w:t>
      </w:r>
      <w:r w:rsidRPr="00CE7F51">
        <w:rPr>
          <w:color w:val="000000"/>
          <w:sz w:val="24"/>
          <w:szCs w:val="24"/>
        </w:rPr>
        <w:t>...</w:t>
      </w:r>
      <w:r w:rsidR="00D87097">
        <w:rPr>
          <w:color w:val="000000"/>
          <w:sz w:val="24"/>
          <w:szCs w:val="24"/>
        </w:rPr>
        <w:t xml:space="preserve"> </w:t>
      </w:r>
      <w:r w:rsidRPr="00CE7F51">
        <w:rPr>
          <w:color w:val="000000"/>
          <w:sz w:val="24"/>
          <w:szCs w:val="24"/>
        </w:rPr>
        <w:t xml:space="preserve">in a recent criminal trial, </w:t>
      </w:r>
      <w:r w:rsidRPr="00CE7F51">
        <w:rPr>
          <w:i/>
          <w:color w:val="000000"/>
          <w:sz w:val="24"/>
          <w:szCs w:val="24"/>
        </w:rPr>
        <w:t>Reg</w:t>
      </w:r>
      <w:r w:rsidR="00F70127">
        <w:rPr>
          <w:i/>
          <w:color w:val="000000"/>
          <w:sz w:val="24"/>
          <w:szCs w:val="24"/>
        </w:rPr>
        <w:t>.</w:t>
      </w:r>
      <w:r w:rsidRPr="00CE7F51">
        <w:rPr>
          <w:i/>
          <w:color w:val="000000"/>
          <w:sz w:val="24"/>
          <w:szCs w:val="24"/>
        </w:rPr>
        <w:t xml:space="preserve"> v Stevenson</w:t>
      </w:r>
      <w:r w:rsidRPr="00CE7F51">
        <w:rPr>
          <w:color w:val="000000"/>
          <w:sz w:val="24"/>
          <w:szCs w:val="24"/>
        </w:rPr>
        <w:t xml:space="preserve"> [1971] 1 WLR 1, ... it was contended that the standard of proof of originality was that which applied to any issue which had to be resolved by the jury in such a trial, namely, proof beyond reasonable doubt.  This is, of course, right if and when the issue does come before the jury as a matter they have to decide as going to weight and cogency.  In the first stage, when the question is solely that of admissibility — </w:t>
      </w:r>
      <w:proofErr w:type="spellStart"/>
      <w:r w:rsidRPr="00CE7F51">
        <w:rPr>
          <w:color w:val="000000"/>
          <w:sz w:val="24"/>
          <w:szCs w:val="24"/>
        </w:rPr>
        <w:t>ie</w:t>
      </w:r>
      <w:proofErr w:type="spellEnd"/>
      <w:r w:rsidRPr="00CE7F51">
        <w:rPr>
          <w:color w:val="000000"/>
          <w:sz w:val="24"/>
          <w:szCs w:val="24"/>
        </w:rPr>
        <w:t xml:space="preserve"> whether the evidence is competent to be considered by the jury at all — the judge, it seems to me, would be usurping their function if he purported to deal with not merely the primary issue of admissibility but what is th</w:t>
      </w:r>
      <w:r w:rsidR="00D57608">
        <w:rPr>
          <w:color w:val="000000"/>
          <w:sz w:val="24"/>
          <w:szCs w:val="24"/>
        </w:rPr>
        <w:t xml:space="preserve">e ultimate issue of cogency. </w:t>
      </w:r>
      <w:r w:rsidRPr="00CE7F51">
        <w:rPr>
          <w:color w:val="000000"/>
          <w:sz w:val="24"/>
          <w:szCs w:val="24"/>
        </w:rPr>
        <w:t xml:space="preserve"> My own view is that in considering that limited question the judge is required to do no more than to satisfy himself that a prima facie case of originality has been made out by evidence which defines and describes the provenance and history of </w:t>
      </w:r>
      <w:r w:rsidRPr="00CE7F51">
        <w:rPr>
          <w:color w:val="000000"/>
          <w:sz w:val="24"/>
          <w:szCs w:val="24"/>
        </w:rPr>
        <w:lastRenderedPageBreak/>
        <w:t>the recordings up to the moment of production in court. If that evidence appears to remain intact after cross-examination it is not incumbent on him to hear and weigh other evidence which might controvert the prima facie case. To embark on such an inquiry seems to me to trespass on the ultimate function of the jury.”</w:t>
      </w:r>
      <w:r>
        <w:rPr>
          <w:rStyle w:val="FootnoteReference"/>
          <w:color w:val="000000"/>
          <w:sz w:val="24"/>
          <w:szCs w:val="24"/>
        </w:rPr>
        <w:footnoteReference w:id="26"/>
      </w:r>
      <w:r w:rsidRPr="00CE7F51">
        <w:rPr>
          <w:color w:val="000000"/>
          <w:sz w:val="24"/>
          <w:szCs w:val="24"/>
        </w:rPr>
        <w:t xml:space="preserve"> </w:t>
      </w:r>
    </w:p>
    <w:p w:rsidR="00C3286C" w:rsidRPr="000B07A7" w:rsidRDefault="002E7015" w:rsidP="000B07A7">
      <w:pPr>
        <w:pStyle w:val="Bob1"/>
        <w:tabs>
          <w:tab w:val="clear" w:pos="720"/>
          <w:tab w:val="left" w:pos="1440"/>
        </w:tabs>
        <w:ind w:left="0" w:firstLine="0"/>
        <w:jc w:val="both"/>
      </w:pPr>
      <w:r>
        <w:rPr>
          <w:i/>
        </w:rPr>
        <w:t>Robson</w:t>
      </w:r>
      <w:r>
        <w:t xml:space="preserve"> was endorsed by the Northern Irish Court of Appeal in </w:t>
      </w:r>
      <w:r w:rsidRPr="00665CD9">
        <w:rPr>
          <w:rFonts w:eastAsia="等线"/>
          <w:i/>
        </w:rPr>
        <w:t>R v Murphy</w:t>
      </w:r>
      <w:r>
        <w:rPr>
          <w:rFonts w:eastAsia="等线"/>
        </w:rPr>
        <w:t>,</w:t>
      </w:r>
      <w:r>
        <w:rPr>
          <w:rStyle w:val="FootnoteReference"/>
          <w:rFonts w:eastAsia="等线"/>
        </w:rPr>
        <w:footnoteReference w:id="27"/>
      </w:r>
      <w:r w:rsidRPr="00665CD9">
        <w:rPr>
          <w:rFonts w:eastAsia="等线"/>
          <w:i/>
        </w:rPr>
        <w:t xml:space="preserve"> </w:t>
      </w:r>
      <w:r>
        <w:t xml:space="preserve">adopting a prima facie evidence standard at the admissibility stage </w:t>
      </w:r>
      <w:r w:rsidR="00F85A2C">
        <w:t>and</w:t>
      </w:r>
      <w:r>
        <w:t xml:space="preserve"> holding that a</w:t>
      </w:r>
      <w:r w:rsidRPr="00665CD9">
        <w:rPr>
          <w:rFonts w:eastAsia="Arial"/>
          <w:color w:val="000000"/>
        </w:rPr>
        <w:t xml:space="preserve">uthenticity, </w:t>
      </w:r>
      <w:r w:rsidR="004C10B1">
        <w:rPr>
          <w:rFonts w:eastAsia="Arial"/>
          <w:color w:val="000000"/>
        </w:rPr>
        <w:t>“</w:t>
      </w:r>
      <w:r w:rsidRPr="00665CD9">
        <w:rPr>
          <w:rFonts w:eastAsia="Arial"/>
          <w:color w:val="000000"/>
        </w:rPr>
        <w:t>like most facts</w:t>
      </w:r>
      <w:r w:rsidR="004C10B1">
        <w:rPr>
          <w:rFonts w:eastAsia="Arial"/>
          <w:color w:val="000000"/>
        </w:rPr>
        <w:t>”</w:t>
      </w:r>
      <w:r w:rsidRPr="00665CD9">
        <w:rPr>
          <w:rFonts w:eastAsia="Arial"/>
          <w:color w:val="000000"/>
        </w:rPr>
        <w:t xml:space="preserve"> may be proved circumstantially.</w:t>
      </w:r>
      <w:r w:rsidR="008368BE">
        <w:rPr>
          <w:rFonts w:eastAsia="Arial"/>
          <w:color w:val="000000"/>
        </w:rPr>
        <w:t xml:space="preserve">  </w:t>
      </w:r>
      <w:r w:rsidR="00B11824" w:rsidRPr="00B11824">
        <w:rPr>
          <w:rFonts w:eastAsia="Arial"/>
          <w:color w:val="000000"/>
        </w:rPr>
        <w:t xml:space="preserve">The above passage in </w:t>
      </w:r>
      <w:r w:rsidR="00B11824" w:rsidRPr="00A82C26">
        <w:rPr>
          <w:rFonts w:eastAsia="Arial"/>
          <w:i/>
          <w:color w:val="000000"/>
        </w:rPr>
        <w:t>Robson</w:t>
      </w:r>
      <w:r w:rsidR="00B11824" w:rsidRPr="00B11824">
        <w:rPr>
          <w:rFonts w:eastAsia="Arial"/>
          <w:color w:val="000000"/>
        </w:rPr>
        <w:t xml:space="preserve"> was also </w:t>
      </w:r>
      <w:r w:rsidR="00B11824">
        <w:rPr>
          <w:rFonts w:eastAsia="Arial"/>
          <w:color w:val="000000"/>
        </w:rPr>
        <w:t>approved</w:t>
      </w:r>
      <w:r w:rsidR="00B11824" w:rsidRPr="00B11824">
        <w:rPr>
          <w:rFonts w:eastAsia="Arial"/>
          <w:color w:val="000000"/>
        </w:rPr>
        <w:t xml:space="preserve"> by the English Court of Appeal in </w:t>
      </w:r>
      <w:r w:rsidR="00B11824" w:rsidRPr="00A82C26">
        <w:rPr>
          <w:rFonts w:eastAsia="Arial"/>
          <w:i/>
          <w:color w:val="000000"/>
        </w:rPr>
        <w:t xml:space="preserve">R v </w:t>
      </w:r>
      <w:proofErr w:type="spellStart"/>
      <w:r w:rsidR="00B11824" w:rsidRPr="00A82C26">
        <w:rPr>
          <w:rFonts w:eastAsia="Arial"/>
          <w:i/>
          <w:color w:val="000000"/>
        </w:rPr>
        <w:t>Gibbins</w:t>
      </w:r>
      <w:proofErr w:type="spellEnd"/>
      <w:r w:rsidR="00B11824">
        <w:rPr>
          <w:rFonts w:eastAsia="Arial"/>
          <w:color w:val="000000"/>
        </w:rPr>
        <w:t>.</w:t>
      </w:r>
      <w:r w:rsidR="00B11824">
        <w:rPr>
          <w:rStyle w:val="FootnoteReference"/>
          <w:rFonts w:eastAsia="Arial"/>
          <w:color w:val="000000"/>
        </w:rPr>
        <w:footnoteReference w:id="28"/>
      </w:r>
    </w:p>
    <w:p w:rsidR="00C3286C" w:rsidRDefault="00C3286C" w:rsidP="000B07A7">
      <w:pPr>
        <w:pStyle w:val="Bob1"/>
        <w:tabs>
          <w:tab w:val="clear" w:pos="720"/>
          <w:tab w:val="left" w:pos="1440"/>
        </w:tabs>
        <w:ind w:left="0" w:firstLine="0"/>
        <w:jc w:val="both"/>
      </w:pPr>
      <w:r>
        <w:t xml:space="preserve">The Court of Appeal </w:t>
      </w:r>
      <w:r w:rsidRPr="000B07A7">
        <w:rPr>
          <w:rFonts w:eastAsia="Arial"/>
          <w:color w:val="000000"/>
        </w:rPr>
        <w:t xml:space="preserve">in </w:t>
      </w:r>
      <w:r w:rsidRPr="000B07A7">
        <w:rPr>
          <w:i/>
        </w:rPr>
        <w:t>HKSAR v Lee Chi Fai</w:t>
      </w:r>
      <w:r>
        <w:t>,</w:t>
      </w:r>
      <w:r>
        <w:rPr>
          <w:rStyle w:val="FootnoteReference"/>
          <w:rFonts w:eastAsia="等线"/>
        </w:rPr>
        <w:footnoteReference w:id="29"/>
      </w:r>
      <w:r w:rsidR="0087767A">
        <w:t xml:space="preserve"> likewise e</w:t>
      </w:r>
      <w:r>
        <w:t xml:space="preserve">ndorsed Shaw J in </w:t>
      </w:r>
      <w:r w:rsidRPr="000B07A7">
        <w:rPr>
          <w:i/>
        </w:rPr>
        <w:t>Robson</w:t>
      </w:r>
      <w:r>
        <w:t xml:space="preserve"> as e</w:t>
      </w:r>
      <w:r w:rsidR="00D57608">
        <w:t>spousing a “prima facie authentic</w:t>
      </w:r>
      <w:r>
        <w:t>” te</w:t>
      </w:r>
      <w:r w:rsidR="00142F47">
        <w:t>st and held that on the facts of</w:t>
      </w:r>
      <w:r>
        <w:t xml:space="preserve"> </w:t>
      </w:r>
      <w:r w:rsidRPr="000B07A7">
        <w:rPr>
          <w:i/>
        </w:rPr>
        <w:t>Lee Chi Fai</w:t>
      </w:r>
      <w:r>
        <w:t xml:space="preserve">: </w:t>
      </w:r>
    </w:p>
    <w:p w:rsidR="00CE7F51" w:rsidRDefault="00C3286C" w:rsidP="000B07A7">
      <w:pPr>
        <w:pStyle w:val="Bob1"/>
        <w:numPr>
          <w:ilvl w:val="0"/>
          <w:numId w:val="0"/>
        </w:numPr>
        <w:spacing w:line="240" w:lineRule="auto"/>
        <w:ind w:left="720"/>
        <w:jc w:val="both"/>
        <w:rPr>
          <w:rFonts w:eastAsia="等线"/>
          <w:sz w:val="24"/>
        </w:rPr>
      </w:pPr>
      <w:r w:rsidRPr="00C3286C">
        <w:rPr>
          <w:rFonts w:eastAsia="等线" w:hint="eastAsia"/>
          <w:sz w:val="24"/>
        </w:rPr>
        <w:t>“</w:t>
      </w:r>
      <w:r w:rsidRPr="00C3286C">
        <w:rPr>
          <w:rFonts w:eastAsia="等线"/>
          <w:sz w:val="24"/>
        </w:rPr>
        <w:t>...</w:t>
      </w:r>
      <w:r w:rsidR="00F70127">
        <w:rPr>
          <w:rFonts w:eastAsia="等线"/>
          <w:sz w:val="24"/>
        </w:rPr>
        <w:t xml:space="preserve"> </w:t>
      </w:r>
      <w:r w:rsidRPr="00C3286C">
        <w:rPr>
          <w:rFonts w:eastAsia="等线"/>
          <w:sz w:val="24"/>
        </w:rPr>
        <w:t>the Judge had ... ample material on which to arrive at the conclusion that Exh</w:t>
      </w:r>
      <w:r w:rsidR="00D57608">
        <w:rPr>
          <w:rFonts w:eastAsia="等线"/>
          <w:sz w:val="24"/>
        </w:rPr>
        <w:t>.</w:t>
      </w:r>
      <w:r w:rsidRPr="00C3286C">
        <w:rPr>
          <w:rFonts w:eastAsia="等线"/>
          <w:sz w:val="24"/>
        </w:rPr>
        <w:t xml:space="preserve">P10 was </w:t>
      </w:r>
      <w:r w:rsidRPr="00D57608">
        <w:rPr>
          <w:rFonts w:eastAsia="等线"/>
          <w:i/>
          <w:sz w:val="24"/>
        </w:rPr>
        <w:t>prima facie</w:t>
      </w:r>
      <w:r w:rsidRPr="00C3286C">
        <w:rPr>
          <w:rFonts w:eastAsia="等线"/>
          <w:sz w:val="24"/>
        </w:rPr>
        <w:t xml:space="preserve"> authentic and ultimately to arrive, as he did, at the conclusion that it was the original tape with which no one had tampered. The circumstantial evidence i</w:t>
      </w:r>
      <w:r w:rsidR="00076472">
        <w:rPr>
          <w:rFonts w:eastAsia="等线"/>
          <w:sz w:val="24"/>
        </w:rPr>
        <w:t>n this regard was very strong.”</w:t>
      </w:r>
      <w:r w:rsidR="00076472">
        <w:rPr>
          <w:rStyle w:val="FootnoteReference"/>
          <w:rFonts w:eastAsia="等线"/>
          <w:sz w:val="24"/>
        </w:rPr>
        <w:footnoteReference w:id="30"/>
      </w:r>
    </w:p>
    <w:p w:rsidR="00FC4C8A" w:rsidRPr="000B07A7" w:rsidRDefault="0087767A" w:rsidP="000B07A7">
      <w:pPr>
        <w:pStyle w:val="Bob1"/>
        <w:tabs>
          <w:tab w:val="clear" w:pos="720"/>
          <w:tab w:val="left" w:pos="1440"/>
        </w:tabs>
        <w:ind w:left="0" w:firstLine="0"/>
        <w:jc w:val="both"/>
      </w:pPr>
      <w:r>
        <w:t xml:space="preserve">And in </w:t>
      </w:r>
      <w:r>
        <w:rPr>
          <w:i/>
          <w:lang w:eastAsia="zh-TW"/>
        </w:rPr>
        <w:t xml:space="preserve">HKSAR v Yeung </w:t>
      </w:r>
      <w:proofErr w:type="spellStart"/>
      <w:r>
        <w:rPr>
          <w:i/>
          <w:lang w:eastAsia="zh-TW"/>
        </w:rPr>
        <w:t>Ka</w:t>
      </w:r>
      <w:proofErr w:type="spellEnd"/>
      <w:r>
        <w:rPr>
          <w:i/>
          <w:lang w:eastAsia="zh-TW"/>
        </w:rPr>
        <w:t xml:space="preserve"> </w:t>
      </w:r>
      <w:proofErr w:type="spellStart"/>
      <w:r>
        <w:rPr>
          <w:i/>
          <w:lang w:eastAsia="zh-TW"/>
        </w:rPr>
        <w:t>Ho</w:t>
      </w:r>
      <w:proofErr w:type="spellEnd"/>
      <w:r>
        <w:rPr>
          <w:lang w:eastAsia="zh-TW"/>
        </w:rPr>
        <w:t>,</w:t>
      </w:r>
      <w:r>
        <w:rPr>
          <w:rStyle w:val="FootnoteReference"/>
          <w:rFonts w:eastAsia="PMingLiU"/>
          <w:lang w:eastAsia="zh-TW"/>
        </w:rPr>
        <w:footnoteReference w:id="31"/>
      </w:r>
      <w:r>
        <w:rPr>
          <w:lang w:eastAsia="zh-TW"/>
        </w:rPr>
        <w:t xml:space="preserve"> a case concerning voice identification from tape recordings, the Court of Final Appeal</w:t>
      </w:r>
      <w:r w:rsidR="00DB188B">
        <w:rPr>
          <w:lang w:eastAsia="zh-TW"/>
        </w:rPr>
        <w:t xml:space="preserve"> noted with approval that</w:t>
      </w:r>
      <w:r>
        <w:rPr>
          <w:lang w:eastAsia="zh-TW"/>
        </w:rPr>
        <w:t xml:space="preserve"> </w:t>
      </w:r>
      <w:r>
        <w:rPr>
          <w:i/>
          <w:lang w:eastAsia="zh-TW"/>
        </w:rPr>
        <w:t>Lee Chi Fai</w:t>
      </w:r>
      <w:r>
        <w:rPr>
          <w:lang w:eastAsia="zh-TW"/>
        </w:rPr>
        <w:t xml:space="preserve"> </w:t>
      </w:r>
      <w:r w:rsidR="00DB188B">
        <w:rPr>
          <w:lang w:eastAsia="zh-TW"/>
        </w:rPr>
        <w:t>had held that</w:t>
      </w:r>
      <w:r w:rsidR="00DB188B">
        <w:rPr>
          <w:i/>
          <w:lang w:eastAsia="zh-TW"/>
        </w:rPr>
        <w:t xml:space="preserve"> </w:t>
      </w:r>
      <w:r w:rsidR="00DB188B">
        <w:rPr>
          <w:lang w:eastAsia="zh-TW"/>
        </w:rPr>
        <w:t xml:space="preserve">authenticity could be established on </w:t>
      </w:r>
      <w:r>
        <w:rPr>
          <w:lang w:eastAsia="zh-TW"/>
        </w:rPr>
        <w:t xml:space="preserve">a </w:t>
      </w:r>
      <w:r>
        <w:rPr>
          <w:lang w:eastAsia="zh-TW"/>
        </w:rPr>
        <w:lastRenderedPageBreak/>
        <w:t>prima facie</w:t>
      </w:r>
      <w:r w:rsidR="00DB188B">
        <w:rPr>
          <w:lang w:eastAsia="zh-TW"/>
        </w:rPr>
        <w:t xml:space="preserve"> basis with the help of circumstantial evidence.</w:t>
      </w:r>
      <w:r w:rsidR="00DB188B">
        <w:rPr>
          <w:rStyle w:val="FootnoteReference"/>
          <w:rFonts w:eastAsia="PMingLiU"/>
          <w:lang w:eastAsia="zh-TW"/>
        </w:rPr>
        <w:footnoteReference w:id="32"/>
      </w:r>
      <w:r w:rsidR="00DB188B">
        <w:rPr>
          <w:lang w:eastAsia="zh-TW"/>
        </w:rPr>
        <w:t xml:space="preserve">  </w:t>
      </w:r>
      <w:r>
        <w:rPr>
          <w:lang w:eastAsia="zh-TW"/>
        </w:rPr>
        <w:t xml:space="preserve"> </w:t>
      </w:r>
      <w:r w:rsidR="00DB188B">
        <w:rPr>
          <w:lang w:eastAsia="zh-TW"/>
        </w:rPr>
        <w:t xml:space="preserve">It also </w:t>
      </w:r>
      <w:r>
        <w:rPr>
          <w:lang w:eastAsia="zh-TW"/>
        </w:rPr>
        <w:t xml:space="preserve">approved </w:t>
      </w:r>
      <w:r>
        <w:rPr>
          <w:i/>
          <w:lang w:eastAsia="zh-TW"/>
        </w:rPr>
        <w:t>Murphy</w:t>
      </w:r>
      <w:r w:rsidR="00DB188B">
        <w:rPr>
          <w:lang w:eastAsia="zh-TW"/>
        </w:rPr>
        <w:t xml:space="preserve"> as a case that contains “</w:t>
      </w:r>
      <w:r w:rsidR="00DB188B" w:rsidRPr="00DB188B">
        <w:rPr>
          <w:rFonts w:eastAsia="PMingLiU"/>
          <w:lang w:eastAsia="zh-TW"/>
        </w:rPr>
        <w:t>much of assistance</w:t>
      </w:r>
      <w:r w:rsidR="00DB188B">
        <w:rPr>
          <w:rFonts w:eastAsia="PMingLiU"/>
          <w:lang w:eastAsia="zh-TW"/>
        </w:rPr>
        <w:t>”.</w:t>
      </w:r>
      <w:r w:rsidR="00DB188B">
        <w:rPr>
          <w:rStyle w:val="FootnoteReference"/>
          <w:rFonts w:eastAsia="PMingLiU"/>
          <w:lang w:eastAsia="zh-TW"/>
        </w:rPr>
        <w:footnoteReference w:id="33"/>
      </w:r>
    </w:p>
    <w:p w:rsidR="00556172" w:rsidRDefault="00146A2B" w:rsidP="000B07A7">
      <w:pPr>
        <w:pStyle w:val="Bob1"/>
        <w:tabs>
          <w:tab w:val="clear" w:pos="720"/>
          <w:tab w:val="left" w:pos="1440"/>
        </w:tabs>
        <w:ind w:left="0" w:firstLine="0"/>
        <w:jc w:val="both"/>
      </w:pPr>
      <w:r>
        <w:t xml:space="preserve">There is accordingly no basis for granting leave to appeal </w:t>
      </w:r>
      <w:r w:rsidR="00756AB7">
        <w:t xml:space="preserve">either on the “if believed” issue or </w:t>
      </w:r>
      <w:r>
        <w:t>on the question of the applicable legal standard</w:t>
      </w:r>
      <w:r w:rsidR="00756AB7">
        <w:t xml:space="preserve"> and we refuse</w:t>
      </w:r>
      <w:r w:rsidR="00943BCC">
        <w:t>d</w:t>
      </w:r>
      <w:r w:rsidR="00756AB7">
        <w:t xml:space="preserve"> certification and leave in respect of Question 1</w:t>
      </w:r>
      <w:r>
        <w:t>.</w:t>
      </w:r>
    </w:p>
    <w:p w:rsidR="004B4C7E" w:rsidRPr="00805D69" w:rsidRDefault="004B4C7E" w:rsidP="004B4C7E">
      <w:pPr>
        <w:pStyle w:val="docmapheading"/>
      </w:pPr>
      <w:r w:rsidRPr="00805D69">
        <w:t>Question 2</w:t>
      </w:r>
    </w:p>
    <w:p w:rsidR="004B4C7E" w:rsidRPr="00805D69" w:rsidRDefault="004B4C7E" w:rsidP="000B07A7">
      <w:pPr>
        <w:pStyle w:val="Bob1"/>
        <w:numPr>
          <w:ilvl w:val="0"/>
          <w:numId w:val="1"/>
        </w:numPr>
        <w:tabs>
          <w:tab w:val="clear" w:pos="720"/>
          <w:tab w:val="left" w:pos="1440"/>
        </w:tabs>
        <w:ind w:left="0" w:firstLine="0"/>
      </w:pPr>
      <w:r w:rsidRPr="00805D69">
        <w:t xml:space="preserve">Question 2 </w:t>
      </w:r>
      <w:r>
        <w:t>asks</w:t>
      </w:r>
      <w:r w:rsidRPr="00805D69">
        <w:t>:</w:t>
      </w:r>
    </w:p>
    <w:p w:rsidR="004B4C7E" w:rsidRPr="00805D69" w:rsidRDefault="004B4C7E" w:rsidP="000B07A7">
      <w:pPr>
        <w:pStyle w:val="Bob1"/>
        <w:numPr>
          <w:ilvl w:val="0"/>
          <w:numId w:val="0"/>
        </w:numPr>
        <w:spacing w:line="240" w:lineRule="auto"/>
        <w:ind w:left="720"/>
        <w:jc w:val="both"/>
        <w:rPr>
          <w:sz w:val="24"/>
        </w:rPr>
      </w:pPr>
      <w:r>
        <w:rPr>
          <w:sz w:val="24"/>
        </w:rPr>
        <w:t>“</w:t>
      </w:r>
      <w:r w:rsidRPr="00805D69">
        <w:rPr>
          <w:sz w:val="24"/>
        </w:rPr>
        <w:t xml:space="preserve">When the authenticity/relevance (and thus admissibility) of various video footages is in issue and where the original footage is in existence and obtainable by the </w:t>
      </w:r>
      <w:proofErr w:type="gramStart"/>
      <w:r w:rsidRPr="00805D69">
        <w:rPr>
          <w:sz w:val="24"/>
        </w:rPr>
        <w:t>prosecution:-</w:t>
      </w:r>
      <w:proofErr w:type="gramEnd"/>
    </w:p>
    <w:p w:rsidR="004B4C7E" w:rsidRPr="00805D69" w:rsidRDefault="004B4C7E" w:rsidP="000B07A7">
      <w:pPr>
        <w:pStyle w:val="Bob1"/>
        <w:numPr>
          <w:ilvl w:val="0"/>
          <w:numId w:val="0"/>
        </w:numPr>
        <w:spacing w:line="240" w:lineRule="auto"/>
        <w:ind w:left="1440" w:hanging="720"/>
        <w:jc w:val="both"/>
        <w:rPr>
          <w:sz w:val="24"/>
        </w:rPr>
      </w:pPr>
      <w:r w:rsidRPr="00805D69">
        <w:rPr>
          <w:sz w:val="24"/>
        </w:rPr>
        <w:t>(1)</w:t>
      </w:r>
      <w:r w:rsidRPr="00805D69">
        <w:rPr>
          <w:sz w:val="24"/>
        </w:rPr>
        <w:tab/>
        <w:t>is it permissible in law to use the impugned footages to authenticate one another?</w:t>
      </w:r>
    </w:p>
    <w:p w:rsidR="004B4C7E" w:rsidRPr="00805D69" w:rsidRDefault="004B4C7E" w:rsidP="000B07A7">
      <w:pPr>
        <w:pStyle w:val="Bob1"/>
        <w:numPr>
          <w:ilvl w:val="0"/>
          <w:numId w:val="0"/>
        </w:numPr>
        <w:spacing w:line="240" w:lineRule="auto"/>
        <w:ind w:left="1440" w:hanging="720"/>
        <w:jc w:val="both"/>
        <w:rPr>
          <w:sz w:val="24"/>
        </w:rPr>
      </w:pPr>
      <w:r w:rsidRPr="00805D69">
        <w:rPr>
          <w:sz w:val="24"/>
        </w:rPr>
        <w:t>(2)</w:t>
      </w:r>
      <w:r w:rsidRPr="00805D69">
        <w:rPr>
          <w:sz w:val="24"/>
        </w:rPr>
        <w:tab/>
        <w:t xml:space="preserve">is it permissible in law first to assess and find one of the footages to be </w:t>
      </w:r>
      <w:r>
        <w:rPr>
          <w:sz w:val="24"/>
        </w:rPr>
        <w:t>‘</w:t>
      </w:r>
      <w:r w:rsidRPr="00805D69">
        <w:rPr>
          <w:sz w:val="24"/>
        </w:rPr>
        <w:t>prima facie</w:t>
      </w:r>
      <w:r>
        <w:rPr>
          <w:sz w:val="24"/>
        </w:rPr>
        <w:t>’</w:t>
      </w:r>
      <w:r w:rsidRPr="00805D69">
        <w:rPr>
          <w:sz w:val="24"/>
        </w:rPr>
        <w:t xml:space="preserve"> authentic and then use that footage as a control sample to authenticate other impugned footages?</w:t>
      </w:r>
    </w:p>
    <w:p w:rsidR="004B4C7E" w:rsidRPr="00805D69" w:rsidRDefault="004B4C7E" w:rsidP="000B07A7">
      <w:pPr>
        <w:pStyle w:val="Bob1"/>
        <w:numPr>
          <w:ilvl w:val="0"/>
          <w:numId w:val="0"/>
        </w:numPr>
        <w:spacing w:line="240" w:lineRule="auto"/>
        <w:ind w:left="1440" w:hanging="720"/>
        <w:jc w:val="both"/>
        <w:rPr>
          <w:sz w:val="24"/>
        </w:rPr>
      </w:pPr>
      <w:r w:rsidRPr="00805D69">
        <w:rPr>
          <w:sz w:val="24"/>
        </w:rPr>
        <w:t>(3)</w:t>
      </w:r>
      <w:r w:rsidRPr="00805D69">
        <w:rPr>
          <w:sz w:val="24"/>
        </w:rPr>
        <w:tab/>
      </w:r>
      <w:r w:rsidRPr="00805D69">
        <w:rPr>
          <w:i/>
          <w:sz w:val="24"/>
        </w:rPr>
        <w:t>or</w:t>
      </w:r>
      <w:r w:rsidRPr="00805D69">
        <w:rPr>
          <w:sz w:val="24"/>
        </w:rPr>
        <w:t xml:space="preserve"> does the law require the authenticity of the comparator footage to be proved beyond doubt?</w:t>
      </w:r>
      <w:r>
        <w:rPr>
          <w:sz w:val="24"/>
        </w:rPr>
        <w:t>”</w:t>
      </w:r>
    </w:p>
    <w:p w:rsidR="004B4C7E" w:rsidRDefault="004B4C7E" w:rsidP="000B07A7">
      <w:pPr>
        <w:pStyle w:val="Bob1"/>
        <w:numPr>
          <w:ilvl w:val="0"/>
          <w:numId w:val="1"/>
        </w:numPr>
        <w:tabs>
          <w:tab w:val="clear" w:pos="720"/>
          <w:tab w:val="left" w:pos="1440"/>
        </w:tabs>
        <w:ind w:left="0" w:firstLine="0"/>
        <w:jc w:val="both"/>
      </w:pPr>
      <w:r>
        <w:t>We</w:t>
      </w:r>
      <w:r w:rsidRPr="00805D69">
        <w:t xml:space="preserve"> agree with </w:t>
      </w:r>
      <w:r>
        <w:t xml:space="preserve">the reasons given by </w:t>
      </w:r>
      <w:proofErr w:type="spellStart"/>
      <w:r w:rsidRPr="00805D69">
        <w:t>Macrae</w:t>
      </w:r>
      <w:proofErr w:type="spellEnd"/>
      <w:r w:rsidRPr="00805D69">
        <w:t xml:space="preserve"> VP </w:t>
      </w:r>
      <w:r>
        <w:t>for refusing to certify this Question.  First, as we have noted above, it is established that the authenticity of a video recording can be proved circumstantially.</w:t>
      </w:r>
      <w:r>
        <w:rPr>
          <w:rStyle w:val="FootnoteReference"/>
        </w:rPr>
        <w:footnoteReference w:id="34"/>
      </w:r>
      <w:r>
        <w:t xml:space="preserve">  Secondly, whether any particular comparison is legitimate is a fact-specific question.  As </w:t>
      </w:r>
      <w:proofErr w:type="spellStart"/>
      <w:r>
        <w:t>Macrae</w:t>
      </w:r>
      <w:proofErr w:type="spellEnd"/>
      <w:r>
        <w:t xml:space="preserve"> VP points out, Question 2:</w:t>
      </w:r>
    </w:p>
    <w:p w:rsidR="004B4C7E" w:rsidRPr="00EA6A44" w:rsidRDefault="004B4C7E" w:rsidP="000B07A7">
      <w:pPr>
        <w:pStyle w:val="Bob1"/>
        <w:numPr>
          <w:ilvl w:val="0"/>
          <w:numId w:val="0"/>
        </w:numPr>
        <w:spacing w:line="240" w:lineRule="auto"/>
        <w:ind w:left="720"/>
        <w:jc w:val="both"/>
        <w:rPr>
          <w:rFonts w:eastAsia="PMingLiU"/>
          <w:sz w:val="24"/>
          <w:lang w:eastAsia="zh-TW"/>
        </w:rPr>
      </w:pPr>
      <w:r w:rsidRPr="00EA6A44">
        <w:rPr>
          <w:sz w:val="24"/>
        </w:rPr>
        <w:t xml:space="preserve">“... </w:t>
      </w:r>
      <w:r w:rsidRPr="00EA6A44">
        <w:rPr>
          <w:rFonts w:eastAsia="PMingLiU"/>
          <w:sz w:val="24"/>
          <w:lang w:eastAsia="zh-TW"/>
        </w:rPr>
        <w:t>does not raise a point of law but, rather, a factual complaint as to whether the circumstantial evidence, painstakingly evaluated and relied upon by the judge (and examined by this Court), did in fact authenticate the impugned material.”</w:t>
      </w:r>
      <w:r>
        <w:rPr>
          <w:rStyle w:val="FootnoteReference"/>
          <w:rFonts w:eastAsia="PMingLiU"/>
          <w:sz w:val="24"/>
          <w:lang w:eastAsia="zh-TW"/>
        </w:rPr>
        <w:footnoteReference w:id="35"/>
      </w:r>
    </w:p>
    <w:p w:rsidR="00BB6594" w:rsidRDefault="004B4C7E" w:rsidP="000B07A7">
      <w:pPr>
        <w:pStyle w:val="Bob1"/>
        <w:tabs>
          <w:tab w:val="clear" w:pos="720"/>
          <w:tab w:val="left" w:pos="1440"/>
        </w:tabs>
        <w:ind w:left="0" w:firstLine="0"/>
        <w:jc w:val="both"/>
      </w:pPr>
      <w:r>
        <w:lastRenderedPageBreak/>
        <w:t xml:space="preserve">It is also not reasonably arguable that in deciding on admissibility, only a comparator proven to be authentic beyond reasonable doubt can be used.  Such rigidity in approaching circumstantial evidence cannot be justified.  And as noted above, in the </w:t>
      </w:r>
      <w:proofErr w:type="spellStart"/>
      <w:r>
        <w:t>voire</w:t>
      </w:r>
      <w:proofErr w:type="spellEnd"/>
      <w:r>
        <w:t xml:space="preserve"> dire context, the court is not concerned with making definitive findings but with deciding whether the impugned evidence is sufficient to justify its reference to the tribunal charged with deciding the general issue of guilt.</w:t>
      </w:r>
      <w:r w:rsidR="002F37E5">
        <w:t xml:space="preserve">  </w:t>
      </w:r>
    </w:p>
    <w:p w:rsidR="003575CB" w:rsidRDefault="003575CB" w:rsidP="003575CB">
      <w:pPr>
        <w:pStyle w:val="docmapheading"/>
      </w:pPr>
      <w:r>
        <w:t>Question 3</w:t>
      </w:r>
    </w:p>
    <w:p w:rsidR="003575CB" w:rsidRDefault="003575CB" w:rsidP="000B07A7">
      <w:pPr>
        <w:pStyle w:val="Bob1"/>
        <w:tabs>
          <w:tab w:val="clear" w:pos="720"/>
          <w:tab w:val="left" w:pos="1440"/>
        </w:tabs>
        <w:ind w:left="0" w:firstLine="0"/>
      </w:pPr>
      <w:r>
        <w:t>Question 3 is as follows:</w:t>
      </w:r>
    </w:p>
    <w:p w:rsidR="003575CB" w:rsidRPr="00BE3332" w:rsidRDefault="003575CB" w:rsidP="000B07A7">
      <w:pPr>
        <w:pStyle w:val="Bob1"/>
        <w:numPr>
          <w:ilvl w:val="0"/>
          <w:numId w:val="0"/>
        </w:numPr>
        <w:spacing w:line="240" w:lineRule="auto"/>
        <w:ind w:left="720"/>
        <w:jc w:val="both"/>
        <w:rPr>
          <w:sz w:val="24"/>
        </w:rPr>
      </w:pPr>
      <w:r>
        <w:rPr>
          <w:sz w:val="24"/>
        </w:rPr>
        <w:t>“</w:t>
      </w:r>
      <w:r w:rsidRPr="00BE3332">
        <w:rPr>
          <w:sz w:val="24"/>
        </w:rPr>
        <w:t xml:space="preserve">Where </w:t>
      </w:r>
      <w:r w:rsidRPr="00BE3332">
        <w:rPr>
          <w:i/>
          <w:sz w:val="24"/>
        </w:rPr>
        <w:t>original</w:t>
      </w:r>
      <w:r w:rsidRPr="00BE3332">
        <w:rPr>
          <w:sz w:val="24"/>
        </w:rPr>
        <w:t xml:space="preserve"> video footage is in existence, readily obtainable by the prosecution and where any examination of it would instantly demonstrate how relevant and important it is to the issue of authenticity/relevance (so that its production should and could be made by Court order) is it compatible with the requirements of a fair </w:t>
      </w:r>
      <w:proofErr w:type="gramStart"/>
      <w:r w:rsidRPr="00BE3332">
        <w:rPr>
          <w:sz w:val="24"/>
        </w:rPr>
        <w:t>trial:-</w:t>
      </w:r>
      <w:proofErr w:type="gramEnd"/>
    </w:p>
    <w:p w:rsidR="003575CB" w:rsidRPr="00BE3332" w:rsidRDefault="00D57608" w:rsidP="000B07A7">
      <w:pPr>
        <w:pStyle w:val="Bob1"/>
        <w:numPr>
          <w:ilvl w:val="0"/>
          <w:numId w:val="0"/>
        </w:numPr>
        <w:spacing w:line="240" w:lineRule="auto"/>
        <w:ind w:left="1440" w:hanging="720"/>
        <w:jc w:val="both"/>
        <w:rPr>
          <w:sz w:val="24"/>
        </w:rPr>
      </w:pPr>
      <w:r>
        <w:rPr>
          <w:sz w:val="24"/>
        </w:rPr>
        <w:t>(1)</w:t>
      </w:r>
      <w:r>
        <w:rPr>
          <w:sz w:val="24"/>
        </w:rPr>
        <w:tab/>
        <w:t>to permit the Prosecution to use internet-down</w:t>
      </w:r>
      <w:r w:rsidR="003575CB" w:rsidRPr="00BE3332">
        <w:rPr>
          <w:sz w:val="24"/>
        </w:rPr>
        <w:t xml:space="preserve">loaded, edited video footages which </w:t>
      </w:r>
      <w:r w:rsidR="003575CB" w:rsidRPr="00BE3332">
        <w:rPr>
          <w:i/>
          <w:sz w:val="24"/>
        </w:rPr>
        <w:t>purport</w:t>
      </w:r>
      <w:r w:rsidR="003575CB" w:rsidRPr="00BE3332">
        <w:rPr>
          <w:sz w:val="24"/>
        </w:rPr>
        <w:t xml:space="preserve"> to be the same as the original vid</w:t>
      </w:r>
      <w:r>
        <w:rPr>
          <w:sz w:val="24"/>
        </w:rPr>
        <w:t xml:space="preserve">eo footage notwithstanding </w:t>
      </w:r>
      <w:r w:rsidR="003575CB" w:rsidRPr="00BE3332">
        <w:rPr>
          <w:sz w:val="24"/>
        </w:rPr>
        <w:t>the former’s authenticity is challenged?</w:t>
      </w:r>
    </w:p>
    <w:p w:rsidR="003575CB" w:rsidRDefault="003575CB" w:rsidP="000B07A7">
      <w:pPr>
        <w:pStyle w:val="Bob1"/>
        <w:numPr>
          <w:ilvl w:val="0"/>
          <w:numId w:val="0"/>
        </w:numPr>
        <w:spacing w:line="240" w:lineRule="auto"/>
        <w:ind w:left="1440" w:hanging="720"/>
        <w:jc w:val="both"/>
        <w:rPr>
          <w:sz w:val="24"/>
        </w:rPr>
      </w:pPr>
      <w:r w:rsidRPr="00BE3332">
        <w:rPr>
          <w:sz w:val="24"/>
        </w:rPr>
        <w:t>(2)</w:t>
      </w:r>
      <w:r w:rsidRPr="00BE3332">
        <w:rPr>
          <w:sz w:val="24"/>
        </w:rPr>
        <w:tab/>
        <w:t xml:space="preserve">to permit a prosecution witness (who alone had had access to the original video footage) to give </w:t>
      </w:r>
      <w:r w:rsidRPr="00BE3332">
        <w:rPr>
          <w:b/>
          <w:sz w:val="24"/>
        </w:rPr>
        <w:t>‍</w:t>
      </w:r>
      <w:r w:rsidRPr="00BE3332">
        <w:rPr>
          <w:sz w:val="24"/>
        </w:rPr>
        <w:t xml:space="preserve">hearsay evidence of his own comparison between </w:t>
      </w:r>
      <w:r w:rsidRPr="00BE3332">
        <w:rPr>
          <w:b/>
          <w:sz w:val="24"/>
        </w:rPr>
        <w:t>‍</w:t>
      </w:r>
      <w:r w:rsidRPr="00BE3332">
        <w:rPr>
          <w:sz w:val="24"/>
        </w:rPr>
        <w:t xml:space="preserve">the original video footage and the edited, </w:t>
      </w:r>
      <w:r w:rsidRPr="00BE3332">
        <w:rPr>
          <w:b/>
          <w:sz w:val="24"/>
        </w:rPr>
        <w:t>‍</w:t>
      </w:r>
      <w:r w:rsidR="00D57608">
        <w:rPr>
          <w:sz w:val="24"/>
        </w:rPr>
        <w:t>downloaded footages</w:t>
      </w:r>
      <w:r w:rsidRPr="00BE3332">
        <w:rPr>
          <w:sz w:val="24"/>
        </w:rPr>
        <w:t xml:space="preserve"> in support of the </w:t>
      </w:r>
      <w:r w:rsidRPr="00BE3332">
        <w:rPr>
          <w:b/>
          <w:sz w:val="24"/>
        </w:rPr>
        <w:t>‍</w:t>
      </w:r>
      <w:r w:rsidRPr="00BE3332">
        <w:rPr>
          <w:sz w:val="24"/>
        </w:rPr>
        <w:t>authenticity of the internet-footages, in circumstances where neither the Judge nor the defence had access to the original video footage or were privy to such comparison exercise so that the witness’s evidence was incapable of effective challenge?</w:t>
      </w:r>
      <w:r>
        <w:rPr>
          <w:sz w:val="24"/>
        </w:rPr>
        <w:t>”</w:t>
      </w:r>
    </w:p>
    <w:p w:rsidR="003575CB" w:rsidRDefault="003575CB" w:rsidP="000B07A7">
      <w:pPr>
        <w:pStyle w:val="Bob1"/>
        <w:tabs>
          <w:tab w:val="clear" w:pos="720"/>
          <w:tab w:val="left" w:pos="1440"/>
        </w:tabs>
        <w:ind w:left="0" w:firstLine="0"/>
      </w:pPr>
      <w:r>
        <w:t xml:space="preserve">As </w:t>
      </w:r>
      <w:proofErr w:type="spellStart"/>
      <w:r>
        <w:t>Macrae</w:t>
      </w:r>
      <w:proofErr w:type="spellEnd"/>
      <w:r>
        <w:t xml:space="preserve"> VP pointed out:</w:t>
      </w:r>
    </w:p>
    <w:p w:rsidR="003575CB" w:rsidRPr="00BB58FE" w:rsidRDefault="003575CB" w:rsidP="000B07A7">
      <w:pPr>
        <w:pStyle w:val="Bob1"/>
        <w:numPr>
          <w:ilvl w:val="0"/>
          <w:numId w:val="0"/>
        </w:numPr>
        <w:spacing w:line="240" w:lineRule="auto"/>
        <w:ind w:left="720"/>
        <w:jc w:val="both"/>
        <w:rPr>
          <w:rFonts w:eastAsia="PMingLiU"/>
          <w:sz w:val="24"/>
          <w:lang w:eastAsia="zh-TW"/>
        </w:rPr>
      </w:pPr>
      <w:r w:rsidRPr="00BB58FE">
        <w:rPr>
          <w:sz w:val="24"/>
        </w:rPr>
        <w:t>“</w:t>
      </w:r>
      <w:r w:rsidRPr="00BB58FE">
        <w:rPr>
          <w:rFonts w:eastAsia="PMingLiU"/>
          <w:sz w:val="24"/>
          <w:lang w:eastAsia="zh-TW"/>
        </w:rPr>
        <w:t>At no stage of the trial proceedings did any of the defendants’ counsel (which included highly experienced Senior Counsel and junior counsel from the criminal Bar) ever mount any application for the originals to be produced at trial; nor did anyone ever make any objection to the ‘open source’ material being adduced by the prosecution; nor was any objection made to the admissibility of the evidence of PW8; nor was an application for a stay of proceedings mounted on the basis that a fair trial was impossible without the original tape recordings...”</w:t>
      </w:r>
      <w:r>
        <w:rPr>
          <w:rStyle w:val="FootnoteReference"/>
          <w:rFonts w:eastAsia="PMingLiU"/>
          <w:sz w:val="24"/>
          <w:lang w:eastAsia="zh-TW"/>
        </w:rPr>
        <w:footnoteReference w:id="36"/>
      </w:r>
    </w:p>
    <w:p w:rsidR="003575CB" w:rsidRDefault="003575CB" w:rsidP="000B07A7">
      <w:pPr>
        <w:pStyle w:val="Bob1"/>
        <w:tabs>
          <w:tab w:val="clear" w:pos="720"/>
          <w:tab w:val="num" w:pos="1440"/>
        </w:tabs>
        <w:ind w:left="0" w:firstLine="0"/>
        <w:jc w:val="both"/>
      </w:pPr>
      <w:r>
        <w:lastRenderedPageBreak/>
        <w:t xml:space="preserve">There was no suggestion of flagrant incompetence on the part of trial counsel and, as the Court of Appeal thought obvious, it was a tactical decision by trial counsel to take advantage </w:t>
      </w:r>
      <w:r w:rsidRPr="002B4021">
        <w:rPr>
          <w:rFonts w:eastAsia="PMingLiU"/>
          <w:lang w:eastAsia="zh-TW"/>
        </w:rPr>
        <w:t xml:space="preserve">of the </w:t>
      </w:r>
      <w:r w:rsidR="00C12778">
        <w:rPr>
          <w:rFonts w:eastAsia="PMingLiU"/>
          <w:lang w:eastAsia="zh-TW"/>
        </w:rPr>
        <w:t xml:space="preserve">absence of the </w:t>
      </w:r>
      <w:r w:rsidRPr="002B4021">
        <w:rPr>
          <w:rFonts w:eastAsia="PMingLiU"/>
          <w:lang w:eastAsia="zh-TW"/>
        </w:rPr>
        <w:t>originals and its ramifications as they conceived them to be</w:t>
      </w:r>
      <w:r>
        <w:t>.</w:t>
      </w:r>
      <w:r>
        <w:rPr>
          <w:rStyle w:val="FootnoteReference"/>
        </w:rPr>
        <w:footnoteReference w:id="37"/>
      </w:r>
      <w:r>
        <w:t xml:space="preserve">  </w:t>
      </w:r>
    </w:p>
    <w:p w:rsidR="003575CB" w:rsidRDefault="003575CB" w:rsidP="000B07A7">
      <w:pPr>
        <w:pStyle w:val="Bob1"/>
        <w:tabs>
          <w:tab w:val="clear" w:pos="720"/>
          <w:tab w:val="num" w:pos="1440"/>
        </w:tabs>
        <w:ind w:left="0" w:firstLine="0"/>
        <w:jc w:val="both"/>
      </w:pPr>
      <w:r>
        <w:t>The reference to the prosecution witness is to Mr David Wong (PW8) whose evidence is mentioned above.  We do not accept that his evidence was hearsay as he was testifying about comparisons he had made between different video recordings.  He was not purporting to give second hand evidence about any past events</w:t>
      </w:r>
      <w:r w:rsidR="00A175F7">
        <w:t xml:space="preserve"> such as those depicted in the challenged footage</w:t>
      </w:r>
      <w:r>
        <w:t>.</w:t>
      </w:r>
    </w:p>
    <w:p w:rsidR="003575CB" w:rsidRDefault="003575CB" w:rsidP="000B07A7">
      <w:pPr>
        <w:pStyle w:val="Bob1"/>
        <w:tabs>
          <w:tab w:val="clear" w:pos="720"/>
          <w:tab w:val="num" w:pos="1440"/>
        </w:tabs>
        <w:ind w:left="0" w:firstLine="0"/>
        <w:jc w:val="both"/>
      </w:pPr>
      <w:r>
        <w:t xml:space="preserve">Whether and to what extent the absence of original video recordings affects the sufficiency of the evidence depends on the nature and quality of the available evidence for assessing authenticity taken as a whole.  Question 3 therefore does not raise any point of law of </w:t>
      </w:r>
      <w:r w:rsidR="00D57608">
        <w:t xml:space="preserve">great and </w:t>
      </w:r>
      <w:r>
        <w:t>general importance and its answer is necessarily fact-specific.</w:t>
      </w:r>
      <w:r w:rsidR="00756AB7">
        <w:t xml:space="preserve">  We accordingly refuse</w:t>
      </w:r>
      <w:r w:rsidR="00943BCC">
        <w:t>d</w:t>
      </w:r>
      <w:r w:rsidR="00756AB7">
        <w:t xml:space="preserve"> certification and leave.</w:t>
      </w:r>
    </w:p>
    <w:p w:rsidR="003575CB" w:rsidRDefault="003575CB" w:rsidP="00756AB7">
      <w:pPr>
        <w:pStyle w:val="docmapheading"/>
        <w:keepNext/>
      </w:pPr>
      <w:r>
        <w:t>Question 4</w:t>
      </w:r>
    </w:p>
    <w:p w:rsidR="003575CB" w:rsidRDefault="003575CB" w:rsidP="000B07A7">
      <w:pPr>
        <w:pStyle w:val="Bob1"/>
        <w:tabs>
          <w:tab w:val="clear" w:pos="720"/>
          <w:tab w:val="left" w:pos="1440"/>
        </w:tabs>
        <w:ind w:left="0" w:firstLine="0"/>
      </w:pPr>
      <w:r>
        <w:t>Question 4 asks:</w:t>
      </w:r>
    </w:p>
    <w:p w:rsidR="003575CB" w:rsidRPr="00652D9E" w:rsidRDefault="003575CB" w:rsidP="000B07A7">
      <w:pPr>
        <w:pStyle w:val="Bob1"/>
        <w:numPr>
          <w:ilvl w:val="0"/>
          <w:numId w:val="0"/>
        </w:numPr>
        <w:spacing w:line="240" w:lineRule="auto"/>
        <w:ind w:left="720"/>
        <w:jc w:val="both"/>
        <w:rPr>
          <w:sz w:val="24"/>
        </w:rPr>
      </w:pPr>
      <w:r w:rsidRPr="00652D9E">
        <w:rPr>
          <w:sz w:val="24"/>
        </w:rPr>
        <w:t>“Absent production of the (readily available) original video footages, was the totality of evidence before the trial Judge capable in law of proving the authenticity of the dispute</w:t>
      </w:r>
      <w:r w:rsidR="003667CA">
        <w:rPr>
          <w:sz w:val="24"/>
        </w:rPr>
        <w:t>d</w:t>
      </w:r>
      <w:r w:rsidRPr="00652D9E">
        <w:rPr>
          <w:sz w:val="24"/>
        </w:rPr>
        <w:t>, edited video footages beyond a reasonable doubt?”</w:t>
      </w:r>
    </w:p>
    <w:p w:rsidR="003575CB" w:rsidRDefault="003575CB" w:rsidP="000B07A7">
      <w:pPr>
        <w:pStyle w:val="Bob1"/>
        <w:tabs>
          <w:tab w:val="clear" w:pos="720"/>
          <w:tab w:val="left" w:pos="1440"/>
        </w:tabs>
        <w:ind w:left="0" w:firstLine="0"/>
        <w:jc w:val="both"/>
      </w:pPr>
      <w:r>
        <w:t>This is obviously not a question of law but an impermissible invitation to re-assess the weight of the evidence.</w:t>
      </w:r>
      <w:r w:rsidR="00756AB7">
        <w:t xml:space="preserve">  Certification and leave </w:t>
      </w:r>
      <w:r w:rsidR="00943BCC">
        <w:t xml:space="preserve">were </w:t>
      </w:r>
      <w:r w:rsidR="00756AB7">
        <w:t>therefore refused.</w:t>
      </w:r>
    </w:p>
    <w:p w:rsidR="00D57608" w:rsidRDefault="00D57608">
      <w:pPr>
        <w:rPr>
          <w:rFonts w:eastAsia="PMingLiU"/>
          <w:i/>
          <w:spacing w:val="15"/>
        </w:rPr>
      </w:pPr>
      <w:r>
        <w:br w:type="page"/>
      </w:r>
    </w:p>
    <w:p w:rsidR="003575CB" w:rsidRDefault="003575CB" w:rsidP="003575CB">
      <w:pPr>
        <w:pStyle w:val="docmapheading"/>
      </w:pPr>
      <w:r>
        <w:lastRenderedPageBreak/>
        <w:t xml:space="preserve">Substantial and grave injustice </w:t>
      </w:r>
    </w:p>
    <w:p w:rsidR="003575CB" w:rsidRDefault="003575CB" w:rsidP="000B07A7">
      <w:pPr>
        <w:pStyle w:val="Bob1"/>
        <w:tabs>
          <w:tab w:val="clear" w:pos="720"/>
          <w:tab w:val="left" w:pos="1440"/>
        </w:tabs>
        <w:ind w:left="0" w:firstLine="0"/>
        <w:jc w:val="both"/>
      </w:pPr>
      <w:r>
        <w:t>All the applicants also apply for leave on the “substantial and grave injustice” basis essentially seeking to contend that the approach to determining admissibility adopted by the Judge and upheld by the Court of Appeal was erroneous.  This is premised on the propositions which underlie the Questions discussed above which we have rejected as based on a misapprehension of the Judge’s approach; as involving an academic exercise given the Judge’s finding that authenticity had been established beyond reasonable doubt; and as raising purely fact-specific questions.  The approach of the Courts below involved no departure from established norms capable of founding leave on the substantial and grave injustice basis.</w:t>
      </w:r>
    </w:p>
    <w:p w:rsidR="003575CB" w:rsidRDefault="003575CB" w:rsidP="000B07A7">
      <w:pPr>
        <w:pStyle w:val="Bob1"/>
        <w:tabs>
          <w:tab w:val="clear" w:pos="720"/>
          <w:tab w:val="left" w:pos="1440"/>
        </w:tabs>
        <w:ind w:left="0" w:firstLine="0"/>
        <w:jc w:val="both"/>
      </w:pPr>
      <w:r>
        <w:t>The 5</w:t>
      </w:r>
      <w:r w:rsidRPr="000B07A7">
        <w:rPr>
          <w:vertAlign w:val="superscript"/>
        </w:rPr>
        <w:t>th</w:t>
      </w:r>
      <w:r>
        <w:t xml:space="preserve"> applicant also seeks leave to argue that, having rejected Tsang’s evidence regarding an alleged assault by police officers at the time of his arrest, it was unsafe for the Judge to have relied on his evidence in support of the authenticity and admissibility of the video recordings in question.  </w:t>
      </w:r>
      <w:r w:rsidR="002F37E5">
        <w:t xml:space="preserve">He </w:t>
      </w:r>
      <w:r w:rsidR="002F37E5" w:rsidRPr="002F37E5">
        <w:t xml:space="preserve">also seeks leave to argue in relation to Tsang's evidence regarding the charge against him for assault that if leave were granted on the first issue under the substantial and grave injustice basis, then it would also be arguable that it was unsafe </w:t>
      </w:r>
      <w:r w:rsidR="00D57608">
        <w:t xml:space="preserve">for </w:t>
      </w:r>
      <w:r w:rsidR="002F37E5" w:rsidRPr="002F37E5">
        <w:t xml:space="preserve">the Judge to have relied on his evidence alone to convict him of this charge.  </w:t>
      </w:r>
      <w:r w:rsidR="002F37E5">
        <w:t xml:space="preserve">He accepts </w:t>
      </w:r>
      <w:r w:rsidR="009247F9">
        <w:t xml:space="preserve">that </w:t>
      </w:r>
      <w:r w:rsidR="002F37E5" w:rsidRPr="002F37E5">
        <w:t>the</w:t>
      </w:r>
      <w:r w:rsidR="009247F9">
        <w:t xml:space="preserve"> leave sought on this issue is </w:t>
      </w:r>
      <w:r w:rsidR="002F37E5" w:rsidRPr="002F37E5">
        <w:t xml:space="preserve">"wholly contingent" on leave being granted on the first issue.  In view of our refusal of leave on the first issue under the substantial and grave injustice ground, it must follow </w:t>
      </w:r>
      <w:r w:rsidR="00BC6269">
        <w:t xml:space="preserve">that </w:t>
      </w:r>
      <w:r w:rsidR="002F37E5" w:rsidRPr="002F37E5">
        <w:t>leave must be refused on this second issue as well.  In any event</w:t>
      </w:r>
      <w:r w:rsidR="002F37E5">
        <w:t>, a</w:t>
      </w:r>
      <w:r>
        <w:t>s the Court of Appeal noted, it is trite law that a judge or jury may accept some part of a witness’s evidence and reject other parts.</w:t>
      </w:r>
      <w:r>
        <w:rPr>
          <w:rStyle w:val="FootnoteReference"/>
        </w:rPr>
        <w:footnoteReference w:id="38"/>
      </w:r>
      <w:r w:rsidR="00D57608">
        <w:t xml:space="preserve">  And as the respondent</w:t>
      </w:r>
      <w:r>
        <w:t xml:space="preserve"> point out, the Judge, who was best placed to </w:t>
      </w:r>
      <w:r w:rsidR="00A175F7">
        <w:t>assess</w:t>
      </w:r>
      <w:r>
        <w:t xml:space="preserve"> Tsang’s credibility and reliability, thoroughly evaluated his </w:t>
      </w:r>
      <w:r>
        <w:lastRenderedPageBreak/>
        <w:t>evidence in the light of various attacks made on him throughout the trial and was entitled to make his findings on the basis of the totality of the evidence adduced.</w:t>
      </w:r>
    </w:p>
    <w:p w:rsidR="003575CB" w:rsidRDefault="003575CB" w:rsidP="000B07A7">
      <w:pPr>
        <w:pStyle w:val="Bob1"/>
        <w:tabs>
          <w:tab w:val="clear" w:pos="720"/>
          <w:tab w:val="left" w:pos="1440"/>
        </w:tabs>
        <w:ind w:left="0" w:firstLine="0"/>
        <w:jc w:val="both"/>
      </w:pPr>
      <w:r>
        <w:t>For the foregoing reasons, we dismiss</w:t>
      </w:r>
      <w:r w:rsidR="00943BCC">
        <w:t>ed</w:t>
      </w:r>
      <w:r w:rsidR="00D57608">
        <w:t xml:space="preserve"> these</w:t>
      </w:r>
      <w:r>
        <w:t xml:space="preserve"> application</w:t>
      </w:r>
      <w:r w:rsidR="00D57608">
        <w:t>s</w:t>
      </w:r>
      <w:r>
        <w:t xml:space="preserve"> for leave to </w:t>
      </w:r>
      <w:r w:rsidRPr="00556049">
        <w:t>appeal</w:t>
      </w:r>
      <w:r>
        <w:t>.</w:t>
      </w:r>
    </w:p>
    <w:p w:rsidR="005C5847" w:rsidRDefault="005C5847" w:rsidP="005C5847">
      <w:pPr>
        <w:pStyle w:val="Bob1"/>
        <w:numPr>
          <w:ilvl w:val="0"/>
          <w:numId w:val="0"/>
        </w:numPr>
        <w:ind w:left="720"/>
      </w:pPr>
    </w:p>
    <w:p w:rsidR="005C5847" w:rsidRDefault="005C5847" w:rsidP="005C5847">
      <w:pPr>
        <w:pStyle w:val="Bob1"/>
        <w:numPr>
          <w:ilvl w:val="0"/>
          <w:numId w:val="0"/>
        </w:numPr>
        <w:ind w:left="720"/>
      </w:pPr>
    </w:p>
    <w:p w:rsidR="00D57608" w:rsidRDefault="00D57608" w:rsidP="005C5847">
      <w:pPr>
        <w:pStyle w:val="Bob1"/>
        <w:numPr>
          <w:ilvl w:val="0"/>
          <w:numId w:val="0"/>
        </w:numPr>
        <w:ind w:left="720"/>
      </w:pPr>
    </w:p>
    <w:p w:rsidR="005C5847" w:rsidRDefault="005C5847" w:rsidP="005C5847">
      <w:pPr>
        <w:pStyle w:val="Bob1"/>
        <w:numPr>
          <w:ilvl w:val="0"/>
          <w:numId w:val="0"/>
        </w:numPr>
        <w:ind w:left="720"/>
      </w:pPr>
    </w:p>
    <w:p w:rsidR="005C5847" w:rsidRPr="000E5FC5" w:rsidRDefault="005C5847" w:rsidP="005C5847">
      <w:pPr>
        <w:pStyle w:val="BodyTextIndent"/>
        <w:tabs>
          <w:tab w:val="left" w:pos="540"/>
        </w:tabs>
        <w:ind w:left="450" w:right="118" w:hanging="450"/>
        <w:rPr>
          <w:kern w:val="0"/>
          <w:sz w:val="28"/>
          <w:lang w:val="en-GB"/>
        </w:rPr>
      </w:pPr>
    </w:p>
    <w:tbl>
      <w:tblPr>
        <w:tblW w:w="0" w:type="auto"/>
        <w:jc w:val="center"/>
        <w:tblLook w:val="0000" w:firstRow="0" w:lastRow="0" w:firstColumn="0" w:lastColumn="0" w:noHBand="0" w:noVBand="0"/>
      </w:tblPr>
      <w:tblGrid>
        <w:gridCol w:w="2952"/>
        <w:gridCol w:w="2952"/>
        <w:gridCol w:w="2952"/>
      </w:tblGrid>
      <w:tr w:rsidR="005C5847" w:rsidRPr="000E5FC5" w:rsidTr="00FB60C7">
        <w:trPr>
          <w:trHeight w:val="747"/>
          <w:jc w:val="center"/>
        </w:trPr>
        <w:tc>
          <w:tcPr>
            <w:tcW w:w="2952" w:type="dxa"/>
          </w:tcPr>
          <w:p w:rsidR="005C5847" w:rsidRPr="000E5FC5" w:rsidRDefault="005C5847" w:rsidP="00FB60C7">
            <w:pPr>
              <w:spacing w:after="0" w:line="240" w:lineRule="auto"/>
              <w:jc w:val="center"/>
              <w:rPr>
                <w:rFonts w:eastAsia="宋体"/>
                <w:lang w:val="en-US"/>
              </w:rPr>
            </w:pPr>
            <w:r w:rsidRPr="000E5FC5">
              <w:rPr>
                <w:rFonts w:eastAsia="宋体"/>
                <w:lang w:val="en-US"/>
              </w:rPr>
              <w:t>(</w:t>
            </w:r>
            <w:r w:rsidRPr="000E5FC5">
              <w:t>Geoffrey</w:t>
            </w:r>
            <w:r w:rsidRPr="000E5FC5">
              <w:rPr>
                <w:rFonts w:hint="eastAsia"/>
              </w:rPr>
              <w:t xml:space="preserve"> </w:t>
            </w:r>
            <w:r w:rsidRPr="000E5FC5">
              <w:t>Ma)</w:t>
            </w:r>
          </w:p>
          <w:p w:rsidR="005C5847" w:rsidRPr="000E5FC5" w:rsidRDefault="005C5847" w:rsidP="00FB60C7">
            <w:pPr>
              <w:spacing w:after="0" w:line="240" w:lineRule="auto"/>
              <w:jc w:val="center"/>
              <w:rPr>
                <w:rFonts w:eastAsia="宋体"/>
                <w:lang w:val="en-US"/>
              </w:rPr>
            </w:pPr>
            <w:r w:rsidRPr="000E5FC5">
              <w:t>Chief Justice</w:t>
            </w:r>
          </w:p>
        </w:tc>
        <w:tc>
          <w:tcPr>
            <w:tcW w:w="2952" w:type="dxa"/>
          </w:tcPr>
          <w:p w:rsidR="005C5847" w:rsidRPr="000E5FC5" w:rsidRDefault="005C5847" w:rsidP="00FB60C7">
            <w:pPr>
              <w:spacing w:after="0" w:line="240" w:lineRule="auto"/>
              <w:jc w:val="center"/>
              <w:rPr>
                <w:rFonts w:eastAsia="宋体"/>
                <w:lang w:val="en-US"/>
              </w:rPr>
            </w:pPr>
            <w:r w:rsidRPr="000E5FC5">
              <w:rPr>
                <w:rFonts w:eastAsia="宋体"/>
                <w:lang w:val="en-US"/>
              </w:rPr>
              <w:t>(</w:t>
            </w:r>
            <w:r w:rsidRPr="000E5FC5">
              <w:rPr>
                <w:color w:val="000000"/>
              </w:rPr>
              <w:t>R A V Ribeiro</w:t>
            </w:r>
            <w:r w:rsidRPr="000E5FC5">
              <w:rPr>
                <w:rFonts w:eastAsia="宋体"/>
                <w:lang w:val="en-US"/>
              </w:rPr>
              <w:t>)</w:t>
            </w:r>
          </w:p>
          <w:p w:rsidR="005C5847" w:rsidRPr="000E5FC5" w:rsidRDefault="005C5847" w:rsidP="00FB60C7">
            <w:pPr>
              <w:spacing w:after="0" w:line="240" w:lineRule="auto"/>
              <w:jc w:val="center"/>
              <w:rPr>
                <w:rFonts w:eastAsia="宋体"/>
                <w:lang w:val="en-US"/>
              </w:rPr>
            </w:pPr>
            <w:r w:rsidRPr="000E5FC5">
              <w:rPr>
                <w:rFonts w:eastAsia="宋体"/>
                <w:lang w:val="en-US"/>
              </w:rPr>
              <w:t>Permanent Judge</w:t>
            </w:r>
          </w:p>
        </w:tc>
        <w:tc>
          <w:tcPr>
            <w:tcW w:w="2952" w:type="dxa"/>
          </w:tcPr>
          <w:p w:rsidR="005C5847" w:rsidRPr="000E5FC5" w:rsidRDefault="005C5847" w:rsidP="00FB60C7">
            <w:pPr>
              <w:spacing w:after="0" w:line="240" w:lineRule="auto"/>
              <w:jc w:val="center"/>
              <w:rPr>
                <w:rFonts w:eastAsia="宋体"/>
                <w:lang w:val="en-US"/>
              </w:rPr>
            </w:pPr>
            <w:r w:rsidRPr="000E5FC5">
              <w:rPr>
                <w:rFonts w:eastAsia="宋体"/>
                <w:lang w:val="en-US"/>
              </w:rPr>
              <w:t>(</w:t>
            </w:r>
            <w:r w:rsidRPr="000E5FC5">
              <w:t>Andrew Cheung</w:t>
            </w:r>
            <w:r w:rsidRPr="000E5FC5">
              <w:rPr>
                <w:rFonts w:eastAsia="宋体"/>
                <w:lang w:val="en-US"/>
              </w:rPr>
              <w:t>)</w:t>
            </w:r>
          </w:p>
          <w:p w:rsidR="005C5847" w:rsidRPr="000E5FC5" w:rsidRDefault="005C5847" w:rsidP="00FB60C7">
            <w:pPr>
              <w:spacing w:after="0" w:line="240" w:lineRule="auto"/>
              <w:jc w:val="center"/>
              <w:rPr>
                <w:rFonts w:eastAsia="宋体"/>
                <w:lang w:val="en-US"/>
              </w:rPr>
            </w:pPr>
            <w:r w:rsidRPr="000E5FC5">
              <w:rPr>
                <w:rFonts w:eastAsia="宋体"/>
                <w:lang w:val="en-US"/>
              </w:rPr>
              <w:t>Permanent Judge</w:t>
            </w:r>
          </w:p>
        </w:tc>
      </w:tr>
    </w:tbl>
    <w:p w:rsidR="005C5847" w:rsidRDefault="005C5847" w:rsidP="005C5847">
      <w:pPr>
        <w:pStyle w:val="Bob1"/>
        <w:numPr>
          <w:ilvl w:val="0"/>
          <w:numId w:val="0"/>
        </w:numPr>
        <w:spacing w:after="0" w:line="240" w:lineRule="auto"/>
        <w:jc w:val="both"/>
        <w:rPr>
          <w:rFonts w:eastAsia="宋体"/>
          <w:color w:val="000000" w:themeColor="text1"/>
          <w:szCs w:val="20"/>
        </w:rPr>
      </w:pPr>
    </w:p>
    <w:p w:rsidR="00D57608" w:rsidRDefault="00D57608" w:rsidP="005C5847">
      <w:pPr>
        <w:pStyle w:val="Bob1"/>
        <w:numPr>
          <w:ilvl w:val="0"/>
          <w:numId w:val="0"/>
        </w:numPr>
        <w:spacing w:after="0" w:line="240" w:lineRule="auto"/>
        <w:jc w:val="both"/>
        <w:rPr>
          <w:rFonts w:eastAsia="宋体"/>
          <w:color w:val="000000" w:themeColor="text1"/>
          <w:szCs w:val="20"/>
        </w:rPr>
      </w:pPr>
    </w:p>
    <w:p w:rsidR="00D57608" w:rsidRPr="009F4D88" w:rsidRDefault="00D57608" w:rsidP="005C5847">
      <w:pPr>
        <w:pStyle w:val="Bob1"/>
        <w:numPr>
          <w:ilvl w:val="0"/>
          <w:numId w:val="0"/>
        </w:numPr>
        <w:spacing w:after="0" w:line="240" w:lineRule="auto"/>
        <w:jc w:val="both"/>
        <w:rPr>
          <w:rFonts w:eastAsia="宋体"/>
          <w:color w:val="000000" w:themeColor="text1"/>
          <w:szCs w:val="20"/>
        </w:rPr>
      </w:pPr>
    </w:p>
    <w:p w:rsidR="005C5847" w:rsidRPr="009F4D88" w:rsidRDefault="005C5847" w:rsidP="005C5847">
      <w:pPr>
        <w:autoSpaceDE w:val="0"/>
        <w:autoSpaceDN w:val="0"/>
        <w:adjustRightInd w:val="0"/>
        <w:jc w:val="both"/>
        <w:rPr>
          <w:rFonts w:eastAsia="PMingLiU"/>
          <w:color w:val="000000" w:themeColor="text1"/>
          <w:lang w:eastAsia="zh-TW"/>
        </w:rPr>
      </w:pPr>
      <w:r w:rsidRPr="009F4D88">
        <w:rPr>
          <w:b/>
          <w:i/>
          <w:color w:val="000000" w:themeColor="text1"/>
        </w:rPr>
        <w:t>FAMC No. 48 of 2019</w:t>
      </w:r>
    </w:p>
    <w:p w:rsidR="005C5847" w:rsidRPr="000E5FC5" w:rsidRDefault="005C5847" w:rsidP="005C5847">
      <w:pPr>
        <w:pStyle w:val="Bob1"/>
        <w:numPr>
          <w:ilvl w:val="0"/>
          <w:numId w:val="0"/>
        </w:numPr>
        <w:spacing w:after="0" w:line="240" w:lineRule="auto"/>
        <w:jc w:val="both"/>
      </w:pPr>
      <w:r w:rsidRPr="000E5FC5">
        <w:rPr>
          <w:rFonts w:eastAsia="宋体"/>
          <w:szCs w:val="20"/>
        </w:rPr>
        <w:t xml:space="preserve">Mr Edwin Choy SC and Mr Philip C.L. Wong and Mr </w:t>
      </w:r>
      <w:proofErr w:type="spellStart"/>
      <w:r w:rsidRPr="000E5FC5">
        <w:rPr>
          <w:rFonts w:eastAsia="宋体"/>
          <w:szCs w:val="20"/>
        </w:rPr>
        <w:t>Ip</w:t>
      </w:r>
      <w:proofErr w:type="spellEnd"/>
      <w:r w:rsidRPr="000E5FC5">
        <w:rPr>
          <w:rFonts w:eastAsia="宋体"/>
          <w:szCs w:val="20"/>
        </w:rPr>
        <w:t xml:space="preserve"> Fung </w:t>
      </w:r>
      <w:proofErr w:type="spellStart"/>
      <w:r w:rsidRPr="000E5FC5">
        <w:rPr>
          <w:rFonts w:eastAsia="宋体"/>
          <w:szCs w:val="20"/>
        </w:rPr>
        <w:t>Shing</w:t>
      </w:r>
      <w:proofErr w:type="spellEnd"/>
      <w:r w:rsidRPr="000E5FC5">
        <w:rPr>
          <w:rFonts w:eastAsia="宋体"/>
          <w:szCs w:val="20"/>
        </w:rPr>
        <w:t xml:space="preserve">, instructed by Wong Poon Chan Law &amp; Co., for </w:t>
      </w:r>
      <w:r w:rsidRPr="000E5FC5">
        <w:t>the 5</w:t>
      </w:r>
      <w:r w:rsidRPr="000E5FC5">
        <w:rPr>
          <w:vertAlign w:val="superscript"/>
        </w:rPr>
        <w:t>th</w:t>
      </w:r>
      <w:r w:rsidRPr="000E5FC5">
        <w:t xml:space="preserve"> Applicant (D5) </w:t>
      </w:r>
    </w:p>
    <w:p w:rsidR="005C5847" w:rsidRPr="000E5FC5" w:rsidRDefault="005C5847" w:rsidP="005C5847">
      <w:pPr>
        <w:pStyle w:val="Bob1"/>
        <w:numPr>
          <w:ilvl w:val="0"/>
          <w:numId w:val="0"/>
        </w:numPr>
        <w:spacing w:after="0" w:line="240" w:lineRule="auto"/>
        <w:jc w:val="both"/>
      </w:pPr>
    </w:p>
    <w:p w:rsidR="005C5847" w:rsidRPr="000E5FC5" w:rsidRDefault="005C5847" w:rsidP="005C5847">
      <w:pPr>
        <w:pStyle w:val="Bob1"/>
        <w:numPr>
          <w:ilvl w:val="0"/>
          <w:numId w:val="0"/>
        </w:numPr>
        <w:spacing w:after="0" w:line="240" w:lineRule="auto"/>
        <w:jc w:val="both"/>
      </w:pPr>
      <w:r>
        <w:rPr>
          <w:rFonts w:eastAsia="宋体"/>
          <w:szCs w:val="20"/>
        </w:rPr>
        <w:t xml:space="preserve">Mr David Leung SC, DPP, Ms </w:t>
      </w:r>
      <w:r w:rsidRPr="000E5FC5">
        <w:rPr>
          <w:rFonts w:eastAsia="宋体"/>
          <w:szCs w:val="20"/>
        </w:rPr>
        <w:t>Clara Ma SPP and Ms June Wong PP, of the Department of Justice, for the Respondent</w:t>
      </w:r>
    </w:p>
    <w:p w:rsidR="005C5847" w:rsidRDefault="005C5847" w:rsidP="005C5847">
      <w:pPr>
        <w:pStyle w:val="Bob1"/>
        <w:numPr>
          <w:ilvl w:val="0"/>
          <w:numId w:val="0"/>
        </w:numPr>
        <w:spacing w:after="0" w:line="240" w:lineRule="auto"/>
        <w:jc w:val="both"/>
      </w:pPr>
    </w:p>
    <w:p w:rsidR="00D57608" w:rsidRPr="000E5FC5" w:rsidRDefault="00D57608" w:rsidP="005C5847">
      <w:pPr>
        <w:pStyle w:val="Bob1"/>
        <w:numPr>
          <w:ilvl w:val="0"/>
          <w:numId w:val="0"/>
        </w:numPr>
        <w:spacing w:after="0" w:line="240" w:lineRule="auto"/>
        <w:jc w:val="both"/>
      </w:pPr>
    </w:p>
    <w:p w:rsidR="005C5847" w:rsidRPr="000E5FC5" w:rsidRDefault="005C5847" w:rsidP="005C5847">
      <w:pPr>
        <w:autoSpaceDE w:val="0"/>
        <w:autoSpaceDN w:val="0"/>
        <w:adjustRightInd w:val="0"/>
        <w:jc w:val="both"/>
      </w:pPr>
      <w:r w:rsidRPr="000E5FC5">
        <w:rPr>
          <w:b/>
          <w:i/>
        </w:rPr>
        <w:t>FAMC No. 49 of 2019</w:t>
      </w:r>
    </w:p>
    <w:p w:rsidR="005C5847" w:rsidRPr="000E5FC5" w:rsidRDefault="005C5847" w:rsidP="005C5847">
      <w:pPr>
        <w:pStyle w:val="Bob1"/>
        <w:numPr>
          <w:ilvl w:val="0"/>
          <w:numId w:val="0"/>
        </w:numPr>
        <w:spacing w:after="0" w:line="240" w:lineRule="auto"/>
        <w:jc w:val="both"/>
      </w:pPr>
      <w:r w:rsidRPr="000E5FC5">
        <w:rPr>
          <w:rFonts w:eastAsia="宋体"/>
          <w:szCs w:val="20"/>
        </w:rPr>
        <w:t xml:space="preserve">Mr Clive Grossman SC and Mr Benson </w:t>
      </w:r>
      <w:proofErr w:type="spellStart"/>
      <w:r w:rsidRPr="000E5FC5">
        <w:rPr>
          <w:rFonts w:eastAsia="宋体"/>
          <w:szCs w:val="20"/>
        </w:rPr>
        <w:t>Tsoi</w:t>
      </w:r>
      <w:proofErr w:type="spellEnd"/>
      <w:r w:rsidRPr="000E5FC5">
        <w:rPr>
          <w:rFonts w:eastAsia="宋体"/>
          <w:szCs w:val="20"/>
        </w:rPr>
        <w:t>, instructed by Kwok, Ng &amp; Chan, for</w:t>
      </w:r>
      <w:r w:rsidRPr="000E5FC5">
        <w:rPr>
          <w:rFonts w:eastAsia="宋体"/>
          <w:color w:val="FF0000"/>
          <w:szCs w:val="20"/>
        </w:rPr>
        <w:t xml:space="preserve"> </w:t>
      </w:r>
      <w:r w:rsidRPr="000E5FC5">
        <w:t>the 1</w:t>
      </w:r>
      <w:r w:rsidRPr="000E5FC5">
        <w:rPr>
          <w:vertAlign w:val="superscript"/>
        </w:rPr>
        <w:t>st</w:t>
      </w:r>
      <w:r w:rsidRPr="000E5FC5">
        <w:t>, 2</w:t>
      </w:r>
      <w:r w:rsidRPr="000E5FC5">
        <w:rPr>
          <w:vertAlign w:val="superscript"/>
        </w:rPr>
        <w:t>nd</w:t>
      </w:r>
      <w:r w:rsidRPr="000E5FC5">
        <w:t>, 3</w:t>
      </w:r>
      <w:r w:rsidRPr="000E5FC5">
        <w:rPr>
          <w:vertAlign w:val="superscript"/>
        </w:rPr>
        <w:t>rd</w:t>
      </w:r>
      <w:r w:rsidRPr="000E5FC5">
        <w:t xml:space="preserve"> and 6</w:t>
      </w:r>
      <w:r w:rsidRPr="000E5FC5">
        <w:rPr>
          <w:vertAlign w:val="superscript"/>
        </w:rPr>
        <w:t xml:space="preserve">th </w:t>
      </w:r>
      <w:r w:rsidRPr="000E5FC5">
        <w:t xml:space="preserve">Applicants (D1, D2, D3 and D6) </w:t>
      </w:r>
    </w:p>
    <w:p w:rsidR="005C5847" w:rsidRPr="000E5FC5" w:rsidRDefault="005C5847" w:rsidP="005C5847">
      <w:pPr>
        <w:pStyle w:val="Bob1"/>
        <w:numPr>
          <w:ilvl w:val="0"/>
          <w:numId w:val="0"/>
        </w:numPr>
        <w:spacing w:after="0" w:line="240" w:lineRule="auto"/>
        <w:jc w:val="both"/>
      </w:pPr>
    </w:p>
    <w:p w:rsidR="005C5847" w:rsidRPr="000E5FC5" w:rsidRDefault="005C5847" w:rsidP="005C5847">
      <w:pPr>
        <w:pStyle w:val="Bob1"/>
        <w:numPr>
          <w:ilvl w:val="0"/>
          <w:numId w:val="0"/>
        </w:numPr>
        <w:spacing w:after="0" w:line="240" w:lineRule="auto"/>
        <w:jc w:val="both"/>
        <w:rPr>
          <w:rFonts w:eastAsia="宋体"/>
          <w:szCs w:val="20"/>
        </w:rPr>
      </w:pPr>
      <w:r w:rsidRPr="000E5FC5">
        <w:rPr>
          <w:rFonts w:eastAsia="宋体"/>
          <w:szCs w:val="20"/>
        </w:rPr>
        <w:t xml:space="preserve">Mr David Leung SC, DPP, Ms ‍Clara Ma SPP and Ms June Wong PP, of the Department of Justice, for the Respondent </w:t>
      </w:r>
    </w:p>
    <w:p w:rsidR="005C5847" w:rsidRPr="00BE3332" w:rsidRDefault="005C5847" w:rsidP="005C5847">
      <w:pPr>
        <w:pStyle w:val="Bob1"/>
        <w:numPr>
          <w:ilvl w:val="0"/>
          <w:numId w:val="0"/>
        </w:numPr>
        <w:ind w:left="720"/>
      </w:pPr>
    </w:p>
    <w:p w:rsidR="005C5847" w:rsidRPr="00BE3332" w:rsidRDefault="005C5847" w:rsidP="005C5847">
      <w:pPr>
        <w:pStyle w:val="Bob1"/>
        <w:numPr>
          <w:ilvl w:val="0"/>
          <w:numId w:val="0"/>
        </w:numPr>
        <w:ind w:left="720"/>
      </w:pPr>
    </w:p>
    <w:sectPr w:rsidR="005C5847" w:rsidRPr="00BE3332" w:rsidSect="000B07A7">
      <w:headerReference w:type="default" r:id="rId8"/>
      <w:pgSz w:w="11906" w:h="16838" w:code="9"/>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3D9" w:rsidRDefault="00F023D9" w:rsidP="00CC0407">
      <w:pPr>
        <w:spacing w:after="0" w:line="240" w:lineRule="auto"/>
      </w:pPr>
      <w:r>
        <w:separator/>
      </w:r>
    </w:p>
  </w:endnote>
  <w:endnote w:type="continuationSeparator" w:id="0">
    <w:p w:rsidR="00F023D9" w:rsidRDefault="00F023D9" w:rsidP="00CC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3D9" w:rsidRDefault="00F023D9" w:rsidP="00CC0407">
      <w:pPr>
        <w:spacing w:after="0" w:line="240" w:lineRule="auto"/>
      </w:pPr>
      <w:r>
        <w:separator/>
      </w:r>
    </w:p>
  </w:footnote>
  <w:footnote w:type="continuationSeparator" w:id="0">
    <w:p w:rsidR="00F023D9" w:rsidRDefault="00F023D9" w:rsidP="00CC0407">
      <w:pPr>
        <w:spacing w:after="0" w:line="240" w:lineRule="auto"/>
      </w:pPr>
      <w:r>
        <w:continuationSeparator/>
      </w:r>
    </w:p>
  </w:footnote>
  <w:footnote w:id="1">
    <w:p w:rsidR="002E7015" w:rsidRDefault="002E7015" w:rsidP="000B07A7">
      <w:pPr>
        <w:pStyle w:val="FootnoteText"/>
        <w:tabs>
          <w:tab w:val="left" w:pos="360"/>
        </w:tabs>
      </w:pPr>
      <w:r>
        <w:rPr>
          <w:rStyle w:val="FootnoteReference"/>
        </w:rPr>
        <w:footnoteRef/>
      </w:r>
      <w:r>
        <w:t xml:space="preserve"> </w:t>
      </w:r>
      <w:r>
        <w:tab/>
      </w:r>
      <w:r w:rsidRPr="0083371C">
        <w:rPr>
          <w:rFonts w:hint="eastAsia"/>
        </w:rPr>
        <w:t xml:space="preserve">DCCC </w:t>
      </w:r>
      <w:r w:rsidRPr="0083371C">
        <w:t>980</w:t>
      </w:r>
      <w:r w:rsidRPr="0083371C">
        <w:rPr>
          <w:rFonts w:hint="eastAsia"/>
        </w:rPr>
        <w:t>/201</w:t>
      </w:r>
      <w:r w:rsidRPr="0083371C">
        <w:t>5</w:t>
      </w:r>
      <w:r>
        <w:t xml:space="preserve"> (</w:t>
      </w:r>
      <w:r w:rsidR="00AD5D61">
        <w:t xml:space="preserve">Reasons for Verdict: </w:t>
      </w:r>
      <w:r>
        <w:t>14 February 2017).</w:t>
      </w:r>
    </w:p>
  </w:footnote>
  <w:footnote w:id="2">
    <w:p w:rsidR="002E7015" w:rsidRDefault="002E7015" w:rsidP="000B07A7">
      <w:pPr>
        <w:pStyle w:val="FootnoteText"/>
        <w:tabs>
          <w:tab w:val="left" w:pos="360"/>
        </w:tabs>
        <w:ind w:left="360" w:hanging="360"/>
        <w:jc w:val="both"/>
      </w:pPr>
      <w:r>
        <w:rPr>
          <w:rStyle w:val="FootnoteReference"/>
        </w:rPr>
        <w:footnoteRef/>
      </w:r>
      <w:r>
        <w:t xml:space="preserve"> </w:t>
      </w:r>
      <w:r>
        <w:tab/>
      </w:r>
      <w:proofErr w:type="spellStart"/>
      <w:r w:rsidRPr="00A26B6A">
        <w:t>Macrae</w:t>
      </w:r>
      <w:proofErr w:type="spellEnd"/>
      <w:r w:rsidRPr="00A26B6A">
        <w:t xml:space="preserve"> VP, </w:t>
      </w:r>
      <w:proofErr w:type="spellStart"/>
      <w:r w:rsidRPr="00A26B6A">
        <w:t>McWalters</w:t>
      </w:r>
      <w:proofErr w:type="spellEnd"/>
      <w:r w:rsidRPr="00A26B6A">
        <w:t xml:space="preserve"> JA and Poon JA [2019] HKCA 839</w:t>
      </w:r>
      <w:r>
        <w:t xml:space="preserve"> (</w:t>
      </w:r>
      <w:r w:rsidRPr="00A26B6A">
        <w:t>26 July 2019</w:t>
      </w:r>
      <w:r>
        <w:t>).</w:t>
      </w:r>
    </w:p>
  </w:footnote>
  <w:footnote w:id="3">
    <w:p w:rsidR="0049684C" w:rsidRPr="00D3435B" w:rsidRDefault="0049684C" w:rsidP="000B07A7">
      <w:pPr>
        <w:pStyle w:val="FootnoteText"/>
        <w:ind w:left="360" w:hanging="360"/>
        <w:jc w:val="both"/>
      </w:pPr>
      <w:r>
        <w:rPr>
          <w:rStyle w:val="FootnoteReference"/>
        </w:rPr>
        <w:footnoteRef/>
      </w:r>
      <w:r>
        <w:t xml:space="preserve"> </w:t>
      </w:r>
      <w:r>
        <w:tab/>
      </w:r>
      <w:r w:rsidR="00753B1A">
        <w:t>The spelling “</w:t>
      </w:r>
      <w:proofErr w:type="spellStart"/>
      <w:r w:rsidR="00753B1A">
        <w:t>voir</w:t>
      </w:r>
      <w:proofErr w:type="spellEnd"/>
      <w:r w:rsidR="00753B1A">
        <w:t xml:space="preserve"> dire” is frequently used but “</w:t>
      </w:r>
      <w:proofErr w:type="spellStart"/>
      <w:r w:rsidR="00753B1A">
        <w:t>voire</w:t>
      </w:r>
      <w:proofErr w:type="spellEnd"/>
      <w:r w:rsidR="00753B1A">
        <w:t xml:space="preserve"> dire” is preferred in this </w:t>
      </w:r>
      <w:r w:rsidR="00AD5D61">
        <w:t xml:space="preserve">Reasons for </w:t>
      </w:r>
      <w:r w:rsidR="00753B1A">
        <w:t>Determination.  It appears that “</w:t>
      </w:r>
      <w:proofErr w:type="spellStart"/>
      <w:r w:rsidR="00753B1A">
        <w:t>voire</w:t>
      </w:r>
      <w:proofErr w:type="spellEnd"/>
      <w:r w:rsidR="00753B1A">
        <w:t>” is derived from the Norman French: “</w:t>
      </w:r>
      <w:proofErr w:type="spellStart"/>
      <w:r w:rsidR="00753B1A">
        <w:t>Voire</w:t>
      </w:r>
      <w:proofErr w:type="spellEnd"/>
      <w:r w:rsidR="00753B1A">
        <w:t xml:space="preserve"> dire (Norm. Fr. </w:t>
      </w:r>
      <w:proofErr w:type="spellStart"/>
      <w:r w:rsidR="00753B1A" w:rsidRPr="00AD5D61">
        <w:rPr>
          <w:i/>
        </w:rPr>
        <w:t>voire</w:t>
      </w:r>
      <w:proofErr w:type="spellEnd"/>
      <w:r w:rsidR="00753B1A">
        <w:t xml:space="preserve">, true; </w:t>
      </w:r>
      <w:r w:rsidR="00753B1A" w:rsidRPr="00AD5D61">
        <w:rPr>
          <w:i/>
        </w:rPr>
        <w:t>dire</w:t>
      </w:r>
      <w:r w:rsidR="00753B1A">
        <w:t xml:space="preserve">, to speak; Fr. </w:t>
      </w:r>
      <w:proofErr w:type="spellStart"/>
      <w:r w:rsidR="00753B1A" w:rsidRPr="00AD5D61">
        <w:rPr>
          <w:i/>
        </w:rPr>
        <w:t>vrai</w:t>
      </w:r>
      <w:proofErr w:type="spellEnd"/>
      <w:r w:rsidR="00753B1A" w:rsidRPr="00AD5D61">
        <w:rPr>
          <w:i/>
        </w:rPr>
        <w:t xml:space="preserve"> dire</w:t>
      </w:r>
      <w:r w:rsidR="00AD5D61">
        <w:t xml:space="preserve">; Lat. </w:t>
      </w:r>
      <w:bookmarkStart w:id="0" w:name="_GoBack"/>
      <w:proofErr w:type="spellStart"/>
      <w:r w:rsidR="00AD5D61" w:rsidRPr="000D0991">
        <w:rPr>
          <w:i/>
        </w:rPr>
        <w:t>v</w:t>
      </w:r>
      <w:r w:rsidR="00753B1A" w:rsidRPr="000D0991">
        <w:rPr>
          <w:i/>
        </w:rPr>
        <w:t>eritatem</w:t>
      </w:r>
      <w:proofErr w:type="spellEnd"/>
      <w:r w:rsidR="00753B1A" w:rsidRPr="000D0991">
        <w:rPr>
          <w:i/>
        </w:rPr>
        <w:t xml:space="preserve"> </w:t>
      </w:r>
      <w:proofErr w:type="spellStart"/>
      <w:r w:rsidR="00753B1A" w:rsidRPr="000D0991">
        <w:rPr>
          <w:i/>
        </w:rPr>
        <w:t>dicere</w:t>
      </w:r>
      <w:bookmarkEnd w:id="0"/>
      <w:proofErr w:type="spellEnd"/>
      <w:r w:rsidR="00753B1A">
        <w:t>, to tell the truth</w:t>
      </w:r>
      <w:r w:rsidR="00AD5D61">
        <w:t>)</w:t>
      </w:r>
      <w:r w:rsidR="00753B1A">
        <w:t>”. (</w:t>
      </w:r>
      <w:proofErr w:type="spellStart"/>
      <w:r w:rsidR="00753B1A">
        <w:t>Jowitt’s</w:t>
      </w:r>
      <w:proofErr w:type="spellEnd"/>
      <w:r w:rsidR="00753B1A">
        <w:t xml:space="preserve"> Dictionary of English Law, 5</w:t>
      </w:r>
      <w:r w:rsidR="00753B1A" w:rsidRPr="00AD5D61">
        <w:rPr>
          <w:vertAlign w:val="superscript"/>
        </w:rPr>
        <w:t>th</w:t>
      </w:r>
      <w:r w:rsidR="00753B1A">
        <w:t xml:space="preserve"> Ed (Sweet &amp; Maxwell, 2019) pp 2628-2629).  This is traceable to at least the 18</w:t>
      </w:r>
      <w:r w:rsidR="00753B1A" w:rsidRPr="00AD5D61">
        <w:rPr>
          <w:vertAlign w:val="superscript"/>
        </w:rPr>
        <w:t>th</w:t>
      </w:r>
      <w:r w:rsidR="00753B1A">
        <w:t xml:space="preserve"> Century: See T Cunningham, A New and Complete Law Dictionary (3</w:t>
      </w:r>
      <w:r w:rsidR="00753B1A" w:rsidRPr="00AD5D61">
        <w:rPr>
          <w:vertAlign w:val="superscript"/>
        </w:rPr>
        <w:t xml:space="preserve">rd </w:t>
      </w:r>
      <w:r w:rsidR="00753B1A">
        <w:t xml:space="preserve">Ed, </w:t>
      </w:r>
      <w:r w:rsidR="00AD5D61">
        <w:t xml:space="preserve">Vol. II, </w:t>
      </w:r>
      <w:r w:rsidR="00753B1A">
        <w:t>1783): “</w:t>
      </w:r>
      <w:proofErr w:type="spellStart"/>
      <w:r w:rsidR="00753B1A">
        <w:t>Voire</w:t>
      </w:r>
      <w:proofErr w:type="spellEnd"/>
      <w:r w:rsidR="00753B1A">
        <w:t xml:space="preserve"> dire, (</w:t>
      </w:r>
      <w:proofErr w:type="spellStart"/>
      <w:r w:rsidR="00753B1A" w:rsidRPr="00AD5D61">
        <w:rPr>
          <w:i/>
        </w:rPr>
        <w:t>Veritatem</w:t>
      </w:r>
      <w:proofErr w:type="spellEnd"/>
      <w:r w:rsidR="00753B1A" w:rsidRPr="00AD5D61">
        <w:rPr>
          <w:i/>
        </w:rPr>
        <w:t xml:space="preserve"> </w:t>
      </w:r>
      <w:proofErr w:type="spellStart"/>
      <w:r w:rsidR="00753B1A" w:rsidRPr="00AD5D61">
        <w:rPr>
          <w:i/>
        </w:rPr>
        <w:t>dicere</w:t>
      </w:r>
      <w:proofErr w:type="spellEnd"/>
      <w:r w:rsidR="00753B1A">
        <w:t xml:space="preserve">,) When it is </w:t>
      </w:r>
      <w:proofErr w:type="spellStart"/>
      <w:r w:rsidR="00753B1A">
        <w:t>prayed</w:t>
      </w:r>
      <w:proofErr w:type="spellEnd"/>
      <w:r w:rsidR="00753B1A">
        <w:t xml:space="preserve"> upon a trial at law, that a witness may be sworn upon a </w:t>
      </w:r>
      <w:proofErr w:type="spellStart"/>
      <w:r w:rsidR="00753B1A" w:rsidRPr="00AD5D61">
        <w:rPr>
          <w:i/>
        </w:rPr>
        <w:t>voire</w:t>
      </w:r>
      <w:proofErr w:type="spellEnd"/>
      <w:r w:rsidR="00753B1A" w:rsidRPr="00AD5D61">
        <w:rPr>
          <w:i/>
        </w:rPr>
        <w:t xml:space="preserve"> dire</w:t>
      </w:r>
      <w:r w:rsidR="00753B1A">
        <w:t xml:space="preserve">; the meaning is, he shall upon his oath speak or declare the truth, whether he shall get or lose by matter of controversy; and if he be unconcerned his testimony is allowed, otherwise not.”  In </w:t>
      </w:r>
      <w:r w:rsidR="007D6B95">
        <w:t xml:space="preserve">some </w:t>
      </w:r>
      <w:r w:rsidR="00753B1A">
        <w:t xml:space="preserve">other dictionaries, the two spellings are treated as alternatives but the derivation from the Norman French, meaning “speak the truth”, is endorsed.  See </w:t>
      </w:r>
      <w:proofErr w:type="spellStart"/>
      <w:r w:rsidR="00753B1A">
        <w:t>eg</w:t>
      </w:r>
      <w:proofErr w:type="spellEnd"/>
      <w:r w:rsidR="00753B1A">
        <w:t>, Black’s Law Dictionary, 11</w:t>
      </w:r>
      <w:r w:rsidR="00753B1A" w:rsidRPr="00AD5D61">
        <w:rPr>
          <w:vertAlign w:val="superscript"/>
        </w:rPr>
        <w:t>th</w:t>
      </w:r>
      <w:r w:rsidR="00753B1A">
        <w:t xml:space="preserve"> Ed, Ed Bryan </w:t>
      </w:r>
      <w:proofErr w:type="gramStart"/>
      <w:r w:rsidR="00753B1A">
        <w:t>A</w:t>
      </w:r>
      <w:proofErr w:type="gramEnd"/>
      <w:r w:rsidR="00753B1A">
        <w:t xml:space="preserve"> Garner, at p 1886, which traces the phrase to the 17</w:t>
      </w:r>
      <w:r w:rsidR="00753B1A" w:rsidRPr="00AD5D61">
        <w:rPr>
          <w:vertAlign w:val="superscript"/>
        </w:rPr>
        <w:t>th</w:t>
      </w:r>
      <w:r w:rsidR="00AD5D61">
        <w:t xml:space="preserve"> Century; A</w:t>
      </w:r>
      <w:r w:rsidR="00753B1A">
        <w:t xml:space="preserve"> Dictionary of Law 9</w:t>
      </w:r>
      <w:r w:rsidR="00753B1A" w:rsidRPr="00AD5D61">
        <w:rPr>
          <w:vertAlign w:val="superscript"/>
        </w:rPr>
        <w:t>th</w:t>
      </w:r>
      <w:r w:rsidR="00753B1A">
        <w:t xml:space="preserve"> Ed, Ed Jonathan Law, (OUP) at p 719; Osborn’s Concise Law Dictionary, 12</w:t>
      </w:r>
      <w:r w:rsidR="00753B1A" w:rsidRPr="00AD5D61">
        <w:rPr>
          <w:vertAlign w:val="superscript"/>
        </w:rPr>
        <w:t>th</w:t>
      </w:r>
      <w:r w:rsidR="00753B1A">
        <w:t xml:space="preserve"> Ed, Ed Mick Woodley (Sweet &amp; Maxwell) at p 447 and Bryan A Garner, Garner’s Dictionary of Legal Usage, 3</w:t>
      </w:r>
      <w:r w:rsidR="00753B1A" w:rsidRPr="00D57608">
        <w:rPr>
          <w:vertAlign w:val="superscript"/>
        </w:rPr>
        <w:t>rd</w:t>
      </w:r>
      <w:r w:rsidR="00753B1A">
        <w:t xml:space="preserve"> Ed, at p 933</w:t>
      </w:r>
      <w:r w:rsidR="00B66A18">
        <w:t>.</w:t>
      </w:r>
    </w:p>
  </w:footnote>
  <w:footnote w:id="4">
    <w:p w:rsidR="002E7015" w:rsidRDefault="002E7015" w:rsidP="000B07A7">
      <w:pPr>
        <w:pStyle w:val="FootnoteText"/>
        <w:ind w:left="360" w:hanging="360"/>
        <w:jc w:val="both"/>
      </w:pPr>
      <w:r>
        <w:rPr>
          <w:rStyle w:val="FootnoteReference"/>
        </w:rPr>
        <w:footnoteRef/>
      </w:r>
      <w:r>
        <w:t xml:space="preserve"> </w:t>
      </w:r>
      <w:r>
        <w:tab/>
      </w:r>
      <w:r w:rsidR="00D57608">
        <w:t xml:space="preserve">Reasons for Verdict </w:t>
      </w:r>
      <w:r w:rsidRPr="00805D69">
        <w:t>§25</w:t>
      </w:r>
      <w:r>
        <w:t>.</w:t>
      </w:r>
    </w:p>
  </w:footnote>
  <w:footnote w:id="5">
    <w:p w:rsidR="002E7015" w:rsidRPr="007734ED" w:rsidRDefault="002E7015" w:rsidP="000B07A7">
      <w:pPr>
        <w:pStyle w:val="FootnoteText"/>
        <w:ind w:left="360" w:hanging="360"/>
        <w:jc w:val="both"/>
      </w:pPr>
      <w:r>
        <w:rPr>
          <w:rStyle w:val="FootnoteReference"/>
        </w:rPr>
        <w:footnoteRef/>
      </w:r>
      <w:r>
        <w:t xml:space="preserve"> </w:t>
      </w:r>
      <w:r>
        <w:tab/>
      </w:r>
      <w:proofErr w:type="spellStart"/>
      <w:r w:rsidR="00D57608">
        <w:rPr>
          <w:i/>
        </w:rPr>
        <w:t>Ho</w:t>
      </w:r>
      <w:proofErr w:type="spellEnd"/>
      <w:r w:rsidR="00D57608">
        <w:rPr>
          <w:i/>
        </w:rPr>
        <w:t xml:space="preserve"> </w:t>
      </w:r>
      <w:proofErr w:type="spellStart"/>
      <w:r w:rsidR="00D57608">
        <w:rPr>
          <w:i/>
        </w:rPr>
        <w:t>Yiu-fai</w:t>
      </w:r>
      <w:proofErr w:type="spellEnd"/>
      <w:r w:rsidR="00D57608">
        <w:rPr>
          <w:i/>
        </w:rPr>
        <w:t xml:space="preserve"> v The Queen</w:t>
      </w:r>
      <w:r>
        <w:rPr>
          <w:i/>
        </w:rPr>
        <w:t xml:space="preserve"> </w:t>
      </w:r>
      <w:r>
        <w:t>[1970] HKLR 415 at 420 per Briggs, Mills-Owens and Pickering JJ.</w:t>
      </w:r>
    </w:p>
  </w:footnote>
  <w:footnote w:id="6">
    <w:p w:rsidR="002E7015" w:rsidRPr="007150F6" w:rsidRDefault="002E7015" w:rsidP="000B07A7">
      <w:pPr>
        <w:pStyle w:val="FootnoteText"/>
        <w:ind w:left="360" w:hanging="360"/>
        <w:jc w:val="both"/>
      </w:pPr>
      <w:r>
        <w:rPr>
          <w:rStyle w:val="FootnoteReference"/>
        </w:rPr>
        <w:footnoteRef/>
      </w:r>
      <w:r>
        <w:t xml:space="preserve"> </w:t>
      </w:r>
      <w:r>
        <w:tab/>
        <w:t>Three main requirements of the alternative procedure were identified: “</w:t>
      </w:r>
      <w:r w:rsidRPr="007734ED">
        <w:t>(l) to ensure that the defence is not left with the wrong impression</w:t>
      </w:r>
      <w:r>
        <w:t xml:space="preserve"> [that his right of cross-examination is limited to the issue of admissibility]</w:t>
      </w:r>
      <w:r w:rsidRPr="007734ED">
        <w:t>; (2) to ensure that the accused is heard on the issue of admissibility if he so wishes and (3) to ensure that a ruling on the admissibility is made at or before the close of the case for the prosecution so that the accused may be aware of the s</w:t>
      </w:r>
      <w:r>
        <w:t>trength of the case against him</w:t>
      </w:r>
      <w:r w:rsidR="00D57608">
        <w:t>”</w:t>
      </w:r>
      <w:r>
        <w:t xml:space="preserve">: </w:t>
      </w:r>
      <w:r>
        <w:rPr>
          <w:i/>
        </w:rPr>
        <w:t xml:space="preserve">Ibid </w:t>
      </w:r>
      <w:r>
        <w:t>at 422.</w:t>
      </w:r>
    </w:p>
  </w:footnote>
  <w:footnote w:id="7">
    <w:p w:rsidR="002E7015" w:rsidRDefault="002E7015" w:rsidP="000B07A7">
      <w:pPr>
        <w:pStyle w:val="FootnoteText"/>
        <w:ind w:left="360" w:hanging="360"/>
        <w:jc w:val="both"/>
      </w:pPr>
      <w:r>
        <w:rPr>
          <w:rStyle w:val="FootnoteReference"/>
        </w:rPr>
        <w:footnoteRef/>
      </w:r>
      <w:r>
        <w:t xml:space="preserve"> </w:t>
      </w:r>
      <w:r>
        <w:tab/>
        <w:t xml:space="preserve">In a judgment delivered by </w:t>
      </w:r>
      <w:proofErr w:type="spellStart"/>
      <w:r>
        <w:t>McMullin</w:t>
      </w:r>
      <w:proofErr w:type="spellEnd"/>
      <w:r>
        <w:t xml:space="preserve"> J, dated 18 September 1974 for the Court, but reported only in [1992] 2 HK</w:t>
      </w:r>
      <w:r w:rsidR="00D57608">
        <w:t>C</w:t>
      </w:r>
      <w:r>
        <w:t>LR 1.</w:t>
      </w:r>
    </w:p>
  </w:footnote>
  <w:footnote w:id="8">
    <w:p w:rsidR="00D57608" w:rsidRPr="00D57608" w:rsidRDefault="00D57608" w:rsidP="00D57608">
      <w:pPr>
        <w:pStyle w:val="FootnoteText"/>
        <w:tabs>
          <w:tab w:val="left" w:pos="360"/>
        </w:tabs>
      </w:pPr>
      <w:r>
        <w:rPr>
          <w:rStyle w:val="FootnoteReference"/>
        </w:rPr>
        <w:footnoteRef/>
      </w:r>
      <w:r>
        <w:t xml:space="preserve"> </w:t>
      </w:r>
      <w:r>
        <w:tab/>
      </w:r>
      <w:r>
        <w:rPr>
          <w:i/>
        </w:rPr>
        <w:t>The Queen v Leung Siu-ng</w:t>
      </w:r>
      <w:r>
        <w:t xml:space="preserve"> [1992] 2 HKCLR 1 at 5.</w:t>
      </w:r>
    </w:p>
  </w:footnote>
  <w:footnote w:id="9">
    <w:p w:rsidR="002E7015" w:rsidRPr="00EA0A7F" w:rsidRDefault="002E7015" w:rsidP="000B07A7">
      <w:pPr>
        <w:pStyle w:val="FootnoteText"/>
        <w:tabs>
          <w:tab w:val="left" w:pos="360"/>
        </w:tabs>
        <w:jc w:val="both"/>
      </w:pPr>
      <w:r>
        <w:rPr>
          <w:rStyle w:val="FootnoteReference"/>
        </w:rPr>
        <w:footnoteRef/>
      </w:r>
      <w:r>
        <w:t xml:space="preserve"> </w:t>
      </w:r>
      <w:r>
        <w:tab/>
      </w:r>
      <w:r w:rsidR="00D57608">
        <w:rPr>
          <w:i/>
        </w:rPr>
        <w:t>Ibid.</w:t>
      </w:r>
    </w:p>
  </w:footnote>
  <w:footnote w:id="10">
    <w:p w:rsidR="0006341F" w:rsidRDefault="0006341F" w:rsidP="000B07A7">
      <w:pPr>
        <w:pStyle w:val="FootnoteText"/>
        <w:tabs>
          <w:tab w:val="left" w:pos="360"/>
        </w:tabs>
        <w:jc w:val="both"/>
      </w:pPr>
      <w:r>
        <w:rPr>
          <w:rStyle w:val="FootnoteReference"/>
        </w:rPr>
        <w:footnoteRef/>
      </w:r>
      <w:r>
        <w:t xml:space="preserve"> </w:t>
      </w:r>
      <w:r>
        <w:tab/>
        <w:t>A similar approach was adopted regarding video recordings from other sources.</w:t>
      </w:r>
    </w:p>
  </w:footnote>
  <w:footnote w:id="11">
    <w:p w:rsidR="002E7015" w:rsidRDefault="002E7015" w:rsidP="000B07A7">
      <w:pPr>
        <w:pStyle w:val="FootnoteText"/>
        <w:tabs>
          <w:tab w:val="left" w:pos="360"/>
        </w:tabs>
        <w:jc w:val="both"/>
      </w:pPr>
      <w:r>
        <w:rPr>
          <w:rStyle w:val="FootnoteReference"/>
        </w:rPr>
        <w:footnoteRef/>
      </w:r>
      <w:r w:rsidR="00D57608">
        <w:t xml:space="preserve"> </w:t>
      </w:r>
      <w:r w:rsidR="00D57608">
        <w:tab/>
        <w:t xml:space="preserve">Reasons for Verdict </w:t>
      </w:r>
      <w:r>
        <w:t xml:space="preserve">§§90, 92. </w:t>
      </w:r>
    </w:p>
  </w:footnote>
  <w:footnote w:id="12">
    <w:p w:rsidR="00B83560" w:rsidRDefault="00B83560" w:rsidP="000B07A7">
      <w:pPr>
        <w:pStyle w:val="FootnoteText"/>
        <w:tabs>
          <w:tab w:val="left" w:pos="360"/>
        </w:tabs>
        <w:jc w:val="both"/>
      </w:pPr>
      <w:r>
        <w:rPr>
          <w:rStyle w:val="FootnoteReference"/>
        </w:rPr>
        <w:footnoteRef/>
      </w:r>
      <w:r>
        <w:t xml:space="preserve"> </w:t>
      </w:r>
      <w:r>
        <w:tab/>
        <w:t xml:space="preserve">See Court of Appeal </w:t>
      </w:r>
      <w:r w:rsidRPr="00A26B6A">
        <w:t>[2019] HKCA 839</w:t>
      </w:r>
      <w:r>
        <w:t xml:space="preserve"> at §§10</w:t>
      </w:r>
      <w:r w:rsidR="00D57608">
        <w:t>-11</w:t>
      </w:r>
      <w:r>
        <w:t>, 115-124.</w:t>
      </w:r>
    </w:p>
  </w:footnote>
  <w:footnote w:id="13">
    <w:p w:rsidR="002E7015" w:rsidRDefault="002E7015" w:rsidP="000B07A7">
      <w:pPr>
        <w:pStyle w:val="FootnoteText"/>
        <w:tabs>
          <w:tab w:val="left" w:pos="360"/>
        </w:tabs>
      </w:pPr>
      <w:r>
        <w:rPr>
          <w:rStyle w:val="FootnoteReference"/>
        </w:rPr>
        <w:footnoteRef/>
      </w:r>
      <w:r w:rsidR="00D57608">
        <w:t xml:space="preserve"> </w:t>
      </w:r>
      <w:r w:rsidR="00D57608">
        <w:tab/>
        <w:t xml:space="preserve">Reasons for Verdict </w:t>
      </w:r>
      <w:r>
        <w:t xml:space="preserve">§§93-98. </w:t>
      </w:r>
    </w:p>
  </w:footnote>
  <w:footnote w:id="14">
    <w:p w:rsidR="002E7015" w:rsidRDefault="002E7015" w:rsidP="000B07A7">
      <w:pPr>
        <w:pStyle w:val="FootnoteText"/>
        <w:tabs>
          <w:tab w:val="left" w:pos="360"/>
        </w:tabs>
      </w:pPr>
      <w:r>
        <w:rPr>
          <w:rStyle w:val="FootnoteReference"/>
        </w:rPr>
        <w:footnoteRef/>
      </w:r>
      <w:r w:rsidR="00D57608">
        <w:t xml:space="preserve"> </w:t>
      </w:r>
      <w:r w:rsidR="00D57608">
        <w:tab/>
        <w:t xml:space="preserve">Reasons for Verdict </w:t>
      </w:r>
      <w:r>
        <w:t>§§99-103.</w:t>
      </w:r>
    </w:p>
  </w:footnote>
  <w:footnote w:id="15">
    <w:p w:rsidR="002E7015" w:rsidRDefault="002E7015" w:rsidP="000B07A7">
      <w:pPr>
        <w:pStyle w:val="FootnoteText"/>
        <w:tabs>
          <w:tab w:val="left" w:pos="360"/>
        </w:tabs>
      </w:pPr>
      <w:r>
        <w:rPr>
          <w:rStyle w:val="FootnoteReference"/>
        </w:rPr>
        <w:footnoteRef/>
      </w:r>
      <w:r w:rsidR="00D57608">
        <w:t xml:space="preserve"> </w:t>
      </w:r>
      <w:r w:rsidR="00D57608">
        <w:tab/>
        <w:t xml:space="preserve">Reasons for Verdict </w:t>
      </w:r>
      <w:r>
        <w:t>§§104-117.</w:t>
      </w:r>
    </w:p>
  </w:footnote>
  <w:footnote w:id="16">
    <w:p w:rsidR="00EF12D6" w:rsidRDefault="00EF12D6" w:rsidP="000B07A7">
      <w:pPr>
        <w:pStyle w:val="FootnoteText"/>
        <w:tabs>
          <w:tab w:val="left" w:pos="360"/>
        </w:tabs>
      </w:pPr>
      <w:r>
        <w:rPr>
          <w:rStyle w:val="FootnoteReference"/>
        </w:rPr>
        <w:footnoteRef/>
      </w:r>
      <w:r w:rsidR="00D57608">
        <w:t xml:space="preserve"> </w:t>
      </w:r>
      <w:r w:rsidR="00D57608">
        <w:tab/>
        <w:t xml:space="preserve">Reasons for Verdict </w:t>
      </w:r>
      <w:r>
        <w:t xml:space="preserve">§§12 and 27.  </w:t>
      </w:r>
    </w:p>
  </w:footnote>
  <w:footnote w:id="17">
    <w:p w:rsidR="00EF12D6" w:rsidRDefault="00EF12D6" w:rsidP="000B07A7">
      <w:pPr>
        <w:pStyle w:val="FootnoteText"/>
        <w:tabs>
          <w:tab w:val="left" w:pos="360"/>
        </w:tabs>
      </w:pPr>
      <w:r>
        <w:rPr>
          <w:rStyle w:val="FootnoteReference"/>
        </w:rPr>
        <w:footnoteRef/>
      </w:r>
      <w:r w:rsidR="00D57608">
        <w:t xml:space="preserve"> </w:t>
      </w:r>
      <w:r w:rsidR="00D57608">
        <w:tab/>
        <w:t xml:space="preserve">Reasons for Verdict </w:t>
      </w:r>
      <w:r>
        <w:t>§27.</w:t>
      </w:r>
    </w:p>
  </w:footnote>
  <w:footnote w:id="18">
    <w:p w:rsidR="00861D37" w:rsidRDefault="00861D37" w:rsidP="000B07A7">
      <w:pPr>
        <w:pStyle w:val="FootnoteText"/>
        <w:tabs>
          <w:tab w:val="left" w:pos="360"/>
        </w:tabs>
      </w:pPr>
      <w:r>
        <w:rPr>
          <w:rStyle w:val="FootnoteReference"/>
        </w:rPr>
        <w:footnoteRef/>
      </w:r>
      <w:r>
        <w:t xml:space="preserve"> </w:t>
      </w:r>
      <w:r>
        <w:tab/>
        <w:t xml:space="preserve">On </w:t>
      </w:r>
      <w:r w:rsidRPr="00861D37">
        <w:t>28 June 2016</w:t>
      </w:r>
      <w:r w:rsidR="00154ACE">
        <w:t xml:space="preserve">, </w:t>
      </w:r>
      <w:r w:rsidR="00D57608">
        <w:t>Day 17</w:t>
      </w:r>
      <w:r>
        <w:t>.</w:t>
      </w:r>
    </w:p>
  </w:footnote>
  <w:footnote w:id="19">
    <w:p w:rsidR="002E7015" w:rsidRDefault="002E7015" w:rsidP="000B07A7">
      <w:pPr>
        <w:pStyle w:val="FootnoteText"/>
        <w:tabs>
          <w:tab w:val="left" w:pos="360"/>
        </w:tabs>
      </w:pPr>
      <w:r>
        <w:rPr>
          <w:rStyle w:val="FootnoteReference"/>
        </w:rPr>
        <w:footnoteRef/>
      </w:r>
      <w:r w:rsidR="00D57608">
        <w:t xml:space="preserve"> </w:t>
      </w:r>
      <w:r w:rsidR="00D57608">
        <w:tab/>
        <w:t xml:space="preserve">Reasons for Verdict </w:t>
      </w:r>
      <w:r>
        <w:t>§118.</w:t>
      </w:r>
    </w:p>
  </w:footnote>
  <w:footnote w:id="20">
    <w:p w:rsidR="002E7015" w:rsidRDefault="002E7015" w:rsidP="000B07A7">
      <w:pPr>
        <w:pStyle w:val="FootnoteText"/>
        <w:tabs>
          <w:tab w:val="left" w:pos="360"/>
        </w:tabs>
        <w:ind w:left="360" w:hanging="360"/>
        <w:jc w:val="both"/>
      </w:pPr>
      <w:r>
        <w:rPr>
          <w:rStyle w:val="FootnoteReference"/>
        </w:rPr>
        <w:footnoteRef/>
      </w:r>
      <w:r w:rsidR="00D57608">
        <w:t xml:space="preserve"> </w:t>
      </w:r>
      <w:r w:rsidR="00D57608">
        <w:tab/>
        <w:t xml:space="preserve">Reasons for Verdict </w:t>
      </w:r>
      <w:r>
        <w:t>§119.</w:t>
      </w:r>
    </w:p>
  </w:footnote>
  <w:footnote w:id="21">
    <w:p w:rsidR="00D57608" w:rsidRPr="00D57608" w:rsidRDefault="00D57608" w:rsidP="00D57608">
      <w:pPr>
        <w:pStyle w:val="FootnoteText"/>
        <w:tabs>
          <w:tab w:val="left" w:pos="360"/>
        </w:tabs>
      </w:pPr>
      <w:r>
        <w:rPr>
          <w:rStyle w:val="FootnoteReference"/>
        </w:rPr>
        <w:footnoteRef/>
      </w:r>
      <w:r>
        <w:t xml:space="preserve"> </w:t>
      </w:r>
      <w:r>
        <w:tab/>
        <w:t>Reasons for Verdict §§164-165.</w:t>
      </w:r>
    </w:p>
  </w:footnote>
  <w:footnote w:id="22">
    <w:p w:rsidR="00761245" w:rsidRDefault="00761245" w:rsidP="000B07A7">
      <w:pPr>
        <w:pStyle w:val="FootnoteText"/>
        <w:tabs>
          <w:tab w:val="left" w:pos="360"/>
        </w:tabs>
        <w:ind w:left="360" w:hanging="360"/>
        <w:jc w:val="both"/>
      </w:pPr>
      <w:r>
        <w:rPr>
          <w:rStyle w:val="FootnoteReference"/>
        </w:rPr>
        <w:footnoteRef/>
      </w:r>
      <w:r>
        <w:t xml:space="preserve"> </w:t>
      </w:r>
      <w:r>
        <w:tab/>
      </w:r>
      <w:r w:rsidRPr="007F0538">
        <w:t>12</w:t>
      </w:r>
      <w:r w:rsidRPr="00D57608">
        <w:rPr>
          <w:vertAlign w:val="superscript"/>
        </w:rPr>
        <w:t>th</w:t>
      </w:r>
      <w:r w:rsidRPr="007F0538">
        <w:t xml:space="preserve"> edition, </w:t>
      </w:r>
      <w:r w:rsidR="00D57608">
        <w:t xml:space="preserve">at </w:t>
      </w:r>
      <w:r w:rsidRPr="007F0538">
        <w:t>p 184</w:t>
      </w:r>
      <w:r w:rsidR="00496168">
        <w:t>, in the current 13</w:t>
      </w:r>
      <w:r w:rsidR="00496168" w:rsidRPr="00A82C26">
        <w:rPr>
          <w:vertAlign w:val="superscript"/>
        </w:rPr>
        <w:t>th</w:t>
      </w:r>
      <w:r w:rsidR="00496168">
        <w:t xml:space="preserve"> edition, at p 187</w:t>
      </w:r>
      <w:r>
        <w:t xml:space="preserve">.  The Judge also referred to </w:t>
      </w:r>
      <w:proofErr w:type="spellStart"/>
      <w:r>
        <w:t>O’Floinn</w:t>
      </w:r>
      <w:proofErr w:type="spellEnd"/>
      <w:r>
        <w:t xml:space="preserve"> and </w:t>
      </w:r>
      <w:proofErr w:type="spellStart"/>
      <w:r>
        <w:t>Ormerod</w:t>
      </w:r>
      <w:proofErr w:type="spellEnd"/>
      <w:r>
        <w:t>, “Social Networking Material as Crimin</w:t>
      </w:r>
      <w:r w:rsidR="00D57608">
        <w:t>al Evidence” in [2012] Crim L</w:t>
      </w:r>
      <w:r>
        <w:t>R 486, which is to like effect.</w:t>
      </w:r>
    </w:p>
  </w:footnote>
  <w:footnote w:id="23">
    <w:p w:rsidR="002E7015" w:rsidRDefault="002E7015" w:rsidP="000B07A7">
      <w:pPr>
        <w:pStyle w:val="FootnoteText"/>
        <w:tabs>
          <w:tab w:val="left" w:pos="360"/>
        </w:tabs>
      </w:pPr>
      <w:r>
        <w:rPr>
          <w:rStyle w:val="FootnoteReference"/>
        </w:rPr>
        <w:footnoteRef/>
      </w:r>
      <w:r>
        <w:t xml:space="preserve"> </w:t>
      </w:r>
      <w:r>
        <w:tab/>
        <w:t xml:space="preserve">Poon Ag CJHC, </w:t>
      </w:r>
      <w:proofErr w:type="spellStart"/>
      <w:r>
        <w:t>Macrae</w:t>
      </w:r>
      <w:proofErr w:type="spellEnd"/>
      <w:r>
        <w:t xml:space="preserve"> VP and </w:t>
      </w:r>
      <w:proofErr w:type="spellStart"/>
      <w:r>
        <w:t>McWalters</w:t>
      </w:r>
      <w:proofErr w:type="spellEnd"/>
      <w:r>
        <w:t xml:space="preserve"> JA </w:t>
      </w:r>
      <w:r w:rsidRPr="0047735B">
        <w:t>[2019</w:t>
      </w:r>
      <w:r>
        <w:t>] HKCA 1204 at §4.</w:t>
      </w:r>
    </w:p>
  </w:footnote>
  <w:footnote w:id="24">
    <w:p w:rsidR="002E7015" w:rsidRPr="006B04B0" w:rsidRDefault="002E7015" w:rsidP="000B07A7">
      <w:pPr>
        <w:pStyle w:val="FootnoteText"/>
        <w:tabs>
          <w:tab w:val="left" w:pos="360"/>
        </w:tabs>
        <w:ind w:left="360" w:hanging="360"/>
        <w:jc w:val="both"/>
      </w:pPr>
      <w:r>
        <w:rPr>
          <w:rStyle w:val="FootnoteReference"/>
        </w:rPr>
        <w:footnoteRef/>
      </w:r>
      <w:r>
        <w:t xml:space="preserve"> </w:t>
      </w:r>
      <w:r>
        <w:tab/>
        <w:t xml:space="preserve">Note that a </w:t>
      </w:r>
      <w:proofErr w:type="spellStart"/>
      <w:r>
        <w:t>voire</w:t>
      </w:r>
      <w:proofErr w:type="spellEnd"/>
      <w:r>
        <w:t xml:space="preserve"> dire on the admissibility of an admission or confession involves different considerations and may require, for instance, proof of voluntariness beyond reasonable doubt:  </w:t>
      </w:r>
      <w:r w:rsidRPr="00665CD9">
        <w:rPr>
          <w:rFonts w:eastAsia="PMingLiU"/>
          <w:i/>
          <w:lang w:eastAsia="zh-TW"/>
        </w:rPr>
        <w:t xml:space="preserve">R </w:t>
      </w:r>
      <w:r w:rsidRPr="00665CD9">
        <w:rPr>
          <w:rFonts w:eastAsia="等线"/>
          <w:i/>
        </w:rPr>
        <w:t>v</w:t>
      </w:r>
      <w:r w:rsidRPr="00665CD9">
        <w:rPr>
          <w:rFonts w:eastAsia="PMingLiU"/>
          <w:i/>
          <w:lang w:eastAsia="zh-HK"/>
        </w:rPr>
        <w:t xml:space="preserve"> Robson </w:t>
      </w:r>
      <w:r w:rsidRPr="00665CD9">
        <w:rPr>
          <w:rFonts w:eastAsia="PMingLiU"/>
          <w:lang w:eastAsia="zh-HK"/>
        </w:rPr>
        <w:t>[1972] 1 WLR 651</w:t>
      </w:r>
      <w:r>
        <w:rPr>
          <w:rFonts w:eastAsia="PMingLiU"/>
          <w:lang w:eastAsia="zh-HK"/>
        </w:rPr>
        <w:t xml:space="preserve"> at 654</w:t>
      </w:r>
      <w:r>
        <w:t>.</w:t>
      </w:r>
    </w:p>
  </w:footnote>
  <w:footnote w:id="25">
    <w:p w:rsidR="002E7015" w:rsidRDefault="002E7015" w:rsidP="000B07A7">
      <w:pPr>
        <w:pStyle w:val="FootnoteText"/>
        <w:tabs>
          <w:tab w:val="left" w:pos="360"/>
        </w:tabs>
        <w:ind w:left="360" w:hanging="360"/>
        <w:jc w:val="both"/>
      </w:pPr>
      <w:r>
        <w:rPr>
          <w:rStyle w:val="FootnoteReference"/>
        </w:rPr>
        <w:footnoteRef/>
      </w:r>
      <w:r>
        <w:t xml:space="preserve"> </w:t>
      </w:r>
      <w:r>
        <w:tab/>
      </w:r>
      <w:r w:rsidRPr="00665CD9">
        <w:rPr>
          <w:rFonts w:eastAsia="PMingLiU"/>
          <w:lang w:eastAsia="zh-HK"/>
        </w:rPr>
        <w:t>[1972] 1 WLR 651</w:t>
      </w:r>
      <w:r>
        <w:rPr>
          <w:rFonts w:eastAsia="PMingLiU"/>
          <w:lang w:eastAsia="zh-HK"/>
        </w:rPr>
        <w:t>.</w:t>
      </w:r>
    </w:p>
  </w:footnote>
  <w:footnote w:id="26">
    <w:p w:rsidR="002E7015" w:rsidRPr="004966C2" w:rsidRDefault="002E7015" w:rsidP="000B07A7">
      <w:pPr>
        <w:pStyle w:val="FootnoteText"/>
        <w:tabs>
          <w:tab w:val="left" w:pos="360"/>
        </w:tabs>
        <w:ind w:left="360" w:hanging="360"/>
        <w:jc w:val="both"/>
      </w:pPr>
      <w:r>
        <w:rPr>
          <w:rStyle w:val="FootnoteReference"/>
        </w:rPr>
        <w:footnoteRef/>
      </w:r>
      <w:r>
        <w:t xml:space="preserve"> </w:t>
      </w:r>
      <w:r>
        <w:tab/>
      </w:r>
      <w:r>
        <w:rPr>
          <w:i/>
        </w:rPr>
        <w:t xml:space="preserve">Ibid </w:t>
      </w:r>
      <w:r>
        <w:t xml:space="preserve">at </w:t>
      </w:r>
      <w:r w:rsidRPr="00CE7F51">
        <w:t>653-654</w:t>
      </w:r>
      <w:r w:rsidR="00D57608">
        <w:t xml:space="preserve"> and see also</w:t>
      </w:r>
      <w:r w:rsidR="00D8383C" w:rsidRPr="00D8383C">
        <w:t xml:space="preserve"> 655H-656A</w:t>
      </w:r>
      <w:r>
        <w:t>.</w:t>
      </w:r>
      <w:r>
        <w:rPr>
          <w:i/>
        </w:rPr>
        <w:t xml:space="preserve"> </w:t>
      </w:r>
      <w:r>
        <w:t xml:space="preserve"> It may be noted that </w:t>
      </w:r>
      <w:r w:rsidR="0067507F">
        <w:t xml:space="preserve">certain </w:t>
      </w:r>
      <w:r>
        <w:t xml:space="preserve">commentators and in some subsequent decided cases including </w:t>
      </w:r>
      <w:r w:rsidR="00D8383C" w:rsidRPr="00D8383C">
        <w:t xml:space="preserve">cases from Australia, New Zealand and Canada </w:t>
      </w:r>
      <w:r w:rsidR="00D8383C">
        <w:t xml:space="preserve">and, in Hong Kong, </w:t>
      </w:r>
      <w:r w:rsidRPr="00665CD9">
        <w:rPr>
          <w:rFonts w:eastAsia="等线"/>
          <w:i/>
        </w:rPr>
        <w:t xml:space="preserve">Choi Kit </w:t>
      </w:r>
      <w:proofErr w:type="spellStart"/>
      <w:r w:rsidRPr="00665CD9">
        <w:rPr>
          <w:rFonts w:eastAsia="等线"/>
          <w:i/>
        </w:rPr>
        <w:t>Kau</w:t>
      </w:r>
      <w:proofErr w:type="spellEnd"/>
      <w:r w:rsidRPr="00665CD9">
        <w:rPr>
          <w:rFonts w:eastAsia="等线"/>
          <w:i/>
        </w:rPr>
        <w:t xml:space="preserve"> v R</w:t>
      </w:r>
      <w:r w:rsidRPr="00665CD9">
        <w:rPr>
          <w:rFonts w:eastAsia="等线"/>
        </w:rPr>
        <w:t xml:space="preserve"> [1980] HKLR 433</w:t>
      </w:r>
      <w:r>
        <w:rPr>
          <w:rFonts w:eastAsia="等线"/>
        </w:rPr>
        <w:t xml:space="preserve">, </w:t>
      </w:r>
      <w:r>
        <w:rPr>
          <w:rFonts w:eastAsia="等线"/>
          <w:i/>
        </w:rPr>
        <w:t>Robson</w:t>
      </w:r>
      <w:r>
        <w:rPr>
          <w:rFonts w:eastAsia="等线"/>
        </w:rPr>
        <w:t xml:space="preserve"> </w:t>
      </w:r>
      <w:r w:rsidR="0067507F">
        <w:rPr>
          <w:rFonts w:eastAsia="等线"/>
        </w:rPr>
        <w:t xml:space="preserve">has been </w:t>
      </w:r>
      <w:r>
        <w:rPr>
          <w:rFonts w:eastAsia="等线"/>
        </w:rPr>
        <w:t xml:space="preserve">taken to be a case espousing </w:t>
      </w:r>
      <w:r w:rsidR="0067507F">
        <w:rPr>
          <w:rFonts w:eastAsia="等线"/>
        </w:rPr>
        <w:t>a</w:t>
      </w:r>
      <w:r>
        <w:rPr>
          <w:rFonts w:eastAsia="等线"/>
        </w:rPr>
        <w:t xml:space="preserve"> “balance of probabilities” standard for deciding upon admissibility at the </w:t>
      </w:r>
      <w:proofErr w:type="spellStart"/>
      <w:r>
        <w:rPr>
          <w:rFonts w:eastAsia="等线"/>
        </w:rPr>
        <w:t>voire</w:t>
      </w:r>
      <w:proofErr w:type="spellEnd"/>
      <w:r>
        <w:rPr>
          <w:rFonts w:eastAsia="等线"/>
        </w:rPr>
        <w:t xml:space="preserve"> dire stage.  While it is true that Shaw J actually adopted that standard in </w:t>
      </w:r>
      <w:r>
        <w:rPr>
          <w:rFonts w:eastAsia="等线"/>
          <w:i/>
        </w:rPr>
        <w:t>Robson</w:t>
      </w:r>
      <w:r>
        <w:rPr>
          <w:rFonts w:eastAsia="等线"/>
        </w:rPr>
        <w:t>, he did so at the express request of both parties but made it clear that in principle he regarded the applicable standard to be that requiring “prima facie evidence” of authenticity.</w:t>
      </w:r>
    </w:p>
  </w:footnote>
  <w:footnote w:id="27">
    <w:p w:rsidR="002E7015" w:rsidRDefault="002E7015" w:rsidP="000B07A7">
      <w:pPr>
        <w:pStyle w:val="FootnoteText"/>
        <w:tabs>
          <w:tab w:val="left" w:pos="360"/>
        </w:tabs>
        <w:ind w:left="360" w:hanging="360"/>
        <w:jc w:val="both"/>
      </w:pPr>
      <w:r>
        <w:rPr>
          <w:rStyle w:val="FootnoteReference"/>
        </w:rPr>
        <w:footnoteRef/>
      </w:r>
      <w:r>
        <w:t xml:space="preserve"> </w:t>
      </w:r>
      <w:r>
        <w:tab/>
      </w:r>
      <w:r w:rsidRPr="00665CD9">
        <w:rPr>
          <w:rFonts w:eastAsia="等线"/>
        </w:rPr>
        <w:t>[1990] NI 306</w:t>
      </w:r>
      <w:r w:rsidR="008368BE">
        <w:rPr>
          <w:rFonts w:eastAsia="等线"/>
        </w:rPr>
        <w:t xml:space="preserve"> at 342-343</w:t>
      </w:r>
      <w:r>
        <w:rPr>
          <w:rFonts w:eastAsia="等线"/>
        </w:rPr>
        <w:t>.</w:t>
      </w:r>
    </w:p>
  </w:footnote>
  <w:footnote w:id="28">
    <w:p w:rsidR="00B11824" w:rsidRDefault="00B11824" w:rsidP="000B07A7">
      <w:pPr>
        <w:pStyle w:val="FootnoteText"/>
        <w:tabs>
          <w:tab w:val="left" w:pos="360"/>
        </w:tabs>
      </w:pPr>
      <w:r>
        <w:rPr>
          <w:rStyle w:val="FootnoteReference"/>
        </w:rPr>
        <w:footnoteRef/>
      </w:r>
      <w:r>
        <w:t xml:space="preserve"> </w:t>
      </w:r>
      <w:r>
        <w:tab/>
      </w:r>
      <w:r w:rsidRPr="00B11824">
        <w:rPr>
          <w:rFonts w:eastAsia="Arial"/>
          <w:color w:val="000000"/>
        </w:rPr>
        <w:t xml:space="preserve">[2004] EWCA </w:t>
      </w:r>
      <w:r w:rsidR="00D57608">
        <w:rPr>
          <w:rFonts w:eastAsia="Arial"/>
          <w:color w:val="000000"/>
        </w:rPr>
        <w:t xml:space="preserve">Crim </w:t>
      </w:r>
      <w:r w:rsidRPr="00B11824">
        <w:rPr>
          <w:rFonts w:eastAsia="Arial"/>
          <w:color w:val="000000"/>
        </w:rPr>
        <w:t>311</w:t>
      </w:r>
      <w:r w:rsidR="002F37E5">
        <w:rPr>
          <w:rFonts w:eastAsia="Arial"/>
          <w:color w:val="000000"/>
        </w:rPr>
        <w:t xml:space="preserve"> at §§51-54</w:t>
      </w:r>
      <w:r>
        <w:rPr>
          <w:rFonts w:eastAsia="Arial"/>
          <w:color w:val="000000"/>
        </w:rPr>
        <w:t>.</w:t>
      </w:r>
    </w:p>
  </w:footnote>
  <w:footnote w:id="29">
    <w:p w:rsidR="00C3286C" w:rsidRDefault="00C3286C" w:rsidP="000B07A7">
      <w:pPr>
        <w:pStyle w:val="FootnoteText"/>
        <w:tabs>
          <w:tab w:val="left" w:pos="360"/>
        </w:tabs>
      </w:pPr>
      <w:r>
        <w:rPr>
          <w:rStyle w:val="FootnoteReference"/>
        </w:rPr>
        <w:footnoteRef/>
      </w:r>
      <w:r>
        <w:t xml:space="preserve"> </w:t>
      </w:r>
      <w:r>
        <w:tab/>
      </w:r>
      <w:r w:rsidRPr="00665CD9">
        <w:rPr>
          <w:rFonts w:eastAsia="等线"/>
        </w:rPr>
        <w:t>[2003] 3 HKLRD 751</w:t>
      </w:r>
      <w:r>
        <w:rPr>
          <w:rFonts w:eastAsia="等线"/>
        </w:rPr>
        <w:t>.</w:t>
      </w:r>
    </w:p>
  </w:footnote>
  <w:footnote w:id="30">
    <w:p w:rsidR="00076472" w:rsidRDefault="00076472" w:rsidP="000B07A7">
      <w:pPr>
        <w:pStyle w:val="FootnoteText"/>
        <w:tabs>
          <w:tab w:val="left" w:pos="360"/>
        </w:tabs>
      </w:pPr>
      <w:r>
        <w:rPr>
          <w:rStyle w:val="FootnoteReference"/>
        </w:rPr>
        <w:footnoteRef/>
      </w:r>
      <w:r>
        <w:t xml:space="preserve"> </w:t>
      </w:r>
      <w:r>
        <w:tab/>
        <w:t xml:space="preserve">At </w:t>
      </w:r>
      <w:r w:rsidRPr="00C3286C">
        <w:rPr>
          <w:rFonts w:eastAsia="等线"/>
        </w:rPr>
        <w:t>§37</w:t>
      </w:r>
      <w:r>
        <w:rPr>
          <w:rFonts w:eastAsia="等线"/>
        </w:rPr>
        <w:t xml:space="preserve">, per Stuart-Moore VP.  </w:t>
      </w:r>
    </w:p>
  </w:footnote>
  <w:footnote w:id="31">
    <w:p w:rsidR="0087767A" w:rsidRDefault="0087767A" w:rsidP="000B07A7">
      <w:pPr>
        <w:pStyle w:val="FootnoteText"/>
        <w:tabs>
          <w:tab w:val="left" w:pos="360"/>
        </w:tabs>
      </w:pPr>
      <w:r>
        <w:rPr>
          <w:rStyle w:val="FootnoteReference"/>
        </w:rPr>
        <w:footnoteRef/>
      </w:r>
      <w:r>
        <w:t xml:space="preserve"> </w:t>
      </w:r>
      <w:r>
        <w:tab/>
      </w:r>
      <w:r w:rsidRPr="00D72CAA">
        <w:rPr>
          <w:rFonts w:eastAsia="PMingLiU"/>
          <w:lang w:eastAsia="zh-TW"/>
        </w:rPr>
        <w:t>(2013) 16 HKCFAR 609</w:t>
      </w:r>
      <w:r>
        <w:rPr>
          <w:rFonts w:eastAsia="PMingLiU"/>
          <w:lang w:eastAsia="zh-TW"/>
        </w:rPr>
        <w:t>.</w:t>
      </w:r>
    </w:p>
  </w:footnote>
  <w:footnote w:id="32">
    <w:p w:rsidR="00DB188B" w:rsidRPr="00DB188B" w:rsidRDefault="00DB188B" w:rsidP="000B07A7">
      <w:pPr>
        <w:pStyle w:val="FootnoteText"/>
        <w:tabs>
          <w:tab w:val="left" w:pos="360"/>
        </w:tabs>
      </w:pPr>
      <w:r>
        <w:rPr>
          <w:rStyle w:val="FootnoteReference"/>
        </w:rPr>
        <w:footnoteRef/>
      </w:r>
      <w:r>
        <w:t xml:space="preserve"> </w:t>
      </w:r>
      <w:r>
        <w:tab/>
      </w:r>
      <w:r>
        <w:rPr>
          <w:i/>
        </w:rPr>
        <w:t xml:space="preserve">Ibid </w:t>
      </w:r>
      <w:r>
        <w:t>at §§43 and 52.</w:t>
      </w:r>
      <w:r>
        <w:rPr>
          <w:i/>
        </w:rPr>
        <w:t xml:space="preserve"> </w:t>
      </w:r>
    </w:p>
  </w:footnote>
  <w:footnote w:id="33">
    <w:p w:rsidR="00DB188B" w:rsidRPr="00DB188B" w:rsidRDefault="00DB188B" w:rsidP="000B07A7">
      <w:pPr>
        <w:pStyle w:val="FootnoteText"/>
        <w:tabs>
          <w:tab w:val="left" w:pos="360"/>
        </w:tabs>
      </w:pPr>
      <w:r>
        <w:rPr>
          <w:rStyle w:val="FootnoteReference"/>
        </w:rPr>
        <w:footnoteRef/>
      </w:r>
      <w:r>
        <w:t xml:space="preserve"> </w:t>
      </w:r>
      <w:r>
        <w:tab/>
      </w:r>
      <w:r>
        <w:rPr>
          <w:i/>
        </w:rPr>
        <w:t xml:space="preserve">Ibid </w:t>
      </w:r>
      <w:r>
        <w:t>at §54.</w:t>
      </w:r>
    </w:p>
  </w:footnote>
  <w:footnote w:id="34">
    <w:p w:rsidR="004B4C7E" w:rsidRPr="00B9296A" w:rsidRDefault="004B4C7E" w:rsidP="000B07A7">
      <w:pPr>
        <w:pStyle w:val="FootnoteText"/>
        <w:tabs>
          <w:tab w:val="left" w:pos="360"/>
        </w:tabs>
      </w:pPr>
      <w:r>
        <w:rPr>
          <w:rStyle w:val="FootnoteReference"/>
        </w:rPr>
        <w:footnoteRef/>
      </w:r>
      <w:r>
        <w:t xml:space="preserve"> </w:t>
      </w:r>
      <w:r>
        <w:tab/>
      </w:r>
      <w:r w:rsidR="00D57608">
        <w:t xml:space="preserve">Court of Appeal </w:t>
      </w:r>
      <w:r w:rsidRPr="0047735B">
        <w:t>[2019</w:t>
      </w:r>
      <w:r>
        <w:t>] HKCA 1204 at §§6-7.</w:t>
      </w:r>
    </w:p>
  </w:footnote>
  <w:footnote w:id="35">
    <w:p w:rsidR="004B4C7E" w:rsidRPr="00B9296A" w:rsidRDefault="004B4C7E" w:rsidP="000B07A7">
      <w:pPr>
        <w:pStyle w:val="FootnoteText"/>
        <w:tabs>
          <w:tab w:val="left" w:pos="360"/>
        </w:tabs>
      </w:pPr>
      <w:r>
        <w:rPr>
          <w:rStyle w:val="FootnoteReference"/>
        </w:rPr>
        <w:footnoteRef/>
      </w:r>
      <w:r>
        <w:t xml:space="preserve"> </w:t>
      </w:r>
      <w:r>
        <w:tab/>
      </w:r>
      <w:r>
        <w:rPr>
          <w:i/>
        </w:rPr>
        <w:t>Ibid</w:t>
      </w:r>
      <w:r>
        <w:t xml:space="preserve"> at §8.</w:t>
      </w:r>
    </w:p>
  </w:footnote>
  <w:footnote w:id="36">
    <w:p w:rsidR="003575CB" w:rsidRPr="00BB58FE" w:rsidRDefault="003575CB" w:rsidP="000B07A7">
      <w:pPr>
        <w:pStyle w:val="FootnoteText"/>
        <w:tabs>
          <w:tab w:val="left" w:pos="360"/>
        </w:tabs>
        <w:rPr>
          <w:i/>
        </w:rPr>
      </w:pPr>
      <w:r>
        <w:rPr>
          <w:rStyle w:val="FootnoteReference"/>
        </w:rPr>
        <w:footnoteRef/>
      </w:r>
      <w:r>
        <w:t xml:space="preserve"> </w:t>
      </w:r>
      <w:r>
        <w:tab/>
      </w:r>
      <w:r>
        <w:rPr>
          <w:i/>
        </w:rPr>
        <w:t xml:space="preserve">Ibid </w:t>
      </w:r>
      <w:r>
        <w:t>at §10.</w:t>
      </w:r>
      <w:r>
        <w:rPr>
          <w:i/>
        </w:rPr>
        <w:t xml:space="preserve"> </w:t>
      </w:r>
    </w:p>
  </w:footnote>
  <w:footnote w:id="37">
    <w:p w:rsidR="003575CB" w:rsidRDefault="003575CB" w:rsidP="000B07A7">
      <w:pPr>
        <w:pStyle w:val="FootnoteText"/>
        <w:tabs>
          <w:tab w:val="left" w:pos="360"/>
        </w:tabs>
      </w:pPr>
      <w:r>
        <w:rPr>
          <w:rStyle w:val="FootnoteReference"/>
        </w:rPr>
        <w:footnoteRef/>
      </w:r>
      <w:r>
        <w:t xml:space="preserve"> </w:t>
      </w:r>
      <w:r>
        <w:tab/>
      </w:r>
      <w:proofErr w:type="spellStart"/>
      <w:r>
        <w:t>Macrae</w:t>
      </w:r>
      <w:proofErr w:type="spellEnd"/>
      <w:r>
        <w:t xml:space="preserve"> VP, </w:t>
      </w:r>
      <w:proofErr w:type="spellStart"/>
      <w:r>
        <w:t>McWalters</w:t>
      </w:r>
      <w:proofErr w:type="spellEnd"/>
      <w:r>
        <w:t xml:space="preserve"> JA and Poon JA </w:t>
      </w:r>
      <w:r w:rsidRPr="0047735B">
        <w:t>[2019</w:t>
      </w:r>
      <w:r w:rsidR="009247F9">
        <w:t>] HKCA 839 at</w:t>
      </w:r>
      <w:r>
        <w:t xml:space="preserve"> §122.</w:t>
      </w:r>
    </w:p>
  </w:footnote>
  <w:footnote w:id="38">
    <w:p w:rsidR="003575CB" w:rsidRDefault="003575CB" w:rsidP="000B07A7">
      <w:pPr>
        <w:pStyle w:val="FootnoteText"/>
        <w:tabs>
          <w:tab w:val="left" w:pos="360"/>
        </w:tabs>
      </w:pPr>
      <w:r>
        <w:rPr>
          <w:rStyle w:val="FootnoteReference"/>
        </w:rPr>
        <w:footnoteRef/>
      </w:r>
      <w:r>
        <w:t xml:space="preserve"> </w:t>
      </w:r>
      <w:r>
        <w:tab/>
      </w:r>
      <w:r w:rsidR="00D57608">
        <w:rPr>
          <w:i/>
        </w:rPr>
        <w:t>Ibid</w:t>
      </w:r>
      <w:r>
        <w:t xml:space="preserve"> at §164.</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8582"/>
      <w:docPartObj>
        <w:docPartGallery w:val="Page Numbers (Top of Page)"/>
        <w:docPartUnique/>
      </w:docPartObj>
    </w:sdtPr>
    <w:sdtEndPr/>
    <w:sdtContent>
      <w:p w:rsidR="002E7015" w:rsidRDefault="002E7015">
        <w:pPr>
          <w:pStyle w:val="Header"/>
          <w:jc w:val="center"/>
        </w:pPr>
        <w:r>
          <w:t>-</w:t>
        </w:r>
        <w:r>
          <w:fldChar w:fldCharType="begin"/>
        </w:r>
        <w:r>
          <w:instrText xml:space="preserve"> PAGE   \* MERGEFORMAT </w:instrText>
        </w:r>
        <w:r>
          <w:fldChar w:fldCharType="separate"/>
        </w:r>
        <w:r w:rsidR="000D0991">
          <w:rPr>
            <w:noProof/>
          </w:rPr>
          <w:t>15</w:t>
        </w:r>
        <w:r>
          <w:rPr>
            <w:noProof/>
          </w:rPr>
          <w:fldChar w:fldCharType="end"/>
        </w:r>
        <w:r>
          <w:t>-</w:t>
        </w:r>
      </w:p>
    </w:sdtContent>
  </w:sdt>
  <w:p w:rsidR="002E7015" w:rsidRDefault="002E70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24284230"/>
    <w:multiLevelType w:val="multilevel"/>
    <w:tmpl w:val="B86A6CEC"/>
    <w:lvl w:ilvl="0">
      <w:start w:val="1"/>
      <w:numFmt w:val="decimal"/>
      <w:pStyle w:val="Bob1"/>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0"/>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4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ADB"/>
    <w:rsid w:val="000073F3"/>
    <w:rsid w:val="00016FC9"/>
    <w:rsid w:val="0004068A"/>
    <w:rsid w:val="000467B4"/>
    <w:rsid w:val="000473AD"/>
    <w:rsid w:val="0005384A"/>
    <w:rsid w:val="00054BFB"/>
    <w:rsid w:val="0006341F"/>
    <w:rsid w:val="0006357E"/>
    <w:rsid w:val="00073084"/>
    <w:rsid w:val="00076472"/>
    <w:rsid w:val="0008441F"/>
    <w:rsid w:val="000B07A7"/>
    <w:rsid w:val="000B7069"/>
    <w:rsid w:val="000C40B1"/>
    <w:rsid w:val="000C516E"/>
    <w:rsid w:val="000D0991"/>
    <w:rsid w:val="000D259B"/>
    <w:rsid w:val="000D4169"/>
    <w:rsid w:val="000D501A"/>
    <w:rsid w:val="000E18EF"/>
    <w:rsid w:val="000F2BC2"/>
    <w:rsid w:val="0010345D"/>
    <w:rsid w:val="00124090"/>
    <w:rsid w:val="001421D8"/>
    <w:rsid w:val="00142C97"/>
    <w:rsid w:val="00142F47"/>
    <w:rsid w:val="00143E48"/>
    <w:rsid w:val="00146A2B"/>
    <w:rsid w:val="001502BD"/>
    <w:rsid w:val="00150B93"/>
    <w:rsid w:val="00154ACE"/>
    <w:rsid w:val="00155EFA"/>
    <w:rsid w:val="00180CB8"/>
    <w:rsid w:val="00193A07"/>
    <w:rsid w:val="001A2838"/>
    <w:rsid w:val="001B3700"/>
    <w:rsid w:val="001C5210"/>
    <w:rsid w:val="001D3173"/>
    <w:rsid w:val="001D3883"/>
    <w:rsid w:val="001E7B1E"/>
    <w:rsid w:val="001F4B36"/>
    <w:rsid w:val="00212803"/>
    <w:rsid w:val="002324C2"/>
    <w:rsid w:val="00256CC7"/>
    <w:rsid w:val="00280173"/>
    <w:rsid w:val="002B532A"/>
    <w:rsid w:val="002D024F"/>
    <w:rsid w:val="002D6CBF"/>
    <w:rsid w:val="002E11C1"/>
    <w:rsid w:val="002E7015"/>
    <w:rsid w:val="002F37E5"/>
    <w:rsid w:val="00332436"/>
    <w:rsid w:val="003359A1"/>
    <w:rsid w:val="00342C1D"/>
    <w:rsid w:val="003575CB"/>
    <w:rsid w:val="00362DE1"/>
    <w:rsid w:val="003667CA"/>
    <w:rsid w:val="00371A31"/>
    <w:rsid w:val="00381897"/>
    <w:rsid w:val="003821B2"/>
    <w:rsid w:val="00387231"/>
    <w:rsid w:val="003A38F9"/>
    <w:rsid w:val="003B0B9D"/>
    <w:rsid w:val="003B6FE7"/>
    <w:rsid w:val="003F04B1"/>
    <w:rsid w:val="003F124C"/>
    <w:rsid w:val="003F3D77"/>
    <w:rsid w:val="003F7894"/>
    <w:rsid w:val="0041075D"/>
    <w:rsid w:val="0041338E"/>
    <w:rsid w:val="00436137"/>
    <w:rsid w:val="0046781C"/>
    <w:rsid w:val="0047232F"/>
    <w:rsid w:val="004735C1"/>
    <w:rsid w:val="004767F3"/>
    <w:rsid w:val="00496168"/>
    <w:rsid w:val="004966C2"/>
    <w:rsid w:val="0049684C"/>
    <w:rsid w:val="00497FF4"/>
    <w:rsid w:val="004B4C7E"/>
    <w:rsid w:val="004C10B1"/>
    <w:rsid w:val="004D3CE9"/>
    <w:rsid w:val="004D6831"/>
    <w:rsid w:val="004E2477"/>
    <w:rsid w:val="004F1232"/>
    <w:rsid w:val="00500E4F"/>
    <w:rsid w:val="00501FE1"/>
    <w:rsid w:val="00504253"/>
    <w:rsid w:val="00553079"/>
    <w:rsid w:val="00556172"/>
    <w:rsid w:val="005607A5"/>
    <w:rsid w:val="005742C8"/>
    <w:rsid w:val="00580CD2"/>
    <w:rsid w:val="005A4AD0"/>
    <w:rsid w:val="005A6AF6"/>
    <w:rsid w:val="005A7B9F"/>
    <w:rsid w:val="005B51FA"/>
    <w:rsid w:val="005C5847"/>
    <w:rsid w:val="005C618B"/>
    <w:rsid w:val="005C7FDD"/>
    <w:rsid w:val="005E7939"/>
    <w:rsid w:val="005F4BA5"/>
    <w:rsid w:val="006016BE"/>
    <w:rsid w:val="00603597"/>
    <w:rsid w:val="00617A16"/>
    <w:rsid w:val="006417C4"/>
    <w:rsid w:val="0067253E"/>
    <w:rsid w:val="0067507F"/>
    <w:rsid w:val="006868B0"/>
    <w:rsid w:val="00694648"/>
    <w:rsid w:val="006B04B0"/>
    <w:rsid w:val="006B6FBB"/>
    <w:rsid w:val="006F6C50"/>
    <w:rsid w:val="00711664"/>
    <w:rsid w:val="00711ACD"/>
    <w:rsid w:val="007150F6"/>
    <w:rsid w:val="00720D32"/>
    <w:rsid w:val="007269AF"/>
    <w:rsid w:val="007363BA"/>
    <w:rsid w:val="00745951"/>
    <w:rsid w:val="00753B1A"/>
    <w:rsid w:val="00756AB7"/>
    <w:rsid w:val="00761245"/>
    <w:rsid w:val="00761EC7"/>
    <w:rsid w:val="007734ED"/>
    <w:rsid w:val="0077722B"/>
    <w:rsid w:val="007953BA"/>
    <w:rsid w:val="007A1D2B"/>
    <w:rsid w:val="007A1FBA"/>
    <w:rsid w:val="007A29C8"/>
    <w:rsid w:val="007A6749"/>
    <w:rsid w:val="007C0BCC"/>
    <w:rsid w:val="007D27AB"/>
    <w:rsid w:val="007D6B95"/>
    <w:rsid w:val="007E3C7D"/>
    <w:rsid w:val="007F40F5"/>
    <w:rsid w:val="007F4105"/>
    <w:rsid w:val="0080624B"/>
    <w:rsid w:val="00811081"/>
    <w:rsid w:val="00811C95"/>
    <w:rsid w:val="008368BE"/>
    <w:rsid w:val="00861D37"/>
    <w:rsid w:val="0087557C"/>
    <w:rsid w:val="0087767A"/>
    <w:rsid w:val="00884713"/>
    <w:rsid w:val="00886ABE"/>
    <w:rsid w:val="008A1593"/>
    <w:rsid w:val="008A3F41"/>
    <w:rsid w:val="008C651E"/>
    <w:rsid w:val="008D6ECC"/>
    <w:rsid w:val="008F13AC"/>
    <w:rsid w:val="00904D2E"/>
    <w:rsid w:val="009061E1"/>
    <w:rsid w:val="00913DFA"/>
    <w:rsid w:val="009247F9"/>
    <w:rsid w:val="00932FBD"/>
    <w:rsid w:val="009424A5"/>
    <w:rsid w:val="00943BCC"/>
    <w:rsid w:val="009470B6"/>
    <w:rsid w:val="0095110A"/>
    <w:rsid w:val="00970DE3"/>
    <w:rsid w:val="00976B5C"/>
    <w:rsid w:val="00983A3D"/>
    <w:rsid w:val="009A0D4B"/>
    <w:rsid w:val="009B0ADB"/>
    <w:rsid w:val="009C402A"/>
    <w:rsid w:val="009C7992"/>
    <w:rsid w:val="00A12ACC"/>
    <w:rsid w:val="00A175F7"/>
    <w:rsid w:val="00A26B6A"/>
    <w:rsid w:val="00A35519"/>
    <w:rsid w:val="00A57143"/>
    <w:rsid w:val="00A63673"/>
    <w:rsid w:val="00A65FCE"/>
    <w:rsid w:val="00A76AAE"/>
    <w:rsid w:val="00A82C26"/>
    <w:rsid w:val="00A872F0"/>
    <w:rsid w:val="00A87B14"/>
    <w:rsid w:val="00AB0343"/>
    <w:rsid w:val="00AB3DC4"/>
    <w:rsid w:val="00AC7218"/>
    <w:rsid w:val="00AD0206"/>
    <w:rsid w:val="00AD0477"/>
    <w:rsid w:val="00AD3A5E"/>
    <w:rsid w:val="00AD5D61"/>
    <w:rsid w:val="00AE51B8"/>
    <w:rsid w:val="00AF3475"/>
    <w:rsid w:val="00AF5C22"/>
    <w:rsid w:val="00AF60C7"/>
    <w:rsid w:val="00AF6FC6"/>
    <w:rsid w:val="00B11824"/>
    <w:rsid w:val="00B147B4"/>
    <w:rsid w:val="00B205BD"/>
    <w:rsid w:val="00B23689"/>
    <w:rsid w:val="00B32973"/>
    <w:rsid w:val="00B35981"/>
    <w:rsid w:val="00B37A8B"/>
    <w:rsid w:val="00B4647C"/>
    <w:rsid w:val="00B62620"/>
    <w:rsid w:val="00B66A18"/>
    <w:rsid w:val="00B83560"/>
    <w:rsid w:val="00BA2DC0"/>
    <w:rsid w:val="00BA666E"/>
    <w:rsid w:val="00BA71B0"/>
    <w:rsid w:val="00BB1F52"/>
    <w:rsid w:val="00BB6594"/>
    <w:rsid w:val="00BC1266"/>
    <w:rsid w:val="00BC6269"/>
    <w:rsid w:val="00BD6C49"/>
    <w:rsid w:val="00BF481B"/>
    <w:rsid w:val="00C079A9"/>
    <w:rsid w:val="00C1117B"/>
    <w:rsid w:val="00C12778"/>
    <w:rsid w:val="00C3286C"/>
    <w:rsid w:val="00C32FE0"/>
    <w:rsid w:val="00C80468"/>
    <w:rsid w:val="00C97233"/>
    <w:rsid w:val="00CB21DD"/>
    <w:rsid w:val="00CC0407"/>
    <w:rsid w:val="00CC281E"/>
    <w:rsid w:val="00CD3B8D"/>
    <w:rsid w:val="00CE7F51"/>
    <w:rsid w:val="00D01FCE"/>
    <w:rsid w:val="00D2349E"/>
    <w:rsid w:val="00D3435B"/>
    <w:rsid w:val="00D45807"/>
    <w:rsid w:val="00D5500F"/>
    <w:rsid w:val="00D57608"/>
    <w:rsid w:val="00D60638"/>
    <w:rsid w:val="00D8383C"/>
    <w:rsid w:val="00D83A62"/>
    <w:rsid w:val="00D87097"/>
    <w:rsid w:val="00DB188B"/>
    <w:rsid w:val="00DE003C"/>
    <w:rsid w:val="00DE3982"/>
    <w:rsid w:val="00DF2C04"/>
    <w:rsid w:val="00DF7559"/>
    <w:rsid w:val="00E02EC6"/>
    <w:rsid w:val="00E05D88"/>
    <w:rsid w:val="00E23949"/>
    <w:rsid w:val="00E26BC0"/>
    <w:rsid w:val="00E60E45"/>
    <w:rsid w:val="00E66D1E"/>
    <w:rsid w:val="00E71E50"/>
    <w:rsid w:val="00E720AA"/>
    <w:rsid w:val="00E733BF"/>
    <w:rsid w:val="00E869BC"/>
    <w:rsid w:val="00E87E3F"/>
    <w:rsid w:val="00EA0A7F"/>
    <w:rsid w:val="00EA4A24"/>
    <w:rsid w:val="00EA6DD3"/>
    <w:rsid w:val="00ED297B"/>
    <w:rsid w:val="00EF12D6"/>
    <w:rsid w:val="00F01E6F"/>
    <w:rsid w:val="00F023D9"/>
    <w:rsid w:val="00F06941"/>
    <w:rsid w:val="00F0712F"/>
    <w:rsid w:val="00F17167"/>
    <w:rsid w:val="00F55A7F"/>
    <w:rsid w:val="00F5699D"/>
    <w:rsid w:val="00F6375C"/>
    <w:rsid w:val="00F70127"/>
    <w:rsid w:val="00F73260"/>
    <w:rsid w:val="00F808DD"/>
    <w:rsid w:val="00F85A2C"/>
    <w:rsid w:val="00F915C7"/>
    <w:rsid w:val="00FC4C8A"/>
    <w:rsid w:val="00FE69F9"/>
    <w:rsid w:val="00FF474E"/>
    <w:rsid w:val="00FF5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EF341-2243-44AC-B007-B22F8DED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8"/>
        <w:szCs w:val="28"/>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FF4"/>
    <w:rPr>
      <w:lang w:val="en-GB"/>
    </w:rPr>
  </w:style>
  <w:style w:type="paragraph" w:styleId="Heading1">
    <w:name w:val="heading 1"/>
    <w:basedOn w:val="Normal"/>
    <w:next w:val="Normal"/>
    <w:link w:val="Heading1Char"/>
    <w:uiPriority w:val="9"/>
    <w:qFormat/>
    <w:rsid w:val="00BA2DC0"/>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3">
    <w:name w:val="heading 3"/>
    <w:basedOn w:val="Normal"/>
    <w:next w:val="Normal"/>
    <w:link w:val="Heading3Char"/>
    <w:uiPriority w:val="9"/>
    <w:semiHidden/>
    <w:unhideWhenUsed/>
    <w:qFormat/>
    <w:rsid w:val="005C58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tty">
    <w:name w:val="Kitty"/>
    <w:link w:val="KittyChar"/>
    <w:qFormat/>
    <w:rsid w:val="00BA2DC0"/>
    <w:pPr>
      <w:kinsoku w:val="0"/>
      <w:autoSpaceDE w:val="0"/>
      <w:autoSpaceDN w:val="0"/>
      <w:snapToGrid w:val="0"/>
      <w:spacing w:after="240" w:line="360" w:lineRule="auto"/>
    </w:pPr>
    <w:rPr>
      <w:lang w:val="en-GB"/>
    </w:rPr>
  </w:style>
  <w:style w:type="character" w:customStyle="1" w:styleId="KittyChar">
    <w:name w:val="Kitty Char"/>
    <w:basedOn w:val="DefaultParagraphFont"/>
    <w:link w:val="Kitty"/>
    <w:rsid w:val="00BA2DC0"/>
    <w:rPr>
      <w:rFonts w:ascii="Times New Roman" w:eastAsia="宋体" w:hAnsi="Times New Roman" w:cs="Times New Roman"/>
      <w:sz w:val="28"/>
      <w:szCs w:val="24"/>
      <w:lang w:val="en-GB" w:eastAsia="zh-CN"/>
    </w:rPr>
  </w:style>
  <w:style w:type="paragraph" w:customStyle="1" w:styleId="Bob1">
    <w:name w:val="Bob 1"/>
    <w:link w:val="Bob1Char"/>
    <w:qFormat/>
    <w:rsid w:val="00D2349E"/>
    <w:pPr>
      <w:numPr>
        <w:numId w:val="11"/>
      </w:numPr>
      <w:kinsoku w:val="0"/>
      <w:autoSpaceDE w:val="0"/>
      <w:autoSpaceDN w:val="0"/>
      <w:snapToGrid w:val="0"/>
      <w:spacing w:after="240" w:line="360" w:lineRule="auto"/>
    </w:pPr>
    <w:rPr>
      <w:lang w:val="en-GB"/>
    </w:rPr>
  </w:style>
  <w:style w:type="character" w:customStyle="1" w:styleId="Bob1Char">
    <w:name w:val="Bob 1 Char"/>
    <w:basedOn w:val="DefaultParagraphFont"/>
    <w:link w:val="Bob1"/>
    <w:rsid w:val="00D2349E"/>
    <w:rPr>
      <w:iCs/>
      <w:sz w:val="28"/>
      <w:szCs w:val="22"/>
      <w:lang w:val="en-GB" w:eastAsia="zh-CN"/>
    </w:rPr>
  </w:style>
  <w:style w:type="paragraph" w:customStyle="1" w:styleId="judge">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character" w:customStyle="1" w:styleId="Heading1Char">
    <w:name w:val="Heading 1 Char"/>
    <w:basedOn w:val="DefaultParagraphFont"/>
    <w:link w:val="Heading1"/>
    <w:uiPriority w:val="9"/>
    <w:rsid w:val="00BA2DC0"/>
    <w:rPr>
      <w:rFonts w:asciiTheme="majorHAnsi" w:eastAsiaTheme="majorEastAsia" w:hAnsiTheme="majorHAnsi" w:cstheme="majorBidi"/>
      <w:b/>
      <w:bCs/>
      <w:color w:val="365F91" w:themeColor="accent1" w:themeShade="BF"/>
      <w:sz w:val="28"/>
      <w:szCs w:val="28"/>
    </w:rPr>
  </w:style>
  <w:style w:type="paragraph" w:customStyle="1" w:styleId="Judge0">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paragraph" w:customStyle="1" w:styleId="Draft">
    <w:name w:val="Draft"/>
    <w:basedOn w:val="Normal"/>
    <w:rsid w:val="00BA2DC0"/>
    <w:pPr>
      <w:numPr>
        <w:numId w:val="7"/>
      </w:numPr>
      <w:tabs>
        <w:tab w:val="left" w:pos="1440"/>
      </w:tabs>
      <w:snapToGrid w:val="0"/>
      <w:spacing w:before="360" w:after="0" w:line="360" w:lineRule="auto"/>
    </w:pPr>
    <w:rPr>
      <w:rFonts w:eastAsia="MingLiU"/>
    </w:rPr>
  </w:style>
  <w:style w:type="paragraph" w:customStyle="1" w:styleId="docmapheading">
    <w:name w:val="doc map heading"/>
    <w:basedOn w:val="DocumentMap"/>
    <w:link w:val="docmapheadingChar"/>
    <w:qFormat/>
    <w:rsid w:val="009C402A"/>
    <w:pPr>
      <w:spacing w:before="120" w:after="360" w:line="276" w:lineRule="auto"/>
      <w:outlineLvl w:val="1"/>
    </w:pPr>
    <w:rPr>
      <w:rFonts w:ascii="Times New Roman" w:eastAsia="PMingLiU" w:hAnsi="Times New Roman"/>
      <w:i/>
      <w:spacing w:val="15"/>
      <w:sz w:val="28"/>
      <w:szCs w:val="28"/>
    </w:rPr>
  </w:style>
  <w:style w:type="paragraph" w:styleId="Subtitle">
    <w:name w:val="Subtitle"/>
    <w:basedOn w:val="Normal"/>
    <w:next w:val="Normal"/>
    <w:link w:val="SubtitleChar"/>
    <w:uiPriority w:val="11"/>
    <w:qFormat/>
    <w:rsid w:val="00AB0343"/>
    <w:pPr>
      <w:numPr>
        <w:ilvl w:val="1"/>
      </w:numPr>
    </w:pPr>
    <w:rPr>
      <w:rFonts w:asciiTheme="majorHAnsi" w:eastAsiaTheme="majorEastAsia" w:hAnsiTheme="majorHAnsi" w:cstheme="majorBidi"/>
      <w:color w:val="4F81BD" w:themeColor="accent1"/>
      <w:spacing w:val="15"/>
    </w:rPr>
  </w:style>
  <w:style w:type="character" w:customStyle="1" w:styleId="SubtitleChar">
    <w:name w:val="Subtitle Char"/>
    <w:basedOn w:val="DefaultParagraphFont"/>
    <w:link w:val="Subtitle"/>
    <w:uiPriority w:val="11"/>
    <w:rsid w:val="00AB0343"/>
    <w:rPr>
      <w:rFonts w:asciiTheme="majorHAnsi" w:eastAsiaTheme="majorEastAsia" w:hAnsiTheme="majorHAnsi" w:cstheme="majorBidi"/>
      <w:i/>
      <w:iCs/>
      <w:color w:val="4F81BD" w:themeColor="accent1"/>
      <w:spacing w:val="15"/>
      <w:sz w:val="24"/>
      <w:szCs w:val="24"/>
      <w:lang w:val="en-GB"/>
    </w:rPr>
  </w:style>
  <w:style w:type="character" w:customStyle="1" w:styleId="docmapheadingChar">
    <w:name w:val="doc map heading Char"/>
    <w:basedOn w:val="SubtitleChar"/>
    <w:link w:val="docmapheading"/>
    <w:rsid w:val="009C402A"/>
    <w:rPr>
      <w:rFonts w:asciiTheme="majorHAnsi" w:eastAsia="PMingLiU" w:hAnsiTheme="majorHAnsi" w:cs="Times New Roman"/>
      <w:i/>
      <w:iCs/>
      <w:color w:val="4F81BD" w:themeColor="accent1"/>
      <w:spacing w:val="15"/>
      <w:sz w:val="28"/>
      <w:szCs w:val="28"/>
      <w:lang w:val="en-GB"/>
    </w:rPr>
  </w:style>
  <w:style w:type="paragraph" w:styleId="DocumentMap">
    <w:name w:val="Document Map"/>
    <w:basedOn w:val="Normal"/>
    <w:link w:val="DocumentMapChar"/>
    <w:uiPriority w:val="99"/>
    <w:semiHidden/>
    <w:unhideWhenUsed/>
    <w:rsid w:val="00501FE1"/>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01FE1"/>
    <w:rPr>
      <w:rFonts w:ascii="Tahoma" w:hAnsi="Tahoma" w:cs="Tahoma"/>
      <w:sz w:val="16"/>
      <w:szCs w:val="16"/>
      <w:lang w:val="en-GB"/>
    </w:rPr>
  </w:style>
  <w:style w:type="paragraph" w:styleId="Header">
    <w:name w:val="header"/>
    <w:basedOn w:val="Normal"/>
    <w:link w:val="HeaderChar"/>
    <w:uiPriority w:val="99"/>
    <w:unhideWhenUsed/>
    <w:rsid w:val="00CC0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407"/>
    <w:rPr>
      <w:lang w:val="en-GB"/>
    </w:rPr>
  </w:style>
  <w:style w:type="paragraph" w:styleId="Footer">
    <w:name w:val="footer"/>
    <w:basedOn w:val="Normal"/>
    <w:link w:val="FooterChar"/>
    <w:uiPriority w:val="99"/>
    <w:semiHidden/>
    <w:unhideWhenUsed/>
    <w:rsid w:val="00CC04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0407"/>
    <w:rPr>
      <w:lang w:val="en-GB"/>
    </w:rPr>
  </w:style>
  <w:style w:type="paragraph" w:styleId="FootnoteText">
    <w:name w:val="footnote text"/>
    <w:basedOn w:val="Normal"/>
    <w:link w:val="FootnoteTextChar"/>
    <w:uiPriority w:val="99"/>
    <w:semiHidden/>
    <w:unhideWhenUsed/>
    <w:rsid w:val="005C7FDD"/>
    <w:pPr>
      <w:spacing w:after="120" w:line="240" w:lineRule="auto"/>
    </w:pPr>
    <w:rPr>
      <w:sz w:val="24"/>
    </w:rPr>
  </w:style>
  <w:style w:type="character" w:customStyle="1" w:styleId="FootnoteTextChar">
    <w:name w:val="Footnote Text Char"/>
    <w:basedOn w:val="DefaultParagraphFont"/>
    <w:link w:val="FootnoteText"/>
    <w:uiPriority w:val="99"/>
    <w:semiHidden/>
    <w:rsid w:val="005C7FDD"/>
    <w:rPr>
      <w:sz w:val="24"/>
      <w:szCs w:val="28"/>
      <w:lang w:val="en-GB"/>
    </w:rPr>
  </w:style>
  <w:style w:type="character" w:styleId="FootnoteReference">
    <w:name w:val="footnote reference"/>
    <w:basedOn w:val="DefaultParagraphFont"/>
    <w:uiPriority w:val="99"/>
    <w:semiHidden/>
    <w:unhideWhenUsed/>
    <w:rsid w:val="00A872F0"/>
    <w:rPr>
      <w:vertAlign w:val="superscript"/>
    </w:rPr>
  </w:style>
  <w:style w:type="paragraph" w:styleId="BalloonText">
    <w:name w:val="Balloon Text"/>
    <w:basedOn w:val="Normal"/>
    <w:link w:val="BalloonTextChar"/>
    <w:uiPriority w:val="99"/>
    <w:semiHidden/>
    <w:unhideWhenUsed/>
    <w:rsid w:val="004961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168"/>
    <w:rPr>
      <w:rFonts w:ascii="Segoe UI" w:hAnsi="Segoe UI" w:cs="Segoe UI"/>
      <w:sz w:val="18"/>
      <w:szCs w:val="18"/>
      <w:lang w:val="en-GB"/>
    </w:rPr>
  </w:style>
  <w:style w:type="character" w:customStyle="1" w:styleId="Heading3Char">
    <w:name w:val="Heading 3 Char"/>
    <w:basedOn w:val="DefaultParagraphFont"/>
    <w:link w:val="Heading3"/>
    <w:uiPriority w:val="9"/>
    <w:semiHidden/>
    <w:rsid w:val="005C5847"/>
    <w:rPr>
      <w:rFonts w:asciiTheme="majorHAnsi" w:eastAsiaTheme="majorEastAsia" w:hAnsiTheme="majorHAnsi" w:cstheme="majorBidi"/>
      <w:color w:val="243F60" w:themeColor="accent1" w:themeShade="7F"/>
      <w:sz w:val="24"/>
      <w:szCs w:val="24"/>
      <w:lang w:val="en-GB"/>
    </w:rPr>
  </w:style>
  <w:style w:type="paragraph" w:customStyle="1" w:styleId="Normal3">
    <w:name w:val="Normal 3"/>
    <w:basedOn w:val="Signature"/>
    <w:rsid w:val="005C5847"/>
    <w:pPr>
      <w:tabs>
        <w:tab w:val="left" w:pos="3168"/>
        <w:tab w:val="right" w:pos="8280"/>
      </w:tabs>
      <w:overflowPunct w:val="0"/>
      <w:autoSpaceDE w:val="0"/>
      <w:autoSpaceDN w:val="0"/>
      <w:adjustRightInd w:val="0"/>
      <w:snapToGrid w:val="0"/>
      <w:ind w:left="0"/>
      <w:jc w:val="right"/>
      <w:textAlignment w:val="baseline"/>
    </w:pPr>
    <w:rPr>
      <w:rFonts w:eastAsia="MingLiU"/>
      <w:szCs w:val="20"/>
    </w:rPr>
  </w:style>
  <w:style w:type="paragraph" w:customStyle="1" w:styleId="NormalMF">
    <w:name w:val="NormalMF"/>
    <w:basedOn w:val="Normal"/>
    <w:rsid w:val="005C5847"/>
    <w:pPr>
      <w:tabs>
        <w:tab w:val="left" w:pos="1440"/>
        <w:tab w:val="center" w:pos="4320"/>
        <w:tab w:val="right" w:pos="8280"/>
        <w:tab w:val="right" w:pos="9000"/>
      </w:tabs>
      <w:overflowPunct w:val="0"/>
      <w:autoSpaceDE w:val="0"/>
      <w:autoSpaceDN w:val="0"/>
      <w:adjustRightInd w:val="0"/>
      <w:snapToGrid w:val="0"/>
      <w:spacing w:after="0" w:line="240" w:lineRule="auto"/>
      <w:jc w:val="center"/>
      <w:textAlignment w:val="baseline"/>
    </w:pPr>
    <w:rPr>
      <w:rFonts w:eastAsia="MingLiU"/>
      <w:b/>
      <w:caps/>
      <w:sz w:val="32"/>
      <w:szCs w:val="20"/>
    </w:rPr>
  </w:style>
  <w:style w:type="paragraph" w:customStyle="1" w:styleId="MF">
    <w:name w:val="MF"/>
    <w:basedOn w:val="NormalMF"/>
    <w:rsid w:val="005C5847"/>
    <w:rPr>
      <w:b w:val="0"/>
      <w:sz w:val="28"/>
    </w:rPr>
  </w:style>
  <w:style w:type="paragraph" w:styleId="BodyTextIndent">
    <w:name w:val="Body Text Indent"/>
    <w:basedOn w:val="Normal"/>
    <w:link w:val="BodyTextIndentChar"/>
    <w:semiHidden/>
    <w:rsid w:val="005C5847"/>
    <w:pPr>
      <w:widowControl w:val="0"/>
      <w:spacing w:after="0" w:line="240" w:lineRule="auto"/>
      <w:ind w:left="284" w:hanging="284"/>
      <w:jc w:val="both"/>
    </w:pPr>
    <w:rPr>
      <w:rFonts w:eastAsia="宋体"/>
      <w:kern w:val="2"/>
      <w:sz w:val="24"/>
      <w:szCs w:val="20"/>
      <w:lang w:val="en-US"/>
    </w:rPr>
  </w:style>
  <w:style w:type="character" w:customStyle="1" w:styleId="BodyTextIndentChar">
    <w:name w:val="Body Text Indent Char"/>
    <w:basedOn w:val="DefaultParagraphFont"/>
    <w:link w:val="BodyTextIndent"/>
    <w:semiHidden/>
    <w:rsid w:val="005C5847"/>
    <w:rPr>
      <w:rFonts w:eastAsia="宋体"/>
      <w:kern w:val="2"/>
      <w:sz w:val="24"/>
      <w:szCs w:val="20"/>
    </w:rPr>
  </w:style>
  <w:style w:type="paragraph" w:customStyle="1" w:styleId="sh">
    <w:name w:val="sh"/>
    <w:basedOn w:val="Normal"/>
    <w:rsid w:val="005C5847"/>
    <w:pPr>
      <w:tabs>
        <w:tab w:val="left" w:pos="720"/>
        <w:tab w:val="left" w:pos="1440"/>
        <w:tab w:val="center" w:pos="4320"/>
        <w:tab w:val="right" w:pos="9072"/>
      </w:tabs>
      <w:spacing w:after="0" w:line="240" w:lineRule="auto"/>
    </w:pPr>
    <w:rPr>
      <w:rFonts w:eastAsia="宋体"/>
      <w:szCs w:val="20"/>
      <w:lang w:val="en-US"/>
    </w:rPr>
  </w:style>
  <w:style w:type="paragraph" w:styleId="Signature">
    <w:name w:val="Signature"/>
    <w:basedOn w:val="Normal"/>
    <w:link w:val="SignatureChar"/>
    <w:uiPriority w:val="99"/>
    <w:semiHidden/>
    <w:unhideWhenUsed/>
    <w:rsid w:val="005C5847"/>
    <w:pPr>
      <w:spacing w:after="0" w:line="240" w:lineRule="auto"/>
      <w:ind w:left="4320"/>
    </w:pPr>
  </w:style>
  <w:style w:type="character" w:customStyle="1" w:styleId="SignatureChar">
    <w:name w:val="Signature Char"/>
    <w:basedOn w:val="DefaultParagraphFont"/>
    <w:link w:val="Signature"/>
    <w:uiPriority w:val="99"/>
    <w:semiHidden/>
    <w:rsid w:val="005C584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E3525-E696-472F-A4CD-17C4BDE0A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3444</Words>
  <Characters>19633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Ribeiro</dc:creator>
  <cp:keywords/>
  <dc:description/>
  <cp:lastModifiedBy>mingyee lam</cp:lastModifiedBy>
  <cp:revision>7</cp:revision>
  <cp:lastPrinted>2020-04-15T02:50:00Z</cp:lastPrinted>
  <dcterms:created xsi:type="dcterms:W3CDTF">2020-04-14T07:25:00Z</dcterms:created>
  <dcterms:modified xsi:type="dcterms:W3CDTF">2020-04-15T03:50:00Z</dcterms:modified>
</cp:coreProperties>
</file>