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FB4A83">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FB4A83">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FB4A83">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FB4A83">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FB4A83">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FB4A83">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FB4A83">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FB4A83">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C00CFF" w:rsidRPr="00C00CFF" w:rsidRDefault="00AD3927" w:rsidP="00C00CFF">
      <w:pPr>
        <w:pStyle w:val="berschrift3-numeriert"/>
        <w:ind w:hanging="709"/>
        <w:rPr>
          <w:lang w:val="en-US"/>
        </w:rPr>
      </w:pPr>
      <w:bookmarkStart w:id="80" w:name="_Toc470864070"/>
      <w:r w:rsidRPr="00C00CFF">
        <w:rPr>
          <w:lang w:val="en-US"/>
        </w:rPr>
        <w:t xml:space="preserve">AWS </w:t>
      </w:r>
      <w:proofErr w:type="spellStart"/>
      <w:r w:rsidRPr="00C00CFF">
        <w:rPr>
          <w:lang w:val="en-US"/>
        </w:rPr>
        <w:t>als</w:t>
      </w:r>
      <w:proofErr w:type="spellEnd"/>
      <w:r w:rsidRPr="00C00CFF">
        <w:rPr>
          <w:lang w:val="en-US"/>
        </w:rPr>
        <w:t xml:space="preserve"> </w:t>
      </w:r>
      <w:proofErr w:type="spellStart"/>
      <w:r w:rsidR="00823D54" w:rsidRPr="00C00CFF">
        <w:rPr>
          <w:lang w:val="en-US"/>
        </w:rPr>
        <w:t>Infrastructre</w:t>
      </w:r>
      <w:proofErr w:type="spellEnd"/>
      <w:r w:rsidR="00823D54" w:rsidRPr="00C00CFF">
        <w:rPr>
          <w:lang w:val="en-US"/>
        </w:rPr>
        <w:t xml:space="preserve"> as a </w:t>
      </w:r>
      <w:proofErr w:type="spellStart"/>
      <w:r w:rsidR="00823D54" w:rsidRPr="00C00CFF">
        <w:rPr>
          <w:lang w:val="en-US"/>
        </w:rPr>
        <w:t>Serivice</w:t>
      </w:r>
      <w:bookmarkEnd w:id="80"/>
      <w:proofErr w:type="spellEnd"/>
    </w:p>
    <w:p w:rsidR="00C00CFF" w:rsidRPr="00C00CFF" w:rsidRDefault="00C00CFF" w:rsidP="00C00CFF">
      <w:pPr>
        <w:rPr>
          <w:lang w:val="en-US"/>
        </w:rPr>
      </w:pPr>
    </w:p>
    <w:p w:rsidR="00CE538B" w:rsidRDefault="00AF6978" w:rsidP="00CE538B">
      <w:pPr>
        <w:rPr>
          <w:rFonts w:cs="Arial"/>
        </w:rPr>
      </w:pPr>
      <w:r w:rsidRPr="0032725D">
        <w:rPr>
          <w:rFonts w:cs="Arial"/>
        </w:rPr>
        <w:t>Das Modell von</w:t>
      </w:r>
      <w:r w:rsidR="00C00CFF">
        <w:rPr>
          <w:rFonts w:cs="Arial"/>
        </w:rPr>
        <w:t xml:space="preserve"> </w:t>
      </w:r>
      <w:proofErr w:type="spellStart"/>
      <w:r w:rsidR="00C00CFF">
        <w:rPr>
          <w:rFonts w:cs="Arial"/>
        </w:rPr>
        <w:t>IaaS</w:t>
      </w:r>
      <w:proofErr w:type="spellEnd"/>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864071"/>
      <w:r w:rsidRPr="00823D54">
        <w:t>Gründe für die Verwendung von AWS</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B52F05" w:rsidRPr="00693385">
        <w:rPr>
          <w:noProof/>
        </w:rPr>
        <w:t>1</w:t>
      </w:r>
      <w:r w:rsidR="00B52F05">
        <w:fldChar w:fldCharType="end"/>
      </w:r>
      <w:r>
        <w:t>:</w:t>
      </w:r>
      <w:r w:rsidR="00B52F05" w:rsidRPr="00693385">
        <w:t xml:space="preserve"> </w:t>
      </w:r>
      <w:proofErr w:type="spellStart"/>
      <w:r w:rsidR="00B52F05" w:rsidRPr="00693385">
        <w:t>IaaS</w:t>
      </w:r>
      <w:proofErr w:type="spellEnd"/>
      <w:r w:rsidR="00B52F05" w:rsidRPr="00693385">
        <w:t xml:space="preserve"> </w:t>
      </w:r>
      <w:proofErr w:type="spellStart"/>
      <w:r w:rsidR="00B52F05" w:rsidRPr="00693385">
        <w:t>Martkanteile</w:t>
      </w:r>
      <w:proofErr w:type="spellEnd"/>
      <w:r w:rsidR="00B52F05">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5"/>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rsidR="00B52F05" w:rsidRPr="00B52F05" w:rsidRDefault="00B52F05" w:rsidP="00B52F05"/>
    <w:p w:rsidR="00823D54" w:rsidRDefault="001752BA" w:rsidP="001752BA">
      <w:pPr>
        <w:pStyle w:val="berschrift3-numeriert"/>
      </w:pPr>
      <w:bookmarkStart w:id="86" w:name="_Toc470864072"/>
      <w:r>
        <w:t>AWS Anwendungsbeispiele</w:t>
      </w:r>
      <w:bookmarkEnd w:id="86"/>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sidR="00C4784B">
        <w:rPr>
          <w:rFonts w:cs="Arial"/>
          <w:b/>
        </w:rPr>
        <w:t xml:space="preserve"> mit </w:t>
      </w:r>
      <w:proofErr w:type="spellStart"/>
      <w:r w:rsidR="00C4784B">
        <w:rPr>
          <w:rFonts w:cs="Arial"/>
          <w:b/>
        </w:rPr>
        <w:t>Elastic</w:t>
      </w:r>
      <w:proofErr w:type="spellEnd"/>
      <w:r w:rsidR="00C4784B">
        <w:rPr>
          <w:rFonts w:cs="Arial"/>
          <w:b/>
        </w:rPr>
        <w:t xml:space="preserve"> </w:t>
      </w:r>
      <w:proofErr w:type="spellStart"/>
      <w:r w:rsidR="00C4784B">
        <w:rPr>
          <w:rFonts w:cs="Arial"/>
          <w:b/>
        </w:rPr>
        <w:t>Compute</w:t>
      </w:r>
      <w:proofErr w:type="spellEnd"/>
      <w:r w:rsidR="00C4784B">
        <w:rPr>
          <w:rFonts w:cs="Arial"/>
          <w:b/>
        </w:rPr>
        <w:t xml:space="preserve"> Cloud</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rsidR="001752BA" w:rsidRDefault="00ED3B41" w:rsidP="001752BA">
      <w:pPr>
        <w:rPr>
          <w:rFonts w:cs="Arial"/>
        </w:rPr>
      </w:pPr>
      <w:r>
        <w:rPr>
          <w:rFonts w:cs="Arial"/>
        </w:rPr>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w:t>
      </w:r>
      <w:r w:rsidR="001752BA">
        <w:rPr>
          <w:rFonts w:cs="Arial"/>
        </w:rPr>
        <w:lastRenderedPageBreak/>
        <w:t>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8" w:name="_Toc470864073"/>
      <w:r w:rsidRPr="00823D54">
        <w:t>Vor- und Nachteile von AWS</w:t>
      </w:r>
      <w:bookmarkEnd w:id="88"/>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sidRPr="00C4784B">
        <w:rPr>
          <w:rFonts w:cs="Arial"/>
          <w:b/>
        </w:rPr>
        <w:t>Die geografischen Distributionen der Datenzentren ermöglichen den Kunden den Standort der gespeicherten Daten selbst</w:t>
      </w:r>
      <w:r w:rsidR="00A9551C" w:rsidRPr="00C4784B">
        <w:rPr>
          <w:rFonts w:cs="Arial"/>
          <w:b/>
        </w:rPr>
        <w:t>st</w:t>
      </w:r>
      <w:r w:rsidRPr="00C4784B">
        <w:rPr>
          <w:rFonts w:cs="Arial"/>
          <w:b/>
        </w:rPr>
        <w:t>ändig zu wählen, dadurch erhält der Kunde mehr Kontrolle über die Daten.</w:t>
      </w:r>
      <w:r>
        <w:rPr>
          <w:rFonts w:cs="Arial"/>
        </w:rPr>
        <w:t xml:space="preserve">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2"/>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3"/>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 xml:space="preserve">ft </w:t>
      </w:r>
      <w:proofErr w:type="spellStart"/>
      <w:r>
        <w:rPr>
          <w:rFonts w:cs="Arial"/>
        </w:rPr>
        <w:t>Azure</w:t>
      </w:r>
      <w:proofErr w:type="spellEnd"/>
      <w:r>
        <w:rPr>
          <w:rFonts w:cs="Arial"/>
        </w:rPr>
        <w:t>.</w:t>
      </w:r>
      <w:r w:rsidR="004D4914">
        <w:rPr>
          <w:rStyle w:val="FootnoteReference"/>
          <w:rFonts w:cs="Arial"/>
        </w:rPr>
        <w:footnoteReference w:id="74"/>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92" w:name="_Toc470864074"/>
      <w:proofErr w:type="spellStart"/>
      <w:r>
        <w:lastRenderedPageBreak/>
        <w:t>DynamoDB</w:t>
      </w:r>
      <w:bookmarkEnd w:id="92"/>
      <w:proofErr w:type="spellEnd"/>
    </w:p>
    <w:p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sidR="004D4914">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94"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94"/>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96" w:name="_Toc470864076"/>
      <w:r>
        <w:t xml:space="preserve">Hintergrund der Entwicklung von </w:t>
      </w:r>
      <w:proofErr w:type="spellStart"/>
      <w:r w:rsidR="00823D54" w:rsidRPr="00823D54">
        <w:t>DynamoDB</w:t>
      </w:r>
      <w:bookmarkEnd w:id="96"/>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004D4914">
        <w:rPr>
          <w:rFonts w:cs="Arial"/>
        </w:rPr>
        <w:t>.</w:t>
      </w:r>
      <w:r w:rsidR="004D4914" w:rsidRPr="00547CBE">
        <w:rPr>
          <w:rFonts w:cs="Arial"/>
          <w:vertAlign w:val="superscript"/>
        </w:rPr>
        <w:footnoteReference w:id="78"/>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w:t>
      </w:r>
      <w:proofErr w:type="spellStart"/>
      <w:r w:rsidR="00C92BAE">
        <w:rPr>
          <w:rFonts w:cs="Arial"/>
        </w:rPr>
        <w:t>DynamoDB</w:t>
      </w:r>
      <w:proofErr w:type="spellEnd"/>
      <w:r w:rsidR="00C92BAE">
        <w:rPr>
          <w:rFonts w:cs="Arial"/>
        </w:rPr>
        <w:t xml:space="preserve"> </w:t>
      </w:r>
      <w:r w:rsidRPr="00547CBE">
        <w:rPr>
          <w:rFonts w:cs="Arial"/>
        </w:rPr>
        <w:t>galt</w:t>
      </w:r>
      <w:r w:rsidR="00C92BAE">
        <w:rPr>
          <w:rFonts w:cs="Arial"/>
        </w:rPr>
        <w:t xml:space="preserve"> somit</w:t>
      </w:r>
      <w:r w:rsidRPr="00547CBE">
        <w:rPr>
          <w:rFonts w:cs="Arial"/>
        </w:rPr>
        <w:t xml:space="preserve">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w:t>
      </w:r>
      <w:r w:rsidR="00C92BAE">
        <w:rPr>
          <w:rFonts w:cs="Arial"/>
        </w:rPr>
        <w:t>B</w:t>
      </w:r>
      <w:proofErr w:type="spellEnd"/>
      <w:r w:rsidR="00C92BAE">
        <w:rPr>
          <w:rFonts w:cs="Arial"/>
        </w:rPr>
        <w:t xml:space="preserve">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102" w:name="_Toc470864078"/>
      <w:r>
        <w:t>Architektur</w:t>
      </w:r>
      <w:bookmarkEnd w:id="102"/>
    </w:p>
    <w:p w:rsidR="00547CBE" w:rsidRPr="00D21E10" w:rsidRDefault="00547CBE" w:rsidP="00547CBE">
      <w:pPr>
        <w:rPr>
          <w:rFonts w:cs="Arial"/>
        </w:rPr>
      </w:pPr>
      <w:r>
        <w:rPr>
          <w:rFonts w:cs="Arial"/>
        </w:rPr>
        <w:lastRenderedPageBreak/>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2"/>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4"/>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6"/>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lastRenderedPageBreak/>
        <w:t>DynamoDB</w:t>
      </w:r>
      <w:proofErr w:type="spellEnd"/>
      <w:r>
        <w:rPr>
          <w:rFonts w:cs="Arial"/>
        </w:rPr>
        <w:t xml:space="preserve"> Versionen von Objekten</w:t>
      </w:r>
      <w:r w:rsidR="00A366A4">
        <w:rPr>
          <w:rFonts w:cs="Arial"/>
        </w:rPr>
        <w:t>.</w:t>
      </w:r>
      <w:r w:rsidR="004D4914">
        <w:rPr>
          <w:rStyle w:val="FootnoteReference"/>
          <w:rFonts w:cs="Arial"/>
        </w:rPr>
        <w:footnoteReference w:id="87"/>
      </w:r>
      <w:r w:rsidR="00A366A4">
        <w:rPr>
          <w:rFonts w:cs="Arial"/>
        </w:rPr>
        <w:t xml:space="preserve"> Für die</w:t>
      </w:r>
      <w:r>
        <w:rPr>
          <w:rFonts w:cs="Arial"/>
        </w:rPr>
        <w:t xml:space="preserve"> Versionsverwaltungen und für die Identifizierung 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sidR="004D4914">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sidR="004D4914">
        <w:rPr>
          <w:rStyle w:val="FootnoteReference"/>
          <w:rFonts w:cs="Arial"/>
        </w:rPr>
        <w:footnoteReference w:id="89"/>
      </w:r>
      <w:r>
        <w:rPr>
          <w:rFonts w:cs="Arial"/>
        </w:rPr>
        <w:t xml:space="preserve">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sidR="004D4914">
        <w:rPr>
          <w:rStyle w:val="FootnoteReference"/>
          <w:rFonts w:cs="Arial"/>
        </w:rPr>
        <w:footnoteReference w:id="90"/>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1"/>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bookmarkStart w:id="105" w:name="_GoBack"/>
      <w:bookmarkEnd w:id="105"/>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4D4914" w:rsidP="00CA1C5B">
                            <w:pPr>
                              <w:pStyle w:val="Caption"/>
                              <w:rPr>
                                <w:rFonts w:cs="Arial"/>
                                <w:b/>
                                <w:noProof/>
                              </w:rPr>
                            </w:pPr>
                            <w:r>
                              <w:t>Abb.</w:t>
                            </w:r>
                            <w:fldSimple w:instr=" SEQ Abbildung \* ARABIC ">
                              <w:r w:rsidR="00CA1C5B">
                                <w:rPr>
                                  <w:noProof/>
                                </w:rPr>
                                <w:t>3</w:t>
                              </w:r>
                            </w:fldSimple>
                            <w:r>
                              <w:rPr>
                                <w:noProof/>
                              </w:rPr>
                              <w:t>:</w:t>
                            </w:r>
                            <w:r w:rsidR="00CA1C5B">
                              <w:t xml:space="preserve"> Ring </w:t>
                            </w:r>
                            <w:proofErr w:type="spellStart"/>
                            <w:r w:rsidR="00CA1C5B">
                              <w:t>membership</w:t>
                            </w:r>
                            <w:proofErr w:type="spellEnd"/>
                            <w:r w:rsidR="00CA1C5B">
                              <w:t xml:space="preserve"> der </w:t>
                            </w:r>
                            <w:proofErr w:type="spellStart"/>
                            <w:r w:rsidR="00CA1C5B">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E47CFC7" id="_x0000_t202" coordsize="21600,21600" o:spt="202" path="m,l,21600r21600,l21600,xe">
                <v:stroke joinstyle="miter"/>
                <v:path gradientshapeok="t" o:connecttype="rect"/>
              </v:shapetype>
              <v:shape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4D4914" w:rsidP="00CA1C5B">
                      <w:pPr>
                        <w:pStyle w:val="Caption"/>
                        <w:rPr>
                          <w:rFonts w:cs="Arial"/>
                          <w:b/>
                          <w:noProof/>
                        </w:rPr>
                      </w:pPr>
                      <w:r>
                        <w:t>Abb.</w:t>
                      </w:r>
                      <w:r w:rsidR="004C33D3">
                        <w:fldChar w:fldCharType="begin"/>
                      </w:r>
                      <w:r w:rsidR="004C33D3">
                        <w:instrText xml:space="preserve"> SEQ Abbildung \* ARABIC </w:instrText>
                      </w:r>
                      <w:r w:rsidR="004C33D3">
                        <w:fldChar w:fldCharType="separate"/>
                      </w:r>
                      <w:r w:rsidR="00CA1C5B">
                        <w:rPr>
                          <w:noProof/>
                        </w:rPr>
                        <w:t>3</w:t>
                      </w:r>
                      <w:r w:rsidR="004C33D3">
                        <w:rPr>
                          <w:noProof/>
                        </w:rPr>
                        <w:fldChar w:fldCharType="end"/>
                      </w:r>
                      <w:r>
                        <w:rPr>
                          <w:noProof/>
                        </w:rPr>
                        <w:t>:</w:t>
                      </w:r>
                      <w:r w:rsidR="00CA1C5B">
                        <w:t xml:space="preserve"> Ring </w:t>
                      </w:r>
                      <w:proofErr w:type="spellStart"/>
                      <w:r w:rsidR="00CA1C5B">
                        <w:t>membership</w:t>
                      </w:r>
                      <w:proofErr w:type="spellEnd"/>
                      <w:r w:rsidR="00CA1C5B">
                        <w:t xml:space="preserve"> der </w:t>
                      </w:r>
                      <w:proofErr w:type="spellStart"/>
                      <w:r w:rsidR="00CA1C5B">
                        <w:t>DynamoDB</w:t>
                      </w:r>
                      <w:proofErr w:type="spellEnd"/>
                    </w:p>
                  </w:txbxContent>
                </v:textbox>
              </v:shape>
            </w:pict>
          </mc:Fallback>
        </mc:AlternateContent>
      </w:r>
    </w:p>
    <w:p w:rsidR="00CA1C5B" w:rsidRDefault="00CA1C5B" w:rsidP="00CA1C5B">
      <w:pPr>
        <w:pStyle w:val="berschrift2-numeriert"/>
        <w:ind w:hanging="709"/>
      </w:pPr>
      <w:bookmarkStart w:id="106" w:name="_Toc470864079"/>
      <w:r>
        <w:t>Art der Datenverwaltung/Datenmodell</w:t>
      </w:r>
      <w:bookmarkEnd w:id="106"/>
    </w:p>
    <w:p w:rsidR="00CA1C5B" w:rsidRDefault="00CA1C5B" w:rsidP="00CA1C5B">
      <w:pPr>
        <w:rPr>
          <w:rFonts w:cs="Arial"/>
        </w:rPr>
      </w:pPr>
      <w:r>
        <w:rPr>
          <w:rFonts w:cs="Arial"/>
        </w:rPr>
        <w:t>In diesem Teil soll die Datenverwaltun</w:t>
      </w:r>
      <w:r w:rsidR="00550212">
        <w:rPr>
          <w:rFonts w:cs="Arial"/>
        </w:rPr>
        <w:t xml:space="preserve">g und das Datenmodell der </w:t>
      </w:r>
      <w:proofErr w:type="spellStart"/>
      <w:r w:rsidR="00550212">
        <w:rPr>
          <w:rFonts w:cs="Arial"/>
        </w:rPr>
        <w:t>Dynamo</w:t>
      </w:r>
      <w:r>
        <w:rPr>
          <w:rFonts w:cs="Arial"/>
        </w:rPr>
        <w:t>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107" w:name="_Toc470864080"/>
      <w:r>
        <w:t>Tabelle, Elemente</w:t>
      </w:r>
      <w:r w:rsidRPr="00DA0DF1">
        <w:t xml:space="preserve"> und Attribute</w:t>
      </w:r>
      <w:bookmarkEnd w:id="107"/>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Dabei</w:t>
      </w:r>
      <w:r w:rsidR="009F1776" w:rsidRPr="009F1776">
        <w:rPr>
          <w:rFonts w:cs="Arial"/>
        </w:rPr>
        <w:t xml:space="preserve"> </w:t>
      </w:r>
      <w:r w:rsidR="009F1776">
        <w:rPr>
          <w:rFonts w:cs="Arial"/>
        </w:rPr>
        <w:t>sind die, Spaltenamen, Datentypen und die Werte der Spalten</w:t>
      </w:r>
      <w:r>
        <w:rPr>
          <w:rFonts w:cs="Arial"/>
        </w:rPr>
        <w:t xml:space="preserve"> festzusetzen</w:t>
      </w:r>
      <w:r>
        <w:rPr>
          <w:rStyle w:val="FootnoteReference"/>
          <w:rFonts w:cs="Arial"/>
        </w:rPr>
        <w:footnoteReference w:id="95"/>
      </w:r>
      <w:r w:rsidR="009F1776">
        <w:rPr>
          <w:rFonts w:cs="Arial"/>
        </w:rPr>
        <w:t xml:space="preserve">. </w:t>
      </w:r>
      <w:r w:rsidR="00A61BA9">
        <w:rPr>
          <w:rFonts w:cs="Arial"/>
        </w:rPr>
        <w:t>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lastRenderedPageBreak/>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fldSimple w:instr=" SEQ Tabelle \* ARABIC ">
        <w:r>
          <w:rPr>
            <w:noProof/>
          </w:rPr>
          <w:t>2</w:t>
        </w:r>
      </w:fldSimple>
      <w:r w:rsidR="004D4914">
        <w:rPr>
          <w:noProof/>
        </w:rPr>
        <w:t>:</w:t>
      </w:r>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4D4914" w:rsidP="00CA1C5B">
                            <w:pPr>
                              <w:pStyle w:val="Caption"/>
                              <w:jc w:val="center"/>
                              <w:rPr>
                                <w:noProof/>
                              </w:rPr>
                            </w:pPr>
                            <w:r>
                              <w:t>Abb.</w:t>
                            </w:r>
                            <w:r w:rsidR="00CA1C5B">
                              <w:t xml:space="preserve"> </w:t>
                            </w:r>
                            <w:fldSimple w:instr=" SEQ Abbildung \* ARABIC ">
                              <w:r w:rsidR="00CA1C5B">
                                <w:rPr>
                                  <w:noProof/>
                                </w:rPr>
                                <w:t>4</w:t>
                              </w:r>
                            </w:fldSimple>
                            <w:r>
                              <w:rPr>
                                <w:noProof/>
                              </w:rPr>
                              <w:t>:</w:t>
                            </w:r>
                            <w:r w:rsidR="00CA1C5B">
                              <w:t xml:space="preserve"> Hierarchien in </w:t>
                            </w:r>
                            <w:proofErr w:type="spellStart"/>
                            <w:r w:rsidR="00CA1C5B">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4D4914" w:rsidP="00CA1C5B">
                      <w:pPr>
                        <w:pStyle w:val="Caption"/>
                        <w:jc w:val="center"/>
                        <w:rPr>
                          <w:noProof/>
                        </w:rPr>
                      </w:pPr>
                      <w:r>
                        <w:t>Abb.</w:t>
                      </w:r>
                      <w:r w:rsidR="00CA1C5B">
                        <w:t xml:space="preserve"> </w:t>
                      </w:r>
                      <w:r w:rsidR="004C33D3">
                        <w:fldChar w:fldCharType="begin"/>
                      </w:r>
                      <w:r w:rsidR="004C33D3">
                        <w:instrText xml:space="preserve"> SEQ Abbildung \* ARABIC </w:instrText>
                      </w:r>
                      <w:r w:rsidR="004C33D3">
                        <w:fldChar w:fldCharType="separate"/>
                      </w:r>
                      <w:r w:rsidR="00CA1C5B">
                        <w:rPr>
                          <w:noProof/>
                        </w:rPr>
                        <w:t>4</w:t>
                      </w:r>
                      <w:r w:rsidR="004C33D3">
                        <w:rPr>
                          <w:noProof/>
                        </w:rPr>
                        <w:fldChar w:fldCharType="end"/>
                      </w:r>
                      <w:r>
                        <w:rPr>
                          <w:noProof/>
                        </w:rPr>
                        <w:t>:</w:t>
                      </w:r>
                      <w:r w:rsidR="00CA1C5B">
                        <w:t xml:space="preserve"> Hierarchien in </w:t>
                      </w:r>
                      <w:proofErr w:type="spellStart"/>
                      <w:r w:rsidR="00CA1C5B">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109" w:name="_Toc470864081"/>
      <w:r>
        <w:t>Primärschlüssel</w:t>
      </w:r>
      <w:bookmarkEnd w:id="109"/>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sidR="004D4914">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sidR="004D4914">
        <w:rPr>
          <w:rStyle w:val="FootnoteReference"/>
          <w:rFonts w:cs="Arial"/>
        </w:rPr>
        <w:footnoteReference w:id="101"/>
      </w:r>
      <w:r>
        <w:rPr>
          <w:rFonts w:cs="Arial"/>
        </w:rPr>
        <w:t xml:space="preserve">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sidR="004D4914">
        <w:rPr>
          <w:rStyle w:val="FootnoteReference"/>
          <w:rFonts w:cs="Arial"/>
        </w:rPr>
        <w:footnoteReference w:id="102"/>
      </w:r>
    </w:p>
    <w:p w:rsidR="00CA1C5B" w:rsidRDefault="00CA1C5B" w:rsidP="00CA1C5B"/>
    <w:p w:rsidR="00E91D80" w:rsidRDefault="00E91D80" w:rsidP="00E91D80">
      <w:pPr>
        <w:pStyle w:val="berschrift3-numeriert"/>
      </w:pPr>
      <w:bookmarkStart w:id="111" w:name="_Toc470864082"/>
      <w:r>
        <w:t>Sekundäre Indizes</w:t>
      </w:r>
      <w:bookmarkEnd w:id="111"/>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Primärschlüsselattribut enthält. Daher werden solche Indizes auch als primäre Indizes bezeichnet.</w:t>
      </w:r>
      <w:r w:rsidR="00A163E8" w:rsidRPr="00E91D80">
        <w:rPr>
          <w:rFonts w:cs="Arial"/>
          <w:vertAlign w:val="superscript"/>
        </w:rPr>
        <w:footnoteReference w:id="103"/>
      </w:r>
      <w:r w:rsidRPr="00E91D80">
        <w:rPr>
          <w:rFonts w:cs="Arial"/>
        </w:rPr>
        <w:t xml:space="preserve">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112" w:name="_Toc470864083"/>
      <w:r>
        <w:t xml:space="preserve">Besonderheiten der </w:t>
      </w:r>
      <w:proofErr w:type="spellStart"/>
      <w:r>
        <w:t>DynamoDB</w:t>
      </w:r>
      <w:bookmarkEnd w:id="112"/>
      <w:proofErr w:type="spellEnd"/>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4"/>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5"/>
      </w:r>
      <w:r>
        <w:rPr>
          <w:rFonts w:cs="Arial"/>
        </w:rPr>
        <w:t xml:space="preserve">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sidR="00A163E8">
        <w:rPr>
          <w:rStyle w:val="FootnoteReference"/>
          <w:rFonts w:cs="Arial"/>
        </w:rPr>
        <w:footnoteReference w:id="106"/>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113" w:name="_Toc470864084"/>
      <w:r>
        <w:t>Key-Value Eigenschaft</w:t>
      </w:r>
      <w:bookmarkEnd w:id="113"/>
    </w:p>
    <w:p w:rsidR="00806742" w:rsidRDefault="00806742" w:rsidP="00806742">
      <w:pPr>
        <w:rPr>
          <w:rFonts w:cs="Arial"/>
        </w:rPr>
      </w:pPr>
      <w:r>
        <w:rPr>
          <w:rFonts w:cs="Arial"/>
        </w:rPr>
        <w:lastRenderedPageBreak/>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08"/>
      </w:r>
      <w:r>
        <w:rPr>
          <w:rFonts w:cs="Arial"/>
        </w:rPr>
        <w:t xml:space="preserve">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w:t>
      </w:r>
      <w:proofErr w:type="spellStart"/>
      <w:r>
        <w:rPr>
          <w:rFonts w:cs="Arial"/>
        </w:rPr>
        <w:t>Dynamo</w:t>
      </w:r>
      <w:r w:rsidR="00C863A4">
        <w:rPr>
          <w:rFonts w:cs="Arial"/>
        </w:rPr>
        <w:t>DB</w:t>
      </w:r>
      <w:proofErr w:type="spellEnd"/>
      <w:r>
        <w:rPr>
          <w:rFonts w:cs="Arial"/>
        </w:rPr>
        <w:t xml:space="preserve"> die Absicht, ausschließlich Objekte zu speichern, die kleiner sind als ein Megabyte.</w:t>
      </w:r>
      <w:r w:rsidR="00A163E8">
        <w:rPr>
          <w:rStyle w:val="FootnoteReference"/>
          <w:rFonts w:cs="Arial"/>
        </w:rPr>
        <w:footnoteReference w:id="109"/>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0"/>
      </w:r>
      <w:r>
        <w:rPr>
          <w:rFonts w:cs="Arial"/>
        </w:rPr>
        <w:t xml:space="preserve">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1C695E" w:rsidP="00806742">
      <w:pPr>
        <w:rPr>
          <w:rFonts w:cs="Arial"/>
        </w:rPr>
      </w:pPr>
      <w:r>
        <w:rPr>
          <w:rFonts w:cs="Arial"/>
        </w:rPr>
        <w:t xml:space="preserve">Nachteile, beim </w:t>
      </w:r>
      <w:proofErr w:type="spellStart"/>
      <w:r>
        <w:rPr>
          <w:rFonts w:cs="Arial"/>
        </w:rPr>
        <w:t>l</w:t>
      </w:r>
      <w:r w:rsidR="00806742">
        <w:rPr>
          <w:rFonts w:cs="Arial"/>
        </w:rPr>
        <w:t>aden</w:t>
      </w:r>
      <w:proofErr w:type="spellEnd"/>
      <w:r w:rsidR="00806742">
        <w:rPr>
          <w:rFonts w:cs="Arial"/>
        </w:rPr>
        <w:t xml:space="preserve"> von Daten wird neben dem Wert ach der Name des Attributes </w:t>
      </w:r>
      <w:proofErr w:type="spellStart"/>
      <w:r w:rsidR="00806742">
        <w:rPr>
          <w:rFonts w:cs="Arial"/>
        </w:rPr>
        <w:t>ausgegebn</w:t>
      </w:r>
      <w:proofErr w:type="spellEnd"/>
      <w:r w:rsidR="00806742">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rsidR="00A163E8">
        <w:rPr>
          <w:noProof/>
        </w:rPr>
        <w:t>:</w:t>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115" w:name="_Toc470864085"/>
      <w:r>
        <w:t>Datentypen</w:t>
      </w:r>
      <w:bookmarkEnd w:id="115"/>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2"/>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lastRenderedPageBreak/>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3"/>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16"/>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116" w:name="_Toc470864086"/>
      <w:r>
        <w:t xml:space="preserve">Vergleich mit anderes </w:t>
      </w:r>
      <w:proofErr w:type="spellStart"/>
      <w:r>
        <w:t>NoSQL</w:t>
      </w:r>
      <w:proofErr w:type="spellEnd"/>
      <w:r>
        <w:t>-Lösungen</w:t>
      </w:r>
      <w:bookmarkEnd w:id="116"/>
    </w:p>
    <w:p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eines der meist </w:t>
      </w:r>
      <w:proofErr w:type="spellStart"/>
      <w:r w:rsidRPr="00BC6007">
        <w:rPr>
          <w:rFonts w:cs="Arial"/>
        </w:rPr>
        <w:t>verwendetsten</w:t>
      </w:r>
      <w:proofErr w:type="spellEnd"/>
      <w:r w:rsidRPr="00BC6007">
        <w:rPr>
          <w:rFonts w:cs="Arial"/>
        </w:rPr>
        <w:t xml:space="preserve"> 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17"/>
      </w:r>
      <w:r w:rsidRPr="00BC6007">
        <w:rPr>
          <w:rFonts w:cs="Arial"/>
        </w:rPr>
        <w:t xml:space="preserve"> Der Vergleich dient dazu, um die Besonderheiten und die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rsidR="00F338DE" w:rsidRPr="00BC6007" w:rsidRDefault="00F338DE" w:rsidP="00BC6007"/>
    <w:p w:rsidR="00823D54" w:rsidRDefault="00BC6007" w:rsidP="00823D54">
      <w:pPr>
        <w:pStyle w:val="berschrift3-numeriert"/>
        <w:ind w:hanging="709"/>
      </w:pPr>
      <w:bookmarkStart w:id="118" w:name="_Toc470864087"/>
      <w:proofErr w:type="spellStart"/>
      <w:r>
        <w:t>DynamoDB</w:t>
      </w:r>
      <w:proofErr w:type="spellEnd"/>
      <w:r>
        <w:t xml:space="preserve"> vs. </w:t>
      </w:r>
      <w:proofErr w:type="spellStart"/>
      <w:r>
        <w:t>Redis</w:t>
      </w:r>
      <w:bookmarkEnd w:id="118"/>
      <w:proofErr w:type="spellEnd"/>
    </w:p>
    <w:p w:rsidR="00BC6007" w:rsidRDefault="00BC6007" w:rsidP="00BC6007">
      <w:pPr>
        <w:rPr>
          <w:rFonts w:cs="Arial"/>
        </w:rPr>
      </w:pPr>
      <w:r w:rsidRPr="00DE58AE">
        <w:rPr>
          <w:rFonts w:cs="Arial"/>
        </w:rPr>
        <w:lastRenderedPageBreak/>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proofErr w:type="spellStart"/>
            <w:r w:rsidRPr="0078206D">
              <w:rPr>
                <w:rFonts w:cs="Arial"/>
                <w:b/>
              </w:rPr>
              <w:t>DynamoDB</w:t>
            </w:r>
            <w:proofErr w:type="spellEnd"/>
          </w:p>
        </w:tc>
        <w:tc>
          <w:tcPr>
            <w:tcW w:w="2979" w:type="dxa"/>
          </w:tcPr>
          <w:p w:rsidR="00BC6007" w:rsidRPr="0078206D" w:rsidRDefault="00BC6007" w:rsidP="00416F9B">
            <w:pPr>
              <w:rPr>
                <w:rFonts w:cs="Arial"/>
                <w:b/>
              </w:rPr>
            </w:pPr>
            <w:proofErr w:type="spellStart"/>
            <w:r w:rsidRPr="0078206D">
              <w:rPr>
                <w:rFonts w:cs="Arial"/>
                <w:b/>
              </w:rPr>
              <w:t>Redis</w:t>
            </w:r>
            <w:proofErr w:type="spellEnd"/>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9F1776"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rsidR="00BC6007" w:rsidRPr="0078206D" w:rsidRDefault="00BC6007" w:rsidP="00416F9B">
            <w:pPr>
              <w:rPr>
                <w:rFonts w:cs="Arial"/>
              </w:rPr>
            </w:pPr>
            <w:r>
              <w:rPr>
                <w:rFonts w:cs="Arial"/>
              </w:rPr>
              <w:t xml:space="preserve">Integrierbar mit </w:t>
            </w:r>
            <w:proofErr w:type="spellStart"/>
            <w:r>
              <w:rPr>
                <w:rFonts w:cs="Arial"/>
              </w:rPr>
              <w:t>AmazonEMR</w:t>
            </w:r>
            <w:proofErr w:type="spellEnd"/>
          </w:p>
        </w:tc>
        <w:tc>
          <w:tcPr>
            <w:tcW w:w="2979" w:type="dxa"/>
          </w:tcPr>
          <w:p w:rsidR="00BC6007" w:rsidRPr="0078206D" w:rsidRDefault="00BC6007" w:rsidP="00416F9B">
            <w:pPr>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fldSimple w:instr=" SEQ Tabelle \* ARABIC ">
        <w:r>
          <w:rPr>
            <w:noProof/>
          </w:rPr>
          <w:t>4</w:t>
        </w:r>
      </w:fldSimple>
      <w:r w:rsidR="00351FC0">
        <w:rPr>
          <w:noProof/>
        </w:rPr>
        <w:t>:</w:t>
      </w:r>
      <w:r>
        <w:t xml:space="preserve"> </w:t>
      </w:r>
      <w:proofErr w:type="spellStart"/>
      <w:r>
        <w:t>DynamoDB</w:t>
      </w:r>
      <w:proofErr w:type="spellEnd"/>
      <w:r>
        <w:t xml:space="preserve"> vs. </w:t>
      </w:r>
      <w:proofErr w:type="spellStart"/>
      <w:r>
        <w:t>Redis</w:t>
      </w:r>
      <w:proofErr w:type="spellEnd"/>
      <w:r>
        <w:rPr>
          <w:rStyle w:val="FootnoteReference"/>
        </w:rPr>
        <w:footnoteReference w:id="121"/>
      </w:r>
    </w:p>
    <w:p w:rsidR="00BC6007" w:rsidRPr="00BC6007" w:rsidRDefault="00BC6007" w:rsidP="00BC6007"/>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20" w:name="_Toc470864089"/>
      <w:r>
        <w:rPr>
          <w:lang w:val="en-US"/>
        </w:rPr>
        <w:lastRenderedPageBreak/>
        <w:t>Praxis</w:t>
      </w:r>
      <w:bookmarkEnd w:id="12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21"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21"/>
      <w:proofErr w:type="spellEnd"/>
    </w:p>
    <w:p w:rsidR="007D67D3" w:rsidRPr="007D67D3" w:rsidRDefault="00F06B73" w:rsidP="007D67D3">
      <w:pPr>
        <w:pStyle w:val="berschrift2-numeriert"/>
        <w:rPr>
          <w:lang w:val="en-US"/>
        </w:rPr>
      </w:pPr>
      <w:bookmarkStart w:id="122"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22"/>
      <w:proofErr w:type="spellEnd"/>
    </w:p>
    <w:p w:rsidR="00F06B73" w:rsidRDefault="00F06B73" w:rsidP="00F06B73">
      <w:pPr>
        <w:pStyle w:val="berschrift2-numeriert"/>
        <w:rPr>
          <w:lang w:val="en-US"/>
        </w:rPr>
      </w:pPr>
      <w:bookmarkStart w:id="123" w:name="_Toc470864092"/>
      <w:proofErr w:type="spellStart"/>
      <w:r>
        <w:rPr>
          <w:lang w:val="en-US"/>
        </w:rPr>
        <w:t>Datenbanksprache</w:t>
      </w:r>
      <w:bookmarkEnd w:id="123"/>
      <w:proofErr w:type="spellEnd"/>
    </w:p>
    <w:p w:rsidR="00F06B73" w:rsidRDefault="00F06B73" w:rsidP="00F06B73">
      <w:pPr>
        <w:pStyle w:val="berschrift2-numeriert"/>
        <w:rPr>
          <w:lang w:val="en-US"/>
        </w:rPr>
      </w:pPr>
      <w:bookmarkStart w:id="124" w:name="_Toc470864093"/>
      <w:r>
        <w:rPr>
          <w:lang w:val="en-US"/>
        </w:rPr>
        <w:t>GUI/API</w:t>
      </w:r>
      <w:bookmarkEnd w:id="124"/>
    </w:p>
    <w:p w:rsidR="00F06B73" w:rsidRPr="00F06B73" w:rsidRDefault="00F06B73" w:rsidP="00F06B73">
      <w:pPr>
        <w:pStyle w:val="berschrift2-numeriert"/>
        <w:rPr>
          <w:lang w:val="en-US"/>
        </w:rPr>
      </w:pPr>
      <w:bookmarkStart w:id="125" w:name="_Toc470864094"/>
      <w:proofErr w:type="spellStart"/>
      <w:r>
        <w:rPr>
          <w:lang w:val="en-US"/>
        </w:rPr>
        <w:t>Ablageform</w:t>
      </w:r>
      <w:proofErr w:type="spellEnd"/>
      <w:r>
        <w:rPr>
          <w:lang w:val="en-US"/>
        </w:rPr>
        <w:t xml:space="preserve"> der </w:t>
      </w:r>
      <w:proofErr w:type="spellStart"/>
      <w:r>
        <w:rPr>
          <w:lang w:val="en-US"/>
        </w:rPr>
        <w:t>Daten</w:t>
      </w:r>
      <w:bookmarkEnd w:id="125"/>
      <w:proofErr w:type="spellEnd"/>
    </w:p>
    <w:p w:rsidR="00390D0F" w:rsidRDefault="00390D0F" w:rsidP="00390D0F">
      <w:pPr>
        <w:pStyle w:val="berschrift1-numeriert"/>
        <w:rPr>
          <w:lang w:val="en-US"/>
        </w:rPr>
      </w:pPr>
      <w:bookmarkStart w:id="126" w:name="_Toc470864095"/>
      <w:proofErr w:type="spellStart"/>
      <w:r>
        <w:rPr>
          <w:lang w:val="en-US"/>
        </w:rPr>
        <w:lastRenderedPageBreak/>
        <w:t>Schluss</w:t>
      </w:r>
      <w:bookmarkEnd w:id="126"/>
      <w:proofErr w:type="spellEnd"/>
    </w:p>
    <w:p w:rsidR="00390D0F" w:rsidRDefault="00390D0F" w:rsidP="00390D0F">
      <w:pPr>
        <w:pStyle w:val="berschrift2-numeriert"/>
        <w:rPr>
          <w:lang w:val="en-US"/>
        </w:rPr>
      </w:pPr>
      <w:bookmarkStart w:id="127" w:name="_Toc470864096"/>
      <w:proofErr w:type="spellStart"/>
      <w:r>
        <w:rPr>
          <w:lang w:val="en-US"/>
        </w:rPr>
        <w:t>Fazit</w:t>
      </w:r>
      <w:bookmarkEnd w:id="127"/>
      <w:proofErr w:type="spellEnd"/>
    </w:p>
    <w:p w:rsidR="00390D0F" w:rsidRPr="00390D0F" w:rsidRDefault="00390D0F" w:rsidP="00390D0F">
      <w:pPr>
        <w:pStyle w:val="berschrift2-numeriert"/>
        <w:rPr>
          <w:lang w:val="en-US"/>
        </w:rPr>
      </w:pPr>
      <w:bookmarkStart w:id="128" w:name="_Toc470864097"/>
      <w:proofErr w:type="spellStart"/>
      <w:r>
        <w:rPr>
          <w:lang w:val="en-US"/>
        </w:rPr>
        <w:t>Ausblick</w:t>
      </w:r>
      <w:bookmarkEnd w:id="128"/>
      <w:proofErr w:type="spellEnd"/>
    </w:p>
    <w:p w:rsidR="008A1D3B" w:rsidRDefault="00366B53" w:rsidP="00366B53">
      <w:pPr>
        <w:pStyle w:val="berschriftAnhang"/>
        <w:numPr>
          <w:ilvl w:val="0"/>
          <w:numId w:val="0"/>
        </w:numPr>
      </w:pPr>
      <w:bookmarkStart w:id="129" w:name="_Toc470864098"/>
      <w:r>
        <w:lastRenderedPageBreak/>
        <w:t xml:space="preserve">Anhang </w:t>
      </w:r>
      <w:r w:rsidR="00981004">
        <w:t>(</w:t>
      </w:r>
      <w:r>
        <w:t>bei Bedarf</w:t>
      </w:r>
      <w:r w:rsidR="00981004">
        <w:t>)</w:t>
      </w:r>
      <w:bookmarkEnd w:id="129"/>
    </w:p>
    <w:p w:rsidR="008A1D3B" w:rsidRDefault="008A1D3B">
      <w:pPr>
        <w:spacing w:before="0" w:after="160" w:line="259" w:lineRule="auto"/>
      </w:pPr>
      <w:r>
        <w:br w:type="page"/>
      </w:r>
    </w:p>
    <w:p w:rsidR="007644A8" w:rsidRDefault="007644A8" w:rsidP="007644A8">
      <w:pPr>
        <w:pStyle w:val="Heading1"/>
      </w:pPr>
      <w:bookmarkStart w:id="130" w:name="_Toc470864099"/>
      <w:r w:rsidRPr="00D32438">
        <w:lastRenderedPageBreak/>
        <w:t>Quellenverzeichnis</w:t>
      </w:r>
      <w:bookmarkEnd w:id="13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31" w:name="_Toc470864100"/>
      <w:r>
        <w:lastRenderedPageBreak/>
        <w:t>Ehrenwörtliche E</w:t>
      </w:r>
      <w:r w:rsidR="008A1D3B">
        <w:t>rklärung</w:t>
      </w:r>
      <w:bookmarkEnd w:id="13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2" w:name="_Toc470864101"/>
      <w:bookmarkStart w:id="133" w:name="_CTVBIBLIOGRAPHY1"/>
      <w:bookmarkEnd w:id="133"/>
      <w:r w:rsidR="00777C47" w:rsidRPr="00777C47">
        <w:rPr>
          <w:lang w:val="en-US"/>
        </w:rPr>
        <w:t>Literaturverzeichnis</w:t>
      </w:r>
      <w:bookmarkEnd w:id="132"/>
    </w:p>
    <w:p w:rsidR="00777C47" w:rsidRPr="00777C47" w:rsidRDefault="00777C47" w:rsidP="00777C47">
      <w:pPr>
        <w:pStyle w:val="CitaviBibliographyEntry"/>
        <w:rPr>
          <w:lang w:val="en-US"/>
        </w:rPr>
      </w:pPr>
      <w:bookmarkStart w:id="134" w:name="_CTVL0011e8b58e7d785479b814c9fba1b29b334"/>
      <w:r w:rsidRPr="00777C47">
        <w:rPr>
          <w:lang w:val="en-US"/>
        </w:rPr>
        <w:t xml:space="preserve">Abramova, Veronika; Bernardino, Jorge; Furtado, Pedro (2014): Experimental Evaluation of NoSQL Databases. In: </w:t>
      </w:r>
      <w:bookmarkEnd w:id="13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3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36" w:name="_CTVL001727a4f4f54ad4e5fa6ec71694a8a26a1"/>
      <w:bookmarkEnd w:id="13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37" w:name="_CTVL00176233a0a0ace48c19dfe31fbfb37cbcf"/>
      <w:bookmarkEnd w:id="13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38" w:name="_CTVL001218925b58c3749d1b3b0b8276242444b"/>
      <w:bookmarkEnd w:id="13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39" w:name="_CTVL001b2e71627baf2450186a5626e5b1e3ff4"/>
      <w:bookmarkEnd w:id="138"/>
      <w:r w:rsidRPr="00777C47">
        <w:rPr>
          <w:lang w:val="en-US"/>
        </w:rPr>
        <w:t xml:space="preserve">Jatan, Nishtha; Puri, Sahil; Ahuja, Mehak; Kathuria, Ishita; Gosain, Dishant (2012): A Survey and Comparison of Relational and Non-Relational Database. In: </w:t>
      </w:r>
      <w:bookmarkEnd w:id="13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4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41" w:name="_CTVL0013192c4af9eb949248e667cfa092b4509"/>
      <w:bookmarkEnd w:id="14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42" w:name="_CTVL001958c7ea6a2634c8ab5d14d46ec5037fe"/>
      <w:bookmarkEnd w:id="141"/>
      <w:r>
        <w:t xml:space="preserve">Mahamed, Mohamed A.; Altrafi, Obay G.; Ismail, Mohammed O. (2014): Relational vs. NoSQL Databases: A Survey. In: </w:t>
      </w:r>
      <w:bookmarkEnd w:id="14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4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44" w:name="_CTVL001602089bac2ae4c368785aa5d53f4a739"/>
      <w:bookmarkEnd w:id="143"/>
      <w:r>
        <w:t>Narang, R. (2011): Database Management Systems. o. O.: Prentice-Hall of India. Online verfügbar unter https://books.google.com/books?id=B-cJhhsh4NAC.</w:t>
      </w:r>
    </w:p>
    <w:p w:rsidR="00777C47" w:rsidRDefault="00777C47" w:rsidP="00777C47">
      <w:pPr>
        <w:pStyle w:val="CitaviBibliographyEntry"/>
      </w:pPr>
      <w:bookmarkStart w:id="145" w:name="_CTVL001556831a8d9b8486093cd4f192ed17b3e"/>
      <w:bookmarkEnd w:id="144"/>
      <w:r w:rsidRPr="00777C47">
        <w:rPr>
          <w:lang w:val="en-US"/>
        </w:rPr>
        <w:t xml:space="preserve">Padhy, Rabi Prasad; Patra, Manas Ranjan; Satapathy, Suresh Chandra (2011): RDBMS to NoSQL. Reviewing Some Next-Generation Non-Relational Database's. In: </w:t>
      </w:r>
      <w:bookmarkEnd w:id="14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4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47" w:name="_CTVL00104ecda9a72a146af85cee3b4686d059c"/>
      <w:bookmarkEnd w:id="146"/>
      <w:r>
        <w:t xml:space="preserve">Sharma, Vatika; Dave, Meenu (2012): SQL and NoSQL Databases. </w:t>
      </w:r>
      <w:r w:rsidRPr="00777C47">
        <w:rPr>
          <w:lang w:val="en-US"/>
        </w:rPr>
        <w:t xml:space="preserve">In: </w:t>
      </w:r>
      <w:bookmarkEnd w:id="14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Default="00777C47" w:rsidP="00777C47">
      <w:pPr>
        <w:pStyle w:val="CitaviBibliographyEntry"/>
      </w:pPr>
      <w:bookmarkStart w:id="14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8"/>
      <w:r w:rsidR="00210C46">
        <w:fldChar w:fldCharType="end"/>
      </w:r>
    </w:p>
    <w:p w:rsidR="00E71AC7" w:rsidRDefault="00E71AC7" w:rsidP="00777C47">
      <w:pPr>
        <w:pStyle w:val="CitaviBibliographyEntry"/>
      </w:pPr>
    </w:p>
    <w:p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rsidR="00E71AC7" w:rsidRPr="00E71AC7" w:rsidRDefault="00E71AC7" w:rsidP="00E71AC7">
      <w:pPr>
        <w:pStyle w:val="CitaviBibliographyEntry"/>
        <w:rPr>
          <w:rFonts w:cs="Arial"/>
          <w:sz w:val="22"/>
          <w:szCs w:val="22"/>
          <w:lang w:val="en-US"/>
        </w:rPr>
      </w:pPr>
      <w:bookmarkStart w:id="149"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49"/>
      <w:r w:rsidRPr="00E71AC7">
        <w:rPr>
          <w:rFonts w:cs="Arial"/>
          <w:sz w:val="22"/>
          <w:szCs w:val="22"/>
          <w:lang w:val="en-US"/>
        </w:rPr>
        <w:t>Amazon DynamoDB, Developer Guide,</w:t>
      </w:r>
    </w:p>
    <w:p w:rsidR="00E71AC7" w:rsidRPr="00E71AC7" w:rsidRDefault="00E71AC7" w:rsidP="00E71AC7">
      <w:pPr>
        <w:pStyle w:val="CitaviBibliographyEntry"/>
        <w:rPr>
          <w:rFonts w:cs="Arial"/>
          <w:sz w:val="22"/>
          <w:szCs w:val="22"/>
          <w:lang w:val="en-US"/>
        </w:rPr>
      </w:pPr>
      <w:bookmarkStart w:id="150" w:name="_CTVL001392ee009fb9e4fd8b5894c6ca931ca98"/>
      <w:r w:rsidRPr="00E71AC7">
        <w:rPr>
          <w:rFonts w:cs="Arial"/>
          <w:b/>
          <w:sz w:val="22"/>
          <w:szCs w:val="22"/>
          <w:lang w:val="en-US"/>
        </w:rPr>
        <w:t xml:space="preserve">Amazon Web Services (2016): , </w:t>
      </w:r>
      <w:bookmarkEnd w:id="150"/>
      <w:r w:rsidRPr="00E71AC7">
        <w:rPr>
          <w:rFonts w:cs="Arial"/>
          <w:sz w:val="22"/>
          <w:szCs w:val="22"/>
          <w:lang w:val="en-US"/>
        </w:rPr>
        <w:t>https://aws.amazon.com/de/products/?nc2=h_ql_ny_livestream_blu, Abruf: 26.12.2016.</w:t>
      </w:r>
    </w:p>
    <w:p w:rsidR="00E71AC7" w:rsidRPr="00E71AC7" w:rsidRDefault="00E71AC7" w:rsidP="00E71AC7">
      <w:pPr>
        <w:pStyle w:val="CitaviBibliographyEntry"/>
        <w:jc w:val="both"/>
        <w:rPr>
          <w:rFonts w:cs="Arial"/>
          <w:sz w:val="22"/>
          <w:szCs w:val="22"/>
          <w:lang w:val="en-US"/>
        </w:rPr>
      </w:pPr>
      <w:bookmarkStart w:id="151"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1"/>
      <w:r w:rsidRPr="00E71AC7">
        <w:rPr>
          <w:rFonts w:cs="Arial"/>
          <w:sz w:val="22"/>
          <w:szCs w:val="22"/>
          <w:lang w:val="en-US"/>
        </w:rPr>
        <w:t>Host Your Web Site on the Cloud, Amazon Web Services Made Easy:Amazon EC2 Made Easy, Collingwood/LaVergne:SitePoint Pty; Ingram Publisher Services [distributor].</w:t>
      </w:r>
    </w:p>
    <w:p w:rsidR="00E71AC7" w:rsidRPr="00E71AC7" w:rsidRDefault="00E71AC7" w:rsidP="00E71AC7">
      <w:pPr>
        <w:pStyle w:val="CitaviBibliographyEntry"/>
        <w:rPr>
          <w:rFonts w:cs="Arial"/>
          <w:sz w:val="22"/>
          <w:szCs w:val="22"/>
          <w:lang w:val="en-US"/>
        </w:rPr>
      </w:pPr>
      <w:bookmarkStart w:id="152"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2"/>
      <w:r w:rsidRPr="00E71AC7">
        <w:rPr>
          <w:rFonts w:cs="Arial"/>
          <w:sz w:val="22"/>
          <w:szCs w:val="22"/>
          <w:lang w:val="en-US"/>
        </w:rPr>
        <w:t>AWS vs. MWA: A Review, ", 1. Jg., Nr. 9, S. 7.</w:t>
      </w:r>
    </w:p>
    <w:p w:rsidR="00E71AC7" w:rsidRPr="00E71AC7" w:rsidRDefault="00E71AC7" w:rsidP="00E71AC7">
      <w:pPr>
        <w:pStyle w:val="CitaviBibliographyEntry"/>
        <w:rPr>
          <w:rFonts w:cs="Arial"/>
          <w:sz w:val="22"/>
          <w:szCs w:val="22"/>
          <w:lang w:val="en-US"/>
        </w:rPr>
      </w:pPr>
      <w:bookmarkStart w:id="153"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3"/>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rsidR="00E71AC7" w:rsidRPr="00E71AC7" w:rsidRDefault="00E71AC7" w:rsidP="00E71AC7">
      <w:pPr>
        <w:pStyle w:val="CitaviBibliographyEntry"/>
        <w:rPr>
          <w:rFonts w:cs="Arial"/>
          <w:sz w:val="22"/>
          <w:szCs w:val="22"/>
          <w:lang w:val="en-US"/>
        </w:rPr>
      </w:pPr>
      <w:bookmarkStart w:id="154"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4"/>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rsidR="00E71AC7" w:rsidRPr="00E71AC7" w:rsidRDefault="00E71AC7" w:rsidP="00E71AC7">
      <w:pPr>
        <w:pStyle w:val="CitaviBibliographyEntry"/>
        <w:rPr>
          <w:rFonts w:cs="Arial"/>
          <w:sz w:val="22"/>
          <w:szCs w:val="22"/>
          <w:lang w:val="en-US"/>
        </w:rPr>
      </w:pPr>
      <w:bookmarkStart w:id="155"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5"/>
      <w:r w:rsidRPr="00E71AC7">
        <w:rPr>
          <w:rFonts w:cs="Arial"/>
          <w:sz w:val="22"/>
          <w:szCs w:val="22"/>
          <w:lang w:val="en-US"/>
        </w:rPr>
        <w:t>Proceedings of the 8th international ACM SIGSOFT conference on Quality of Software Architectures, New York, NY:</w:t>
      </w:r>
    </w:p>
    <w:p w:rsidR="00E71AC7" w:rsidRPr="00E71AC7" w:rsidRDefault="00E71AC7" w:rsidP="00E71AC7">
      <w:pPr>
        <w:pStyle w:val="CitaviBibliographyEntry"/>
        <w:rPr>
          <w:rFonts w:cs="Arial"/>
          <w:sz w:val="22"/>
          <w:szCs w:val="22"/>
          <w:lang w:val="en-US"/>
        </w:rPr>
      </w:pPr>
      <w:bookmarkStart w:id="156"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6"/>
      <w:r w:rsidRPr="00E71AC7">
        <w:rPr>
          <w:rFonts w:cs="Arial"/>
          <w:sz w:val="22"/>
          <w:szCs w:val="22"/>
          <w:lang w:val="en-US"/>
        </w:rPr>
        <w:t>A developers guide to Amazon SimpleDB, Upper Saddle River, N.J.:Addison-Wesley.</w:t>
      </w:r>
    </w:p>
    <w:p w:rsidR="00E71AC7" w:rsidRPr="00E71AC7" w:rsidRDefault="00E71AC7" w:rsidP="00E71AC7">
      <w:pPr>
        <w:pStyle w:val="CitaviBibliographyEntry"/>
        <w:rPr>
          <w:rFonts w:cs="Arial"/>
          <w:sz w:val="22"/>
          <w:szCs w:val="22"/>
          <w:lang w:val="en-US"/>
        </w:rPr>
      </w:pPr>
      <w:bookmarkStart w:id="157"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7"/>
      <w:r w:rsidRPr="00E71AC7">
        <w:rPr>
          <w:rFonts w:cs="Arial"/>
          <w:sz w:val="22"/>
          <w:szCs w:val="22"/>
          <w:lang w:val="en-US"/>
        </w:rPr>
        <w:t>Data management in cloud environments: NoSQL and NewSQL data stores, ", S. 41.</w:t>
      </w:r>
    </w:p>
    <w:p w:rsidR="00E71AC7" w:rsidRPr="00E71AC7" w:rsidRDefault="00E71AC7" w:rsidP="00E71AC7">
      <w:pPr>
        <w:pStyle w:val="CitaviBibliographyEntry"/>
        <w:rPr>
          <w:rFonts w:cs="Arial"/>
          <w:sz w:val="22"/>
          <w:szCs w:val="22"/>
          <w:lang w:val="en-US"/>
        </w:rPr>
      </w:pPr>
      <w:bookmarkStart w:id="158"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8"/>
      <w:r w:rsidRPr="00E71AC7">
        <w:rPr>
          <w:rFonts w:cs="Arial"/>
          <w:sz w:val="22"/>
          <w:szCs w:val="22"/>
          <w:lang w:val="en-US"/>
        </w:rPr>
        <w:t>NoSQL Data Management Systems, ", 40. Jg., Nr. 6, S. 10.</w:t>
      </w:r>
    </w:p>
    <w:p w:rsidR="00E71AC7" w:rsidRPr="00E71AC7" w:rsidRDefault="00E71AC7" w:rsidP="00E71AC7">
      <w:pPr>
        <w:pStyle w:val="CitaviBibliographyEntry"/>
        <w:rPr>
          <w:rFonts w:cs="Arial"/>
          <w:sz w:val="22"/>
          <w:szCs w:val="22"/>
          <w:lang w:val="en-US"/>
        </w:rPr>
      </w:pPr>
      <w:bookmarkStart w:id="159"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59"/>
      <w:r w:rsidRPr="00E71AC7">
        <w:rPr>
          <w:rFonts w:cs="Arial"/>
          <w:sz w:val="22"/>
          <w:szCs w:val="22"/>
          <w:lang w:val="en-US"/>
        </w:rPr>
        <w:t>Amazon Web Services, Migrating your .NET Enterprise Application /  Rob Linton,</w:t>
      </w:r>
    </w:p>
    <w:p w:rsidR="00E71AC7" w:rsidRPr="00E71AC7" w:rsidRDefault="00E71AC7" w:rsidP="00E71AC7">
      <w:pPr>
        <w:pStyle w:val="CitaviBibliographyEntry"/>
        <w:rPr>
          <w:rFonts w:cs="Arial"/>
          <w:sz w:val="22"/>
          <w:szCs w:val="22"/>
          <w:lang w:val="en-US"/>
        </w:rPr>
      </w:pPr>
      <w:bookmarkStart w:id="160"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0"/>
      <w:r w:rsidRPr="00E71AC7">
        <w:rPr>
          <w:rFonts w:cs="Arial"/>
          <w:sz w:val="22"/>
          <w:szCs w:val="22"/>
          <w:lang w:val="en-US"/>
        </w:rPr>
        <w:t>Microsoft Azure v/s Amazon AWS Cloud Services: A Comparative Study, ", 5. Jg., Nr. 3, S. 7.</w:t>
      </w:r>
    </w:p>
    <w:p w:rsidR="00E71AC7" w:rsidRPr="00E71AC7" w:rsidRDefault="00E71AC7" w:rsidP="00E71AC7">
      <w:pPr>
        <w:pStyle w:val="CitaviBibliographyEntry"/>
        <w:rPr>
          <w:rFonts w:cs="Arial"/>
          <w:sz w:val="22"/>
          <w:szCs w:val="22"/>
          <w:lang w:val="en-US"/>
        </w:rPr>
      </w:pPr>
      <w:bookmarkStart w:id="161"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1"/>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rsidR="00E71AC7" w:rsidRPr="00E71AC7" w:rsidRDefault="00E71AC7" w:rsidP="00E71AC7">
      <w:pPr>
        <w:pStyle w:val="CitaviBibliographyEntry"/>
        <w:rPr>
          <w:rFonts w:cs="Arial"/>
          <w:sz w:val="22"/>
          <w:szCs w:val="22"/>
          <w:lang w:val="en-US"/>
        </w:rPr>
      </w:pPr>
      <w:bookmarkStart w:id="162"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2"/>
      <w:r w:rsidRPr="00E71AC7">
        <w:rPr>
          <w:rFonts w:cs="Arial"/>
          <w:sz w:val="22"/>
          <w:szCs w:val="22"/>
          <w:lang w:val="en-US"/>
        </w:rPr>
        <w:t>D web development, Leverage the power of D and the vibe.d framework to develop web applications that are incredibly fast /  Kai Nacke,</w:t>
      </w:r>
    </w:p>
    <w:p w:rsidR="00E71AC7" w:rsidRPr="00E71AC7" w:rsidRDefault="00E71AC7" w:rsidP="00E71AC7">
      <w:pPr>
        <w:pStyle w:val="CitaviBibliographyEntry"/>
        <w:rPr>
          <w:rFonts w:cs="Arial"/>
          <w:sz w:val="22"/>
          <w:szCs w:val="22"/>
          <w:lang w:val="en-US"/>
        </w:rPr>
      </w:pPr>
      <w:bookmarkStart w:id="163"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3"/>
      <w:r w:rsidRPr="00E71AC7">
        <w:rPr>
          <w:rFonts w:cs="Arial"/>
          <w:sz w:val="22"/>
          <w:szCs w:val="22"/>
          <w:lang w:val="en-US"/>
        </w:rPr>
        <w:t>The Research Study on DynamoDB – NoSQL Database Service, ", 3. Jg., Nr. 10, S. 12.</w:t>
      </w:r>
    </w:p>
    <w:p w:rsidR="00E71AC7" w:rsidRPr="00E71AC7" w:rsidRDefault="00E71AC7" w:rsidP="00E71AC7">
      <w:pPr>
        <w:pStyle w:val="CitaviBibliographyEntry"/>
        <w:rPr>
          <w:rFonts w:cs="Arial"/>
          <w:sz w:val="22"/>
          <w:szCs w:val="22"/>
          <w:lang w:val="en-US"/>
        </w:rPr>
      </w:pPr>
      <w:bookmarkStart w:id="164"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4"/>
      <w:r w:rsidRPr="00E71AC7">
        <w:rPr>
          <w:rFonts w:cs="Arial"/>
          <w:sz w:val="22"/>
          <w:szCs w:val="22"/>
          <w:lang w:val="en-US"/>
        </w:rPr>
        <w:t>Cloud Comuputing Security: Amazon Web Services, ".</w:t>
      </w:r>
    </w:p>
    <w:p w:rsidR="00E71AC7" w:rsidRPr="00E71AC7" w:rsidRDefault="00E71AC7" w:rsidP="00E71AC7">
      <w:pPr>
        <w:pStyle w:val="CitaviBibliographyEntry"/>
        <w:rPr>
          <w:rFonts w:cs="Arial"/>
          <w:sz w:val="22"/>
          <w:szCs w:val="22"/>
          <w:lang w:val="en-US"/>
        </w:rPr>
      </w:pPr>
      <w:bookmarkStart w:id="165"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5"/>
      <w:r w:rsidRPr="00E71AC7">
        <w:rPr>
          <w:rFonts w:cs="Arial"/>
          <w:sz w:val="22"/>
          <w:szCs w:val="22"/>
          <w:lang w:val="en-US"/>
        </w:rPr>
        <w:t>DynamoDB applied design patterns, Apply efficient DynamoDB design patterns for high performance of applications, Birmingham, England:Packt Publishing.</w:t>
      </w:r>
    </w:p>
    <w:p w:rsidR="00E71AC7" w:rsidRPr="00E71AC7" w:rsidRDefault="00E71AC7" w:rsidP="00E71AC7">
      <w:pPr>
        <w:pStyle w:val="CitaviBibliographyEntry"/>
        <w:rPr>
          <w:rFonts w:cs="Arial"/>
          <w:sz w:val="22"/>
          <w:szCs w:val="22"/>
          <w:lang w:val="en-US"/>
        </w:rPr>
      </w:pPr>
      <w:bookmarkStart w:id="166"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6"/>
      <w:r w:rsidRPr="00E71AC7">
        <w:rPr>
          <w:rFonts w:cs="Arial"/>
          <w:sz w:val="22"/>
          <w:szCs w:val="22"/>
          <w:lang w:val="en-US"/>
        </w:rPr>
        <w:t>Amazon DynamoDB – a Fast and Scalable NoSQL Database Service Designed for Internet Scale Applications, http://www.allthingsdistributed.com/2012/01/amazon-dynamodb.html, Abruf: 25.12.2016.</w:t>
      </w:r>
    </w:p>
    <w:p w:rsidR="00E71AC7" w:rsidRPr="00E71AC7" w:rsidRDefault="00E71AC7" w:rsidP="00E71AC7">
      <w:pPr>
        <w:pStyle w:val="CitaviBibliographyEntry"/>
        <w:rPr>
          <w:rFonts w:cs="Arial"/>
          <w:sz w:val="22"/>
          <w:szCs w:val="22"/>
          <w:lang w:val="en-US"/>
        </w:rPr>
      </w:pPr>
      <w:bookmarkStart w:id="167"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7"/>
      <w:r w:rsidRPr="00E71AC7">
        <w:rPr>
          <w:rFonts w:cs="Arial"/>
          <w:sz w:val="22"/>
          <w:szCs w:val="22"/>
          <w:lang w:val="en-US"/>
        </w:rPr>
        <w:t>Amazon Web Services in action, Shelter Island NY:Manning.</w:t>
      </w:r>
    </w:p>
    <w:p w:rsidR="00E71AC7" w:rsidRPr="00955D2A" w:rsidRDefault="00E71AC7" w:rsidP="00E71AC7">
      <w:pPr>
        <w:pStyle w:val="CitaviBibliographyEntry"/>
        <w:rPr>
          <w:rFonts w:cs="Arial"/>
          <w:sz w:val="22"/>
          <w:szCs w:val="22"/>
        </w:rPr>
      </w:pPr>
      <w:bookmarkStart w:id="168" w:name="_CTVL001e0182cf3edc4430bb36a7152429dee33"/>
      <w:r w:rsidRPr="00955D2A">
        <w:rPr>
          <w:rFonts w:cs="Arial"/>
          <w:b/>
          <w:sz w:val="22"/>
          <w:szCs w:val="22"/>
        </w:rPr>
        <w:t xml:space="preserve">Wolfgang Sommergut (2015): </w:t>
      </w:r>
      <w:r w:rsidRPr="00955D2A">
        <w:rPr>
          <w:rFonts w:cs="Arial"/>
          <w:b/>
          <w:sz w:val="22"/>
          <w:szCs w:val="22"/>
        </w:rPr>
        <w:tab/>
      </w:r>
      <w:bookmarkEnd w:id="168"/>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rsidR="00E71AC7" w:rsidRPr="00CA567B" w:rsidRDefault="00E71AC7" w:rsidP="00777C47">
      <w:pPr>
        <w:pStyle w:val="CitaviBibliographyEntry"/>
      </w:pPr>
    </w:p>
    <w:sectPr w:rsidR="00E71AC7"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A83" w:rsidRDefault="00FB4A83" w:rsidP="00702FA8">
      <w:pPr>
        <w:spacing w:before="0" w:line="240" w:lineRule="auto"/>
      </w:pPr>
      <w:r>
        <w:separator/>
      </w:r>
    </w:p>
  </w:endnote>
  <w:endnote w:type="continuationSeparator" w:id="0">
    <w:p w:rsidR="00FB4A83" w:rsidRDefault="00FB4A83" w:rsidP="00702FA8">
      <w:pPr>
        <w:spacing w:before="0" w:line="240" w:lineRule="auto"/>
      </w:pPr>
      <w:r>
        <w:continuationSeparator/>
      </w:r>
    </w:p>
  </w:endnote>
  <w:endnote w:type="continuationNotice" w:id="1">
    <w:p w:rsidR="00FB4A83" w:rsidRDefault="00FB4A8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A83" w:rsidRDefault="00FB4A83" w:rsidP="00702FA8">
      <w:pPr>
        <w:spacing w:before="0" w:line="240" w:lineRule="auto"/>
      </w:pPr>
      <w:r>
        <w:separator/>
      </w:r>
    </w:p>
  </w:footnote>
  <w:footnote w:type="continuationSeparator" w:id="0">
    <w:p w:rsidR="00FB4A83" w:rsidRDefault="00FB4A83" w:rsidP="00702FA8">
      <w:pPr>
        <w:spacing w:before="0" w:line="240" w:lineRule="auto"/>
      </w:pPr>
      <w:r>
        <w:continuationSeparator/>
      </w:r>
    </w:p>
  </w:footnote>
  <w:footnote w:type="continuationNotice" w:id="1">
    <w:p w:rsidR="00FB4A83" w:rsidRDefault="00FB4A83">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9F1776" w:rsidRDefault="000E55DB">
      <w:pPr>
        <w:pStyle w:val="FootnoteText"/>
      </w:pPr>
      <w:r>
        <w:rPr>
          <w:rStyle w:val="FootnoteReference"/>
        </w:rPr>
        <w:footnoteRef/>
      </w:r>
      <w:r w:rsidRPr="009F1776">
        <w:t xml:space="preserve"> Vgl. </w:t>
      </w:r>
      <w:r>
        <w:fldChar w:fldCharType="begin"/>
      </w:r>
      <w:r w:rsidRPr="009F1776">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9F1776">
        <w:t>Sharma, Dave 2012, S. 21</w:t>
      </w:r>
      <w:bookmarkEnd w:id="31"/>
      <w:r>
        <w:fldChar w:fldCharType="end"/>
      </w:r>
      <w:r w:rsidRPr="009F1776">
        <w:t>, vgl. dazu auch Mahamed et. al. 2014, S.598f.</w:t>
      </w:r>
    </w:p>
  </w:footnote>
  <w:footnote w:id="21">
    <w:p w:rsidR="000E55DB" w:rsidRPr="00B827D4" w:rsidRDefault="000E55DB">
      <w:pPr>
        <w:pStyle w:val="FootnoteText"/>
      </w:pPr>
      <w:r>
        <w:rPr>
          <w:rStyle w:val="FootnoteReference"/>
        </w:rPr>
        <w:footnoteRef/>
      </w:r>
      <w:r w:rsidRPr="009F1776">
        <w:t xml:space="preserve"> Vgl. </w:t>
      </w:r>
      <w:r>
        <w:fldChar w:fldCharType="begin"/>
      </w:r>
      <w:r w:rsidRPr="009F1776">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Pr="00E71AC7" w:rsidRDefault="000E55DB">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rsidR="00AF6978" w:rsidRPr="00E71AC7" w:rsidRDefault="00AF6978" w:rsidP="00E76E91">
      <w:pPr>
        <w:pStyle w:val="FootnoteText"/>
        <w:rPr>
          <w:lang w:val="en-US"/>
        </w:rPr>
      </w:pPr>
      <w:r>
        <w:rPr>
          <w:rStyle w:val="FootnoteReference"/>
        </w:rPr>
        <w:footnoteRef/>
      </w:r>
      <w:r w:rsidRPr="00E71AC7">
        <w:rPr>
          <w:lang w:val="en-US"/>
        </w:rPr>
        <w:t xml:space="preserve"> </w:t>
      </w:r>
      <w:r w:rsidR="00E76E91">
        <w:rPr>
          <w:rFonts w:ascii="Segoe UI" w:hAnsi="Segoe UI" w:cs="Segoe UI"/>
          <w:sz w:val="18"/>
          <w:szCs w:val="18"/>
        </w:rPr>
        <w:fldChar w:fldCharType="begin"/>
      </w:r>
      <w:r w:rsidR="00E76E91"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sidR="00E76E91">
        <w:rPr>
          <w:rFonts w:ascii="Segoe UI" w:hAnsi="Segoe UI" w:cs="Segoe UI"/>
          <w:sz w:val="18"/>
          <w:szCs w:val="18"/>
        </w:rPr>
        <w:fldChar w:fldCharType="separate"/>
      </w:r>
      <w:bookmarkStart w:id="81" w:name="_CTVP0016b25cf8cda864932acb78641c078f51d"/>
      <w:r w:rsidR="00E76E91" w:rsidRPr="00E71AC7">
        <w:rPr>
          <w:rFonts w:ascii="Segoe UI" w:hAnsi="Segoe UI" w:cs="Segoe UI"/>
          <w:sz w:val="18"/>
          <w:szCs w:val="18"/>
          <w:lang w:val="en-US"/>
        </w:rPr>
        <w:t>Sommergut 2015</w:t>
      </w:r>
      <w:bookmarkEnd w:id="81"/>
      <w:r w:rsidR="00E76E91">
        <w:rPr>
          <w:rFonts w:ascii="Segoe UI" w:hAnsi="Segoe UI" w:cs="Segoe UI"/>
          <w:sz w:val="18"/>
          <w:szCs w:val="18"/>
        </w:rPr>
        <w:fldChar w:fldCharType="end"/>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proofErr w:type="spellStart"/>
      <w:r w:rsidR="001752BA" w:rsidRPr="00E71AC7">
        <w:rPr>
          <w:rFonts w:cs="Arial"/>
          <w:b w:val="0"/>
          <w:sz w:val="20"/>
          <w:szCs w:val="20"/>
          <w:lang w:val="en-US"/>
        </w:rPr>
        <w:t>Vgl</w:t>
      </w:r>
      <w:proofErr w:type="spellEnd"/>
      <w:r w:rsidR="001752BA" w:rsidRPr="00E71AC7">
        <w:rPr>
          <w:rFonts w:cs="Arial"/>
          <w:b w:val="0"/>
          <w:sz w:val="20"/>
          <w:szCs w:val="20"/>
          <w:lang w:val="en-US"/>
        </w:rPr>
        <w:t xml:space="preserve">. </w:t>
      </w:r>
      <w:r w:rsidR="00E71AC7" w:rsidRPr="00E71AC7">
        <w:rPr>
          <w:rFonts w:cs="Arial"/>
          <w:b w:val="0"/>
          <w:sz w:val="20"/>
          <w:szCs w:val="20"/>
        </w:rPr>
        <w:fldChar w:fldCharType="begin"/>
      </w:r>
      <w:r w:rsidR="00E71AC7"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00E71AC7" w:rsidRPr="00E71AC7">
        <w:rPr>
          <w:rFonts w:cs="Arial"/>
          <w:b w:val="0"/>
          <w:sz w:val="20"/>
          <w:szCs w:val="20"/>
        </w:rPr>
        <w:fldChar w:fldCharType="separate"/>
      </w:r>
      <w:bookmarkStart w:id="82" w:name="_CTVP001e4fac3cd7af74125b16bee9a09bd4611"/>
      <w:r w:rsidR="00E71AC7" w:rsidRPr="008423CD">
        <w:rPr>
          <w:rFonts w:cs="Arial"/>
          <w:b w:val="0"/>
          <w:sz w:val="20"/>
          <w:szCs w:val="20"/>
          <w:lang w:val="en-US"/>
        </w:rPr>
        <w:t>Linton 2011</w:t>
      </w:r>
      <w:bookmarkEnd w:id="82"/>
      <w:r w:rsidR="00E71AC7" w:rsidRPr="00E71AC7">
        <w:rPr>
          <w:rFonts w:cs="Arial"/>
          <w:b w:val="0"/>
          <w:sz w:val="20"/>
          <w:szCs w:val="20"/>
        </w:rPr>
        <w:fldChar w:fldCharType="end"/>
      </w:r>
      <w:r w:rsidR="00E71AC7" w:rsidRPr="008423CD">
        <w:rPr>
          <w:rFonts w:cs="Arial"/>
          <w:b w:val="0"/>
          <w:sz w:val="20"/>
          <w:szCs w:val="20"/>
          <w:lang w:val="en-US"/>
        </w:rPr>
        <w:t>, 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w:t>
      </w:r>
      <w:r w:rsidR="00E71AC7">
        <w:rPr>
          <w:rFonts w:cs="Arial"/>
        </w:rPr>
        <w:fldChar w:fldCharType="begin"/>
      </w:r>
      <w:r w:rsidR="00E71AC7" w:rsidRPr="008423CD">
        <w:rPr>
          <w:rFonts w:cs="Arial"/>
          <w:lang w:val="en-US"/>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sidR="00E71AC7">
        <w:rPr>
          <w:rFonts w:cs="Arial"/>
        </w:rPr>
        <w:fldChar w:fldCharType="separate"/>
      </w:r>
      <w:bookmarkStart w:id="84" w:name="_CTVP0019c032497e8a24e0583fb1f9cc12f21b3"/>
      <w:r w:rsidR="00E71AC7" w:rsidRPr="008423CD">
        <w:rPr>
          <w:rFonts w:cs="Arial"/>
          <w:lang w:val="en-US"/>
        </w:rPr>
        <w:t>Finnegan 2016</w:t>
      </w:r>
      <w:bookmarkEnd w:id="84"/>
      <w:r w:rsidR="00E71AC7">
        <w:rPr>
          <w:rFonts w:cs="Arial"/>
        </w:rPr>
        <w:fldChar w:fldCharType="end"/>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00E71AC7" w:rsidRPr="008423CD">
        <w:rPr>
          <w:rFonts w:cs="Arial"/>
          <w:lang w:val="en-US"/>
        </w:rPr>
        <w:t>Entommen aus: Statista 2015</w:t>
      </w:r>
    </w:p>
  </w:footnote>
  <w:footnote w:id="65">
    <w:p w:rsidR="00C4784B" w:rsidRPr="00C036D5" w:rsidRDefault="00C4784B" w:rsidP="00C4784B">
      <w:pPr>
        <w:pStyle w:val="FootnoteText"/>
        <w:rPr>
          <w:rFonts w:cs="Arial"/>
          <w:lang w:val="en-US"/>
        </w:rPr>
      </w:pPr>
      <w:r w:rsidRPr="000B1DED">
        <w:rPr>
          <w:rStyle w:val="FootnoteReference"/>
          <w:rFonts w:cs="Arial"/>
        </w:rPr>
        <w:footnoteRef/>
      </w:r>
      <w:r w:rsidRPr="00C036D5">
        <w:rPr>
          <w:rFonts w:cs="Arial"/>
          <w:lang w:val="en-US"/>
        </w:rPr>
        <w:t xml:space="preserve"> </w:t>
      </w:r>
      <w:proofErr w:type="spellStart"/>
      <w:r w:rsidRPr="00C036D5">
        <w:rPr>
          <w:rFonts w:cs="Arial"/>
          <w:lang w:val="en-US"/>
        </w:rPr>
        <w:t>Vgl</w:t>
      </w:r>
      <w:proofErr w:type="spellEnd"/>
      <w:r w:rsidRPr="00C036D5">
        <w:rPr>
          <w:rFonts w:cs="Arial"/>
          <w:lang w:val="en-US"/>
        </w:rPr>
        <w:t xml:space="preserve">. </w:t>
      </w:r>
      <w:r>
        <w:rPr>
          <w:rFonts w:cs="Arial"/>
        </w:rPr>
        <w:fldChar w:fldCharType="begin"/>
      </w:r>
      <w:r w:rsidRPr="008423CD">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00E71AC7" w:rsidRPr="008423CD">
        <w:rPr>
          <w:rFonts w:cs="Arial"/>
          <w:lang w:val="en-US"/>
        </w:rPr>
        <w:t>Wittig/Wittig 2016, S.6a</w:t>
      </w:r>
    </w:p>
  </w:footnote>
  <w:footnote w:id="67">
    <w:p w:rsidR="00483BA7" w:rsidRPr="008423CD" w:rsidRDefault="00483BA7"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sidR="00E71AC7">
        <w:rPr>
          <w:rFonts w:cs="Arial"/>
        </w:rPr>
        <w:fldChar w:fldCharType="begin"/>
      </w:r>
      <w:r w:rsidR="00E71AC7"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sidR="00E71AC7">
        <w:rPr>
          <w:rFonts w:cs="Arial"/>
        </w:rPr>
        <w:fldChar w:fldCharType="separate"/>
      </w:r>
      <w:bookmarkStart w:id="87" w:name="_CTVP0017fd482aa13784e9aa75f7ebda0bb08f6"/>
      <w:r w:rsidR="00E71AC7" w:rsidRPr="008423CD">
        <w:rPr>
          <w:rFonts w:cs="Arial"/>
          <w:lang w:val="en-US"/>
        </w:rPr>
        <w:t>Barr 2010</w:t>
      </w:r>
      <w:bookmarkEnd w:id="87"/>
      <w:r w:rsidR="00E71AC7">
        <w:rPr>
          <w:rFonts w:cs="Arial"/>
        </w:rPr>
        <w:fldChar w:fldCharType="end"/>
      </w:r>
      <w:r w:rsidR="00E71AC7" w:rsidRPr="008423CD">
        <w:rPr>
          <w:rFonts w:cs="Arial"/>
          <w:lang w:val="en-US"/>
        </w:rPr>
        <w:t>, S.99</w:t>
      </w:r>
    </w:p>
  </w:footnote>
  <w:footnote w:id="68">
    <w:p w:rsidR="001752BA" w:rsidRPr="008423CD" w:rsidRDefault="001752BA"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69">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Barr 2010, S. 59</w:t>
      </w:r>
    </w:p>
  </w:footnote>
  <w:footnote w:id="70">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Wittig/Wittig 2016, S.10</w:t>
      </w:r>
    </w:p>
  </w:footnote>
  <w:footnote w:id="71">
    <w:p w:rsidR="001752BA" w:rsidRPr="00011A3A" w:rsidRDefault="001752BA" w:rsidP="001752BA">
      <w:pPr>
        <w:pStyle w:val="FootnoteText"/>
        <w:rPr>
          <w:rFonts w:cs="Arial"/>
          <w:lang w:val="en-US"/>
        </w:rPr>
      </w:pPr>
      <w:r w:rsidRPr="00513E5E">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Pr>
          <w:rFonts w:cs="Arial"/>
        </w:rPr>
        <w:fldChar w:fldCharType="begin"/>
      </w:r>
      <w:r w:rsidR="00011A3A"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sidR="00011A3A">
        <w:rPr>
          <w:rFonts w:cs="Arial"/>
        </w:rPr>
        <w:fldChar w:fldCharType="separate"/>
      </w:r>
      <w:bookmarkStart w:id="89" w:name="_CTVP001c45050182002451cb430c6905d87a686"/>
      <w:proofErr w:type="spellStart"/>
      <w:r w:rsidR="00011A3A" w:rsidRPr="00011A3A">
        <w:rPr>
          <w:rFonts w:cs="Arial"/>
          <w:lang w:val="en-US"/>
        </w:rPr>
        <w:t>Narula</w:t>
      </w:r>
      <w:proofErr w:type="spellEnd"/>
      <w:r w:rsidR="00011A3A" w:rsidRPr="00011A3A">
        <w:rPr>
          <w:rFonts w:cs="Arial"/>
          <w:lang w:val="en-US"/>
        </w:rPr>
        <w:t>/Jain/</w:t>
      </w:r>
      <w:proofErr w:type="spellStart"/>
      <w:r w:rsidR="00011A3A" w:rsidRPr="00011A3A">
        <w:rPr>
          <w:rFonts w:cs="Arial"/>
          <w:lang w:val="en-US"/>
        </w:rPr>
        <w:t>Prachi</w:t>
      </w:r>
      <w:proofErr w:type="spellEnd"/>
      <w:r w:rsidR="00011A3A" w:rsidRPr="00011A3A">
        <w:rPr>
          <w:rFonts w:cs="Arial"/>
          <w:lang w:val="en-US"/>
        </w:rPr>
        <w:t xml:space="preserve"> </w:t>
      </w:r>
      <w:bookmarkEnd w:id="89"/>
      <w:r w:rsidR="00011A3A">
        <w:rPr>
          <w:rFonts w:cs="Arial"/>
        </w:rPr>
        <w:fldChar w:fldCharType="end"/>
      </w:r>
      <w:r w:rsidR="00011A3A" w:rsidRPr="00011A3A">
        <w:rPr>
          <w:rFonts w:cs="Arial"/>
          <w:lang w:val="en-US"/>
        </w:rPr>
        <w:t>2015, S.3</w:t>
      </w:r>
    </w:p>
  </w:footnote>
  <w:footnote w:id="72">
    <w:p w:rsidR="00C4784B" w:rsidRPr="008423CD" w:rsidRDefault="00C4784B" w:rsidP="00C4784B">
      <w:pPr>
        <w:pStyle w:val="FootnoteText"/>
        <w:rPr>
          <w:rFonts w:cs="Arial"/>
          <w:lang w:val="en-US"/>
        </w:rPr>
      </w:pPr>
      <w:r w:rsidRPr="00F54352">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Wittig/Wittig 2016, S.12</w:t>
      </w:r>
    </w:p>
  </w:footnote>
  <w:footnote w:id="73">
    <w:p w:rsidR="004D4914" w:rsidRPr="008423CD" w:rsidRDefault="004D4914" w:rsidP="004D4914">
      <w:pPr>
        <w:pStyle w:val="FootnoteText"/>
        <w:rPr>
          <w:rFonts w:cs="Arial"/>
          <w:lang w:val="en-US"/>
        </w:rPr>
      </w:pPr>
      <w:r w:rsidRPr="004D6519">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xml:space="preserve">.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4">
    <w:p w:rsidR="004D4914" w:rsidRPr="00D35BC5" w:rsidRDefault="004D4914"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5">
    <w:p w:rsidR="004D4914" w:rsidRPr="00011A3A" w:rsidRDefault="004D4914"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6">
    <w:p w:rsidR="004D4914" w:rsidRPr="00011A3A" w:rsidRDefault="004D4914"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7">
    <w:p w:rsidR="00547CBE" w:rsidRPr="00011A3A" w:rsidRDefault="00547CBE" w:rsidP="00547CBE">
      <w:pPr>
        <w:pStyle w:val="FootnoteText"/>
        <w:rPr>
          <w:rFonts w:cs="Arial"/>
        </w:rPr>
      </w:pPr>
      <w:r w:rsidRPr="00D7233C">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S.9b</w:t>
      </w:r>
    </w:p>
  </w:footnote>
  <w:footnote w:id="78">
    <w:p w:rsidR="004D4914" w:rsidRPr="00011A3A" w:rsidRDefault="004D4914"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w:t>
      </w:r>
      <w:r w:rsidR="00011A3A">
        <w:rPr>
          <w:rFonts w:cs="Arial"/>
        </w:rPr>
        <w:fldChar w:fldCharType="begin"/>
      </w:r>
      <w:r w:rsidR="00011A3A"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sidR="00011A3A">
        <w:rPr>
          <w:rFonts w:cs="Arial"/>
        </w:rPr>
        <w:fldChar w:fldCharType="separate"/>
      </w:r>
      <w:bookmarkStart w:id="98" w:name="_CTVP001369c11b542164f3fb32df588a98015b7"/>
      <w:r w:rsidR="00011A3A" w:rsidRPr="008A347F">
        <w:rPr>
          <w:rFonts w:cs="Arial"/>
        </w:rPr>
        <w:t>Vogels 2012</w:t>
      </w:r>
      <w:bookmarkEnd w:id="98"/>
      <w:r w:rsidR="00011A3A">
        <w:rPr>
          <w:rFonts w:cs="Arial"/>
        </w:rPr>
        <w:fldChar w:fldCharType="end"/>
      </w:r>
    </w:p>
  </w:footnote>
  <w:footnote w:id="80">
    <w:p w:rsidR="00547CBE" w:rsidRPr="00011A3A" w:rsidRDefault="00547CBE" w:rsidP="00547CBE">
      <w:pPr>
        <w:pStyle w:val="FootnoteText"/>
      </w:pPr>
      <w:r w:rsidRPr="00F96FB5">
        <w:rPr>
          <w:rStyle w:val="FootnoteReference"/>
          <w:rFonts w:cs="Arial"/>
        </w:rPr>
        <w:footnoteRef/>
      </w:r>
      <w:r w:rsidRPr="00011A3A">
        <w:rPr>
          <w:rFonts w:cs="Arial"/>
        </w:rPr>
        <w:t xml:space="preserve"> </w:t>
      </w:r>
      <w:r w:rsidR="00011A3A">
        <w:rPr>
          <w:rFonts w:cs="Arial"/>
        </w:rPr>
        <w:fldChar w:fldCharType="begin"/>
      </w:r>
      <w:r w:rsidR="00011A3A">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sidR="00011A3A">
        <w:rPr>
          <w:rFonts w:cs="Arial"/>
        </w:rPr>
        <w:fldChar w:fldCharType="separate"/>
      </w:r>
      <w:bookmarkStart w:id="99" w:name="_CTVP0018127b69bebe54781bcf5870d29eee813"/>
      <w:r w:rsidR="00011A3A">
        <w:rPr>
          <w:rFonts w:cs="Arial"/>
        </w:rPr>
        <w:t>DeCandia/Hastorun/Jampani/Kakulapati/Lakshman/Pilchin/Sivasubramanian/Vosshall/Vogels 2007</w:t>
      </w:r>
      <w:bookmarkEnd w:id="99"/>
      <w:r w:rsidR="00011A3A">
        <w:rPr>
          <w:rFonts w:cs="Arial"/>
        </w:rPr>
        <w:fldChar w:fldCharType="end"/>
      </w:r>
      <w:r w:rsidR="00011A3A">
        <w:rPr>
          <w:rFonts w:cs="Arial"/>
        </w:rPr>
        <w:t>, S.2</w:t>
      </w:r>
    </w:p>
  </w:footnote>
  <w:footnote w:id="81">
    <w:p w:rsidR="00547CBE" w:rsidRPr="00011A3A" w:rsidRDefault="00547CBE" w:rsidP="00547CBE">
      <w:pPr>
        <w:pStyle w:val="FootnoteText"/>
        <w:rPr>
          <w:rFonts w:cs="Arial"/>
          <w:lang w:val="en-US"/>
        </w:rPr>
      </w:pPr>
      <w:r w:rsidRPr="00D02D59">
        <w:rPr>
          <w:rStyle w:val="FootnoteReference"/>
          <w:rFonts w:cs="Arial"/>
        </w:rPr>
        <w:footnoteRef/>
      </w:r>
      <w:r w:rsidRPr="009F1776">
        <w:rPr>
          <w:rFonts w:cs="Arial"/>
          <w:lang w:val="en-US"/>
        </w:rPr>
        <w:t xml:space="preserve"> </w:t>
      </w:r>
      <w:r w:rsidR="00011A3A">
        <w:rPr>
          <w:rFonts w:cs="Arial"/>
        </w:rPr>
        <w:fldChar w:fldCharType="begin"/>
      </w:r>
      <w:r w:rsidR="00011A3A" w:rsidRPr="009F1776">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00011A3A"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sidR="00011A3A">
        <w:rPr>
          <w:rFonts w:cs="Arial"/>
        </w:rPr>
        <w:fldChar w:fldCharType="separate"/>
      </w:r>
      <w:bookmarkStart w:id="101" w:name="_CTVP0010d57779f500e418eb5ee21ac95abdb42"/>
      <w:r w:rsidR="00011A3A" w:rsidRPr="00011A3A">
        <w:rPr>
          <w:rFonts w:cs="Arial"/>
          <w:lang w:val="en-US"/>
        </w:rPr>
        <w:t>Amazon Web Services 2016</w:t>
      </w:r>
      <w:bookmarkEnd w:id="101"/>
      <w:r w:rsidR="00011A3A">
        <w:rPr>
          <w:rFonts w:cs="Arial"/>
        </w:rPr>
        <w:fldChar w:fldCharType="end"/>
      </w:r>
    </w:p>
  </w:footnote>
  <w:footnote w:id="82">
    <w:p w:rsidR="004D4914" w:rsidRPr="00011A3A" w:rsidRDefault="004D4914"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Pr="00011A3A">
        <w:rPr>
          <w:rFonts w:cs="Arial"/>
          <w:lang w:val="en-US"/>
        </w:rPr>
        <w:t>Kuznetsov</w:t>
      </w:r>
      <w:proofErr w:type="spellEnd"/>
      <w:r w:rsidRPr="00011A3A">
        <w:rPr>
          <w:rFonts w:cs="Arial"/>
          <w:lang w:val="en-US"/>
        </w:rPr>
        <w:t>/</w:t>
      </w:r>
      <w:proofErr w:type="spellStart"/>
      <w:r w:rsidRPr="00011A3A">
        <w:rPr>
          <w:rFonts w:cs="Arial"/>
          <w:lang w:val="en-US"/>
        </w:rPr>
        <w:t>Poskonin</w:t>
      </w:r>
      <w:proofErr w:type="spellEnd"/>
      <w:r w:rsidRPr="00011A3A">
        <w:rPr>
          <w:rFonts w:cs="Arial"/>
          <w:lang w:val="en-US"/>
        </w:rPr>
        <w:t xml:space="preserve"> 2014, S.2a</w:t>
      </w:r>
    </w:p>
  </w:footnote>
  <w:footnote w:id="83">
    <w:p w:rsidR="00547CBE" w:rsidRPr="00011A3A" w:rsidRDefault="00547CBE" w:rsidP="00547CBE">
      <w:pPr>
        <w:pStyle w:val="FootnoteText"/>
        <w:rPr>
          <w:lang w:val="en-US"/>
        </w:rPr>
      </w:pPr>
      <w:r>
        <w:rPr>
          <w:rStyle w:val="FootnoteReference"/>
        </w:rPr>
        <w:footnoteRef/>
      </w:r>
      <w:r w:rsidRPr="00011A3A">
        <w:rPr>
          <w:lang w:val="en-US"/>
        </w:rPr>
        <w:t xml:space="preserve"> </w:t>
      </w:r>
      <w:r w:rsidR="00011A3A" w:rsidRPr="00011A3A">
        <w:rPr>
          <w:rFonts w:cs="Arial"/>
          <w:lang w:val="en-US"/>
        </w:rPr>
        <w:t>DeCandia/Hastorun/Jampani/Kakulapati/Lakshman/Pilchin/Sivasubramanian/Vosshall/Vogels 2007, S.4</w:t>
      </w:r>
    </w:p>
  </w:footnote>
  <w:footnote w:id="84">
    <w:p w:rsidR="004D4914" w:rsidRPr="00011A3A" w:rsidRDefault="004D4914" w:rsidP="004D4914">
      <w:pPr>
        <w:pStyle w:val="FootnoteText"/>
      </w:pPr>
      <w:r>
        <w:rPr>
          <w:rStyle w:val="FootnoteReference"/>
        </w:rPr>
        <w:footnoteRef/>
      </w:r>
      <w:r w:rsidRPr="00011A3A">
        <w:t xml:space="preserve"> </w:t>
      </w:r>
      <w:proofErr w:type="spellStart"/>
      <w:r w:rsidRPr="008A347F">
        <w:rPr>
          <w:rFonts w:cs="Arial"/>
        </w:rPr>
        <w:t>Deshpande</w:t>
      </w:r>
      <w:proofErr w:type="spellEnd"/>
      <w:r w:rsidRPr="008A347F">
        <w:rPr>
          <w:rFonts w:cs="Arial"/>
        </w:rPr>
        <w:t xml:space="preserve"> 2014, S.77a</w:t>
      </w:r>
    </w:p>
  </w:footnote>
  <w:footnote w:id="85">
    <w:p w:rsidR="004D4914" w:rsidRPr="00011A3A" w:rsidRDefault="004D4914" w:rsidP="004D4914">
      <w:pPr>
        <w:pStyle w:val="FootnoteText"/>
      </w:pPr>
      <w:r>
        <w:rPr>
          <w:rStyle w:val="FootnoteReference"/>
        </w:rPr>
        <w:footnoteRef/>
      </w:r>
      <w:r w:rsidRPr="00011A3A">
        <w:t xml:space="preserve"> </w:t>
      </w:r>
      <w:proofErr w:type="spellStart"/>
      <w:r w:rsidRPr="008A347F">
        <w:rPr>
          <w:rFonts w:cs="Arial"/>
        </w:rPr>
        <w:t>Deshpande</w:t>
      </w:r>
      <w:proofErr w:type="spellEnd"/>
      <w:r w:rsidRPr="008A347F">
        <w:rPr>
          <w:rFonts w:cs="Arial"/>
        </w:rPr>
        <w:t xml:space="preserve"> 2014, S.77b</w:t>
      </w:r>
    </w:p>
  </w:footnote>
  <w:footnote w:id="86">
    <w:p w:rsidR="004D4914" w:rsidRPr="00011A3A" w:rsidRDefault="004D4914" w:rsidP="004D4914">
      <w:pPr>
        <w:pStyle w:val="FootnoteText"/>
      </w:pPr>
      <w:r>
        <w:rPr>
          <w:rStyle w:val="FootnoteReference"/>
        </w:rPr>
        <w:footnoteRef/>
      </w:r>
      <w:r w:rsidRPr="00011A3A">
        <w:t xml:space="preserve"> </w:t>
      </w:r>
      <w:r w:rsidRPr="00011A3A">
        <w:rPr>
          <w:rFonts w:cs="Arial"/>
        </w:rPr>
        <w:t xml:space="preserve">Vgl. </w:t>
      </w:r>
      <w:proofErr w:type="spellStart"/>
      <w:r w:rsidRPr="00215E96">
        <w:rPr>
          <w:rFonts w:cs="Arial"/>
        </w:rPr>
        <w:t>Kuznetsov</w:t>
      </w:r>
      <w:proofErr w:type="spellEnd"/>
      <w:r w:rsidRPr="00215E96">
        <w:rPr>
          <w:rFonts w:cs="Arial"/>
        </w:rPr>
        <w:t>/</w:t>
      </w:r>
      <w:proofErr w:type="spellStart"/>
      <w:r w:rsidRPr="00215E96">
        <w:rPr>
          <w:rFonts w:cs="Arial"/>
        </w:rPr>
        <w:t>Poskonin</w:t>
      </w:r>
      <w:proofErr w:type="spellEnd"/>
      <w:r w:rsidRPr="00215E96">
        <w:rPr>
          <w:rFonts w:cs="Arial"/>
        </w:rPr>
        <w:t xml:space="preserve"> </w:t>
      </w:r>
      <w:r w:rsidRPr="00995DE2">
        <w:rPr>
          <w:rFonts w:cs="Arial"/>
        </w:rPr>
        <w:t>2014, S.2b</w:t>
      </w:r>
    </w:p>
  </w:footnote>
  <w:footnote w:id="87">
    <w:p w:rsidR="004D4914" w:rsidRPr="00011A3A" w:rsidRDefault="004D4914" w:rsidP="004D4914">
      <w:pPr>
        <w:pStyle w:val="FootnoteText"/>
      </w:pPr>
      <w:r>
        <w:rPr>
          <w:rStyle w:val="FootnoteReference"/>
        </w:rPr>
        <w:footnoteRef/>
      </w:r>
      <w:r w:rsidRPr="00011A3A">
        <w:t xml:space="preserve"> </w:t>
      </w:r>
      <w:r w:rsidRPr="00011A3A">
        <w:rPr>
          <w:rFonts w:cs="Arial"/>
        </w:rPr>
        <w:t xml:space="preserve">Vgl. </w:t>
      </w:r>
      <w:r>
        <w:rPr>
          <w:rFonts w:cs="Arial"/>
          <w:sz w:val="18"/>
          <w:szCs w:val="18"/>
        </w:rPr>
        <w:fldChar w:fldCharType="begin"/>
      </w:r>
      <w:r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215E96">
        <w:rPr>
          <w:rFonts w:cs="Arial"/>
          <w:sz w:val="18"/>
          <w:szCs w:val="18"/>
        </w:rPr>
        <w:t>Niranjanamurthy/Archana/Niveditha/Abdul Jafar/Shravan 2014</w:t>
      </w:r>
      <w:bookmarkEnd w:id="103"/>
      <w:r>
        <w:rPr>
          <w:rFonts w:cs="Arial"/>
          <w:sz w:val="18"/>
          <w:szCs w:val="18"/>
        </w:rPr>
        <w:fldChar w:fldCharType="end"/>
      </w:r>
      <w:r>
        <w:rPr>
          <w:rFonts w:cs="Arial"/>
          <w:sz w:val="18"/>
          <w:szCs w:val="18"/>
        </w:rPr>
        <w:t>, S.1</w:t>
      </w:r>
    </w:p>
  </w:footnote>
  <w:footnote w:id="88">
    <w:p w:rsidR="004D4914" w:rsidRPr="00011A3A" w:rsidRDefault="004D4914" w:rsidP="004D4914">
      <w:pPr>
        <w:pStyle w:val="FootnoteText"/>
      </w:pPr>
      <w:r>
        <w:rPr>
          <w:rStyle w:val="FootnoteReference"/>
        </w:rPr>
        <w:footnoteRef/>
      </w:r>
      <w:r w:rsidRPr="00011A3A">
        <w:t xml:space="preserve"> </w:t>
      </w:r>
      <w:r w:rsidRPr="00011A3A">
        <w:rPr>
          <w:rFonts w:cs="Arial"/>
        </w:rPr>
        <w:t xml:space="preserve">Vgl. </w:t>
      </w:r>
      <w:proofErr w:type="spellStart"/>
      <w:r w:rsidRPr="00215E96">
        <w:rPr>
          <w:rFonts w:cs="Arial"/>
        </w:rPr>
        <w:t>Kuznetsov</w:t>
      </w:r>
      <w:proofErr w:type="spellEnd"/>
      <w:r w:rsidRPr="00215E96">
        <w:rPr>
          <w:rFonts w:cs="Arial"/>
        </w:rPr>
        <w:t>/</w:t>
      </w:r>
      <w:proofErr w:type="spellStart"/>
      <w:r w:rsidRPr="00215E96">
        <w:rPr>
          <w:rFonts w:cs="Arial"/>
        </w:rPr>
        <w:t>Poskonin</w:t>
      </w:r>
      <w:proofErr w:type="spellEnd"/>
      <w:r w:rsidRPr="00215E96">
        <w:rPr>
          <w:rFonts w:cs="Arial"/>
        </w:rPr>
        <w:t xml:space="preserve"> </w:t>
      </w:r>
      <w:r w:rsidRPr="00995DE2">
        <w:rPr>
          <w:rFonts w:cs="Arial"/>
        </w:rPr>
        <w:t>2014, S.2c</w:t>
      </w:r>
    </w:p>
  </w:footnote>
  <w:footnote w:id="89">
    <w:p w:rsidR="004D4914" w:rsidRPr="00011A3A" w:rsidRDefault="004D4914" w:rsidP="004D4914">
      <w:pPr>
        <w:pStyle w:val="FootnoteText"/>
      </w:pPr>
      <w:r>
        <w:rPr>
          <w:rStyle w:val="FootnoteReference"/>
        </w:rPr>
        <w:footnoteRef/>
      </w:r>
      <w:r w:rsidRPr="00011A3A">
        <w:t xml:space="preserve"> </w:t>
      </w:r>
      <w:r w:rsidRPr="00011A3A">
        <w:rPr>
          <w:rFonts w:cs="Arial"/>
        </w:rPr>
        <w:t xml:space="preserve">Vgl. </w:t>
      </w:r>
      <w:proofErr w:type="spellStart"/>
      <w:r w:rsidRPr="00995DE2">
        <w:rPr>
          <w:rFonts w:cs="Arial"/>
        </w:rPr>
        <w:t>Volgels</w:t>
      </w:r>
      <w:proofErr w:type="spellEnd"/>
      <w:r w:rsidRPr="00995DE2">
        <w:rPr>
          <w:rFonts w:cs="Arial"/>
        </w:rPr>
        <w:t xml:space="preserve"> 2012</w:t>
      </w:r>
    </w:p>
  </w:footnote>
  <w:footnote w:id="90">
    <w:p w:rsidR="004D4914" w:rsidRPr="008423CD" w:rsidRDefault="004D4914" w:rsidP="004D4914">
      <w:pPr>
        <w:pStyle w:val="FootnoteText"/>
      </w:pPr>
      <w:r>
        <w:rPr>
          <w:rStyle w:val="FootnoteReference"/>
        </w:rPr>
        <w:footnoteRef/>
      </w:r>
      <w:r w:rsidRPr="008423CD">
        <w:t xml:space="preserve"> Vgl.</w:t>
      </w:r>
      <w:r w:rsidRPr="008423CD">
        <w:rPr>
          <w:rFonts w:cs="Arial"/>
        </w:rPr>
        <w:t xml:space="preserve"> DeCandia/Hastorun/Jampani/Kakulapati/Lakshman/Pilchin/Sivasubramanian/Vosshall/Vogels 2007, S.7</w:t>
      </w:r>
    </w:p>
  </w:footnote>
  <w:footnote w:id="91">
    <w:p w:rsidR="004D4914" w:rsidRPr="00011A3A" w:rsidRDefault="004D4914" w:rsidP="004D4914">
      <w:pPr>
        <w:pStyle w:val="FootnoteText"/>
      </w:pPr>
      <w:r>
        <w:rPr>
          <w:rStyle w:val="FootnoteReference"/>
        </w:rPr>
        <w:footnoteRef/>
      </w:r>
      <w:r w:rsidRPr="00011A3A">
        <w:t xml:space="preserve"> </w:t>
      </w:r>
      <w:proofErr w:type="spellStart"/>
      <w:r>
        <w:rPr>
          <w:rFonts w:cs="Arial"/>
        </w:rPr>
        <w:t>Deshpande</w:t>
      </w:r>
      <w:proofErr w:type="spellEnd"/>
      <w:r w:rsidRPr="00995DE2">
        <w:rPr>
          <w:rFonts w:cs="Arial"/>
        </w:rPr>
        <w:t xml:space="preserve"> 2014, S.81</w:t>
      </w:r>
    </w:p>
  </w:footnote>
  <w:footnote w:id="92">
    <w:p w:rsidR="00A366A4" w:rsidRPr="00011A3A" w:rsidRDefault="00A366A4" w:rsidP="00A366A4">
      <w:pPr>
        <w:pStyle w:val="FootnoteText"/>
      </w:pPr>
      <w:r>
        <w:rPr>
          <w:rStyle w:val="FootnoteReference"/>
        </w:rPr>
        <w:footnoteRef/>
      </w:r>
      <w:r w:rsidRPr="00011A3A">
        <w:t xml:space="preserve"> </w:t>
      </w:r>
      <w:proofErr w:type="spellStart"/>
      <w:r w:rsidR="00011A3A" w:rsidRPr="00995DE2">
        <w:rPr>
          <w:rFonts w:cs="Arial"/>
        </w:rPr>
        <w:t>Entommen</w:t>
      </w:r>
      <w:proofErr w:type="spellEnd"/>
      <w:r w:rsidR="00011A3A" w:rsidRPr="00995DE2">
        <w:rPr>
          <w:rFonts w:cs="Arial"/>
        </w:rPr>
        <w:t xml:space="preserve"> aus: </w:t>
      </w:r>
      <w:proofErr w:type="spellStart"/>
      <w:r w:rsidR="00011A3A">
        <w:rPr>
          <w:rFonts w:cs="Arial"/>
        </w:rPr>
        <w:t>Deshpande</w:t>
      </w:r>
      <w:proofErr w:type="spellEnd"/>
      <w:r w:rsidR="00011A3A" w:rsidRPr="00995DE2">
        <w:rPr>
          <w:rFonts w:cs="Arial"/>
        </w:rPr>
        <w:t xml:space="preserve"> 2014, S.85a</w:t>
      </w:r>
    </w:p>
  </w:footnote>
  <w:footnote w:id="93">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r w:rsidR="00011A3A">
        <w:rPr>
          <w:rFonts w:cs="Arial"/>
        </w:rPr>
        <w:fldChar w:fldCharType="begin"/>
      </w:r>
      <w:r w:rsidR="00011A3A">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sidR="00011A3A">
        <w:rPr>
          <w:rFonts w:cs="Arial"/>
        </w:rPr>
        <w:fldChar w:fldCharType="separate"/>
      </w:r>
      <w:bookmarkStart w:id="104" w:name="_CTVP00198de2e4b324c49d9857f26c59dbe6045"/>
      <w:r w:rsidR="00011A3A">
        <w:rPr>
          <w:rFonts w:cs="Arial"/>
        </w:rPr>
        <w:t>Grassi 2012</w:t>
      </w:r>
      <w:bookmarkEnd w:id="104"/>
      <w:r w:rsidR="00011A3A">
        <w:rPr>
          <w:rFonts w:cs="Arial"/>
        </w:rPr>
        <w:fldChar w:fldCharType="end"/>
      </w:r>
      <w:r w:rsidR="00011A3A" w:rsidRPr="00995DE2">
        <w:rPr>
          <w:rFonts w:cs="Arial"/>
        </w:rPr>
        <w:t>, p.2</w:t>
      </w:r>
    </w:p>
  </w:footnote>
  <w:footnote w:id="94">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S.85b</w:t>
      </w:r>
    </w:p>
  </w:footnote>
  <w:footnote w:id="95">
    <w:p w:rsidR="00CA1C5B" w:rsidRPr="00011A3A" w:rsidRDefault="00CA1C5B" w:rsidP="00CA1C5B">
      <w:pPr>
        <w:pStyle w:val="FootnoteText"/>
        <w:rPr>
          <w:rFonts w:cs="Arial"/>
        </w:rPr>
      </w:pPr>
      <w:r>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sidR="00011A3A" w:rsidRPr="00215E96">
        <w:rPr>
          <w:rFonts w:cs="Arial"/>
        </w:rPr>
        <w:fldChar w:fldCharType="begin"/>
      </w:r>
      <w:r w:rsidR="00011A3A"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00011A3A" w:rsidRPr="00215E96">
        <w:rPr>
          <w:rFonts w:cs="Arial"/>
        </w:rPr>
        <w:fldChar w:fldCharType="separate"/>
      </w:r>
      <w:bookmarkStart w:id="108" w:name="_CTVP00114d3787fa6af4af2a9eb7ddb067cd722"/>
      <w:r w:rsidR="00011A3A" w:rsidRPr="00215E96">
        <w:rPr>
          <w:rFonts w:cs="Arial"/>
        </w:rPr>
        <w:t>Vyas/Kuppusamy 2014</w:t>
      </w:r>
      <w:bookmarkEnd w:id="108"/>
      <w:r w:rsidR="00011A3A" w:rsidRPr="00215E96">
        <w:rPr>
          <w:rFonts w:cs="Arial"/>
        </w:rPr>
        <w:fldChar w:fldCharType="end"/>
      </w:r>
      <w:r w:rsidR="00011A3A" w:rsidRPr="00215E96">
        <w:rPr>
          <w:rFonts w:cs="Arial"/>
        </w:rPr>
        <w:t>,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S.10b</w:t>
      </w:r>
    </w:p>
  </w:footnote>
  <w:footnote w:id="98">
    <w:p w:rsidR="00CA1C5B" w:rsidRDefault="00CA1C5B" w:rsidP="00CA1C5B">
      <w:pPr>
        <w:pStyle w:val="FootnoteText"/>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S.10c</w:t>
      </w:r>
    </w:p>
  </w:footnote>
  <w:footnote w:id="99">
    <w:p w:rsidR="00E91D80" w:rsidRPr="00011A3A" w:rsidRDefault="00E91D80" w:rsidP="00E91D80">
      <w:pPr>
        <w:pStyle w:val="FootnoteText"/>
        <w:rPr>
          <w:lang w:val="en-US"/>
        </w:rPr>
      </w:pPr>
      <w:r>
        <w:rPr>
          <w:rStyle w:val="FootnoteReference"/>
        </w:rPr>
        <w:footnoteRef/>
      </w:r>
      <w:r w:rsidRPr="00011A3A">
        <w:t xml:space="preserve"> </w:t>
      </w:r>
      <w:r w:rsidRPr="00011A3A">
        <w:rPr>
          <w:rFonts w:cs="Arial"/>
        </w:rPr>
        <w:t xml:space="preserve">Vgl. </w:t>
      </w:r>
      <w:r w:rsidR="00011A3A">
        <w:rPr>
          <w:rFonts w:cs="Arial"/>
        </w:rPr>
        <w:fldChar w:fldCharType="begin"/>
      </w:r>
      <w:r w:rsidR="00011A3A">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sidR="00011A3A">
        <w:rPr>
          <w:rFonts w:cs="Arial"/>
        </w:rPr>
        <w:fldChar w:fldCharType="separate"/>
      </w:r>
      <w:bookmarkStart w:id="110" w:name="_CTVP001f7da1dc14d9a4bae82d46862f2581829"/>
      <w:r w:rsidR="00011A3A" w:rsidRPr="00011A3A">
        <w:rPr>
          <w:rFonts w:cs="Arial"/>
          <w:lang w:val="en-US"/>
        </w:rPr>
        <w:t>Amazon Web Services 2012</w:t>
      </w:r>
      <w:bookmarkEnd w:id="110"/>
      <w:r w:rsidR="00011A3A">
        <w:rPr>
          <w:rFonts w:cs="Arial"/>
        </w:rPr>
        <w:fldChar w:fldCharType="end"/>
      </w:r>
      <w:r w:rsidR="00011A3A" w:rsidRPr="00011A3A">
        <w:rPr>
          <w:rFonts w:cs="Arial"/>
          <w:lang w:val="en-US"/>
        </w:rPr>
        <w:t>, S.13</w:t>
      </w:r>
    </w:p>
  </w:footnote>
  <w:footnote w:id="100">
    <w:p w:rsidR="004D4914" w:rsidRPr="00011A3A" w:rsidRDefault="004D4914"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Amazon </w:t>
      </w:r>
      <w:proofErr w:type="spellStart"/>
      <w:r w:rsidRPr="00011A3A">
        <w:rPr>
          <w:rFonts w:cs="Arial"/>
          <w:lang w:val="en-US"/>
        </w:rPr>
        <w:t>DynamoDB</w:t>
      </w:r>
      <w:proofErr w:type="spellEnd"/>
      <w:r w:rsidRPr="00011A3A">
        <w:rPr>
          <w:rFonts w:cs="Arial"/>
          <w:lang w:val="en-US"/>
        </w:rPr>
        <w:t xml:space="preserve"> 2012, S.13a</w:t>
      </w:r>
    </w:p>
  </w:footnote>
  <w:footnote w:id="101">
    <w:p w:rsidR="004D4914" w:rsidRPr="00011A3A" w:rsidRDefault="004D4914"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Amazon </w:t>
      </w:r>
      <w:proofErr w:type="spellStart"/>
      <w:r w:rsidRPr="00011A3A">
        <w:rPr>
          <w:rFonts w:cs="Arial"/>
          <w:lang w:val="en-US"/>
        </w:rPr>
        <w:t>DynamoDB</w:t>
      </w:r>
      <w:proofErr w:type="spellEnd"/>
      <w:r w:rsidRPr="00011A3A">
        <w:rPr>
          <w:rFonts w:cs="Arial"/>
          <w:lang w:val="en-US"/>
        </w:rPr>
        <w:t xml:space="preserve"> 2012, S.13b</w:t>
      </w:r>
    </w:p>
  </w:footnote>
  <w:footnote w:id="102">
    <w:p w:rsidR="004D4914" w:rsidRPr="00011A3A" w:rsidRDefault="004D4914"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Deshpande 2014, S.28ff.</w:t>
      </w:r>
    </w:p>
  </w:footnote>
  <w:footnote w:id="103">
    <w:p w:rsidR="00A163E8" w:rsidRPr="00011A3A" w:rsidRDefault="00A163E8" w:rsidP="00A163E8">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Pr="00011A3A">
        <w:rPr>
          <w:rFonts w:cs="Arial"/>
          <w:sz w:val="18"/>
          <w:szCs w:val="18"/>
          <w:lang w:val="en-US"/>
        </w:rPr>
        <w:t xml:space="preserve"> </w:t>
      </w:r>
      <w:r w:rsidRPr="00011A3A">
        <w:rPr>
          <w:rFonts w:cs="Arial"/>
          <w:lang w:val="en-US"/>
        </w:rPr>
        <w:t>Vyas/</w:t>
      </w:r>
      <w:proofErr w:type="spellStart"/>
      <w:r w:rsidRPr="00011A3A">
        <w:rPr>
          <w:rFonts w:cs="Arial"/>
          <w:lang w:val="en-US"/>
        </w:rPr>
        <w:t>Kuppusamy</w:t>
      </w:r>
      <w:proofErr w:type="spellEnd"/>
      <w:r w:rsidRPr="00011A3A">
        <w:rPr>
          <w:rFonts w:cs="Arial"/>
          <w:lang w:val="en-US"/>
        </w:rPr>
        <w:t xml:space="preserve"> 2014, S.16ff.</w:t>
      </w:r>
    </w:p>
  </w:footnote>
  <w:footnote w:id="104">
    <w:p w:rsidR="00A163E8" w:rsidRPr="00011A3A" w:rsidRDefault="00A163E8" w:rsidP="00A163E8">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Pr="00011A3A">
        <w:rPr>
          <w:rFonts w:cs="Arial"/>
          <w:sz w:val="18"/>
          <w:szCs w:val="18"/>
          <w:lang w:val="en-US"/>
        </w:rPr>
        <w:t>Niranjanamurthy</w:t>
      </w:r>
      <w:proofErr w:type="spellEnd"/>
      <w:r w:rsidRPr="00011A3A">
        <w:rPr>
          <w:rFonts w:cs="Arial"/>
          <w:sz w:val="18"/>
          <w:szCs w:val="18"/>
          <w:lang w:val="en-US"/>
        </w:rPr>
        <w:t>/Archana/</w:t>
      </w:r>
      <w:proofErr w:type="spellStart"/>
      <w:r w:rsidRPr="00011A3A">
        <w:rPr>
          <w:rFonts w:cs="Arial"/>
          <w:sz w:val="18"/>
          <w:szCs w:val="18"/>
          <w:lang w:val="en-US"/>
        </w:rPr>
        <w:t>Niveditha</w:t>
      </w:r>
      <w:proofErr w:type="spellEnd"/>
      <w:r w:rsidRPr="00011A3A">
        <w:rPr>
          <w:rFonts w:cs="Arial"/>
          <w:sz w:val="18"/>
          <w:szCs w:val="18"/>
          <w:lang w:val="en-US"/>
        </w:rPr>
        <w:t xml:space="preserve">/Abdul </w:t>
      </w:r>
      <w:proofErr w:type="spellStart"/>
      <w:r w:rsidRPr="00011A3A">
        <w:rPr>
          <w:rFonts w:cs="Arial"/>
          <w:sz w:val="18"/>
          <w:szCs w:val="18"/>
          <w:lang w:val="en-US"/>
        </w:rPr>
        <w:t>Jafar</w:t>
      </w:r>
      <w:proofErr w:type="spellEnd"/>
      <w:r w:rsidRPr="00011A3A">
        <w:rPr>
          <w:rFonts w:cs="Arial"/>
          <w:sz w:val="18"/>
          <w:szCs w:val="18"/>
          <w:lang w:val="en-US"/>
        </w:rPr>
        <w:t>/Shravan 2015, S.3</w:t>
      </w:r>
    </w:p>
  </w:footnote>
  <w:footnote w:id="105">
    <w:p w:rsidR="00A163E8" w:rsidRPr="00A12BC8" w:rsidRDefault="00A163E8" w:rsidP="00A163E8">
      <w:pPr>
        <w:pStyle w:val="FootnoteText"/>
      </w:pPr>
      <w:r>
        <w:rPr>
          <w:rStyle w:val="FootnoteReference"/>
        </w:rPr>
        <w:footnoteRef/>
      </w:r>
      <w:r>
        <w:t xml:space="preserve"> </w:t>
      </w:r>
      <w:r w:rsidRPr="00324E02">
        <w:rPr>
          <w:rFonts w:cs="Arial"/>
        </w:rPr>
        <w:t xml:space="preserve">Vgl. </w:t>
      </w:r>
      <w:proofErr w:type="spellStart"/>
      <w:r w:rsidRPr="00995DE2">
        <w:rPr>
          <w:rFonts w:cs="Arial"/>
        </w:rPr>
        <w:t>Volgels</w:t>
      </w:r>
      <w:proofErr w:type="spellEnd"/>
      <w:r w:rsidRPr="00995DE2">
        <w:rPr>
          <w:rFonts w:cs="Arial"/>
        </w:rPr>
        <w:t xml:space="preserve"> 2012</w:t>
      </w:r>
    </w:p>
  </w:footnote>
  <w:footnote w:id="106">
    <w:p w:rsidR="00A163E8" w:rsidRPr="00F34241" w:rsidRDefault="00A163E8" w:rsidP="00A163E8">
      <w:pPr>
        <w:pStyle w:val="FootnoteText"/>
      </w:pPr>
      <w:r>
        <w:rPr>
          <w:rStyle w:val="FootnoteReference"/>
        </w:rPr>
        <w:footnoteRef/>
      </w:r>
      <w:r>
        <w:t xml:space="preserve"> </w:t>
      </w:r>
      <w:r>
        <w:rPr>
          <w:rFonts w:cs="Arial"/>
        </w:rPr>
        <w:t>Vgl.</w:t>
      </w:r>
      <w:r w:rsidRPr="00011A3A">
        <w:rPr>
          <w:rFonts w:cs="Arial"/>
        </w:rPr>
        <w:t xml:space="preserve"> </w:t>
      </w:r>
      <w:proofErr w:type="spellStart"/>
      <w:r>
        <w:rPr>
          <w:rFonts w:cs="Arial"/>
        </w:rPr>
        <w:t>Deshpande</w:t>
      </w:r>
      <w:proofErr w:type="spellEnd"/>
      <w:r w:rsidRPr="00995DE2">
        <w:rPr>
          <w:rFonts w:cs="Arial"/>
        </w:rPr>
        <w:t xml:space="preserve"> 2014, S.14</w:t>
      </w:r>
    </w:p>
  </w:footnote>
  <w:footnote w:id="107">
    <w:p w:rsidR="00325C0C" w:rsidRPr="009F1776" w:rsidRDefault="00325C0C"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00011A3A" w:rsidRPr="009F1776">
        <w:rPr>
          <w:rFonts w:cs="Arial"/>
          <w:sz w:val="18"/>
          <w:szCs w:val="18"/>
          <w:lang w:val="en-US"/>
        </w:rPr>
        <w:t>Niranjanamurthy/Archana/Niveditha/Abdul Jafar/Shravan 2015, S.4</w:t>
      </w:r>
    </w:p>
  </w:footnote>
  <w:footnote w:id="108">
    <w:p w:rsidR="00A163E8" w:rsidRPr="009F1776" w:rsidRDefault="00A163E8"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09">
    <w:p w:rsidR="00A163E8" w:rsidRPr="009F1776" w:rsidRDefault="00A163E8"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0">
    <w:p w:rsidR="00A163E8" w:rsidRPr="009F1776" w:rsidRDefault="00A163E8"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4" w:name="_CTVP001450694a470b148169737ada7665ade6b"/>
      <w:r w:rsidRPr="009F1776">
        <w:rPr>
          <w:rFonts w:cs="Arial"/>
          <w:lang w:val="en-US"/>
        </w:rPr>
        <w:t>Abramova/Bernardino/Furtado 2014</w:t>
      </w:r>
      <w:bookmarkEnd w:id="114"/>
      <w:r>
        <w:rPr>
          <w:rFonts w:cs="Arial"/>
        </w:rPr>
        <w:fldChar w:fldCharType="end"/>
      </w:r>
      <w:r w:rsidRPr="009F1776">
        <w:rPr>
          <w:rFonts w:cs="Arial"/>
          <w:lang w:val="en-US"/>
        </w:rPr>
        <w:t>, S.4</w:t>
      </w:r>
    </w:p>
  </w:footnote>
  <w:footnote w:id="111">
    <w:p w:rsidR="00A163E8" w:rsidRPr="009F1776" w:rsidRDefault="00A163E8"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2">
    <w:p w:rsidR="00A163E8" w:rsidRPr="009F1776" w:rsidRDefault="00A163E8"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3">
    <w:p w:rsidR="00A163E8" w:rsidRPr="00A163E8" w:rsidRDefault="00A163E8" w:rsidP="00A163E8">
      <w:pPr>
        <w:pStyle w:val="FootnoteText"/>
        <w:rPr>
          <w:lang w:val="en-US"/>
        </w:rPr>
      </w:pPr>
      <w:r>
        <w:rPr>
          <w:rStyle w:val="FootnoteReference"/>
        </w:rPr>
        <w:footnoteRef/>
      </w:r>
      <w:proofErr w:type="spellStart"/>
      <w:r w:rsidRPr="00A163E8">
        <w:rPr>
          <w:rFonts w:cs="Arial"/>
          <w:lang w:val="en-US"/>
        </w:rPr>
        <w:t>Vgl.Deshpande</w:t>
      </w:r>
      <w:proofErr w:type="spellEnd"/>
      <w:r w:rsidRPr="00A163E8">
        <w:rPr>
          <w:rFonts w:cs="Arial"/>
          <w:lang w:val="en-US"/>
        </w:rPr>
        <w:t xml:space="preserve"> 2014, p.35</w:t>
      </w:r>
    </w:p>
  </w:footnote>
  <w:footnote w:id="114">
    <w:p w:rsidR="00A163E8" w:rsidRPr="00A163E8" w:rsidRDefault="00A163E8" w:rsidP="00A163E8">
      <w:pPr>
        <w:pStyle w:val="FootnoteText"/>
        <w:rPr>
          <w:lang w:val="en-US"/>
        </w:rPr>
      </w:pPr>
      <w:r>
        <w:rPr>
          <w:rStyle w:val="FootnoteReference"/>
        </w:rPr>
        <w:footnoteRef/>
      </w:r>
      <w:r w:rsidRPr="00A163E8">
        <w:rPr>
          <w:lang w:val="en-US"/>
        </w:rPr>
        <w:t xml:space="preserve"> </w:t>
      </w:r>
      <w:proofErr w:type="spellStart"/>
      <w:r w:rsidRPr="00A163E8">
        <w:rPr>
          <w:rFonts w:cs="Arial"/>
          <w:lang w:val="en-US"/>
        </w:rPr>
        <w:t>Vgl</w:t>
      </w:r>
      <w:proofErr w:type="spellEnd"/>
      <w:r w:rsidRPr="00A163E8">
        <w:rPr>
          <w:rFonts w:cs="Arial"/>
          <w:lang w:val="en-US"/>
        </w:rPr>
        <w:t xml:space="preserve">. Amazon </w:t>
      </w:r>
      <w:proofErr w:type="spellStart"/>
      <w:r w:rsidRPr="00A163E8">
        <w:rPr>
          <w:rFonts w:cs="Arial"/>
          <w:lang w:val="en-US"/>
        </w:rPr>
        <w:t>DynamoDB</w:t>
      </w:r>
      <w:proofErr w:type="spellEnd"/>
      <w:r w:rsidRPr="00A163E8">
        <w:rPr>
          <w:rFonts w:cs="Arial"/>
          <w:lang w:val="en-US"/>
        </w:rPr>
        <w:t xml:space="preserve"> 2012, S.545a</w:t>
      </w:r>
    </w:p>
  </w:footnote>
  <w:footnote w:id="115">
    <w:p w:rsidR="00806742" w:rsidRPr="00A163E8" w:rsidRDefault="00806742" w:rsidP="00806742">
      <w:pPr>
        <w:pStyle w:val="FootnoteText"/>
        <w:rPr>
          <w:lang w:val="en-US"/>
        </w:rPr>
      </w:pPr>
      <w:r>
        <w:rPr>
          <w:rStyle w:val="FootnoteReference"/>
        </w:rPr>
        <w:footnoteRef/>
      </w:r>
      <w:r w:rsidRPr="00A163E8">
        <w:rPr>
          <w:lang w:val="en-US"/>
        </w:rPr>
        <w:t xml:space="preserve"> </w:t>
      </w:r>
      <w:proofErr w:type="spellStart"/>
      <w:r w:rsidRPr="00A163E8">
        <w:rPr>
          <w:rFonts w:cs="Arial"/>
          <w:lang w:val="en-US"/>
        </w:rPr>
        <w:t>Vgl</w:t>
      </w:r>
      <w:proofErr w:type="spellEnd"/>
      <w:r w:rsidRPr="00A163E8">
        <w:rPr>
          <w:rFonts w:cs="Arial"/>
          <w:lang w:val="en-US"/>
        </w:rPr>
        <w:t xml:space="preserve">. </w:t>
      </w:r>
      <w:r w:rsidR="00011A3A" w:rsidRPr="00A163E8">
        <w:rPr>
          <w:rFonts w:cs="Arial"/>
          <w:lang w:val="en-US"/>
        </w:rPr>
        <w:t xml:space="preserve">Amazon </w:t>
      </w:r>
      <w:proofErr w:type="spellStart"/>
      <w:r w:rsidR="00011A3A" w:rsidRPr="00A163E8">
        <w:rPr>
          <w:rFonts w:cs="Arial"/>
          <w:lang w:val="en-US"/>
        </w:rPr>
        <w:t>DynamoDB</w:t>
      </w:r>
      <w:proofErr w:type="spellEnd"/>
      <w:r w:rsidR="00011A3A" w:rsidRPr="00A163E8">
        <w:rPr>
          <w:rFonts w:cs="Arial"/>
          <w:lang w:val="en-US"/>
        </w:rPr>
        <w:t xml:space="preserve"> 2012, S.21</w:t>
      </w:r>
    </w:p>
  </w:footnote>
  <w:footnote w:id="116">
    <w:p w:rsidR="001A04AA" w:rsidRPr="001A04AA" w:rsidRDefault="001A04AA" w:rsidP="001A04AA">
      <w:pPr>
        <w:pStyle w:val="FootnoteText"/>
        <w:rPr>
          <w:lang w:val="en-US"/>
        </w:rPr>
      </w:pPr>
      <w:r>
        <w:rPr>
          <w:rStyle w:val="FootnoteReference"/>
        </w:rPr>
        <w:footnoteRef/>
      </w:r>
      <w:r w:rsidRPr="001A04AA">
        <w:rPr>
          <w:lang w:val="en-US"/>
        </w:rPr>
        <w:t xml:space="preserve"> </w:t>
      </w:r>
      <w:proofErr w:type="spellStart"/>
      <w:r w:rsidRPr="001A04AA">
        <w:rPr>
          <w:rFonts w:cs="Arial"/>
          <w:lang w:val="en-US"/>
        </w:rPr>
        <w:t>Vgl</w:t>
      </w:r>
      <w:proofErr w:type="spellEnd"/>
      <w:r w:rsidRPr="001A04AA">
        <w:rPr>
          <w:rFonts w:cs="Arial"/>
          <w:lang w:val="en-US"/>
        </w:rPr>
        <w:t xml:space="preserve">. Amazon </w:t>
      </w:r>
      <w:proofErr w:type="spellStart"/>
      <w:r w:rsidRPr="001A04AA">
        <w:rPr>
          <w:rFonts w:cs="Arial"/>
          <w:lang w:val="en-US"/>
        </w:rPr>
        <w:t>DynamoDB</w:t>
      </w:r>
      <w:proofErr w:type="spellEnd"/>
      <w:r w:rsidRPr="001A04AA">
        <w:rPr>
          <w:rFonts w:cs="Arial"/>
          <w:lang w:val="en-US"/>
        </w:rPr>
        <w:t xml:space="preserve"> 2012, S.22</w:t>
      </w:r>
    </w:p>
  </w:footnote>
  <w:footnote w:id="117">
    <w:p w:rsidR="001A04AA" w:rsidRPr="008423CD" w:rsidRDefault="001A04AA" w:rsidP="001A04AA">
      <w:pPr>
        <w:pStyle w:val="FootnoteText"/>
      </w:pPr>
      <w:r>
        <w:rPr>
          <w:rStyle w:val="FootnoteReference"/>
        </w:rPr>
        <w:footnoteRef/>
      </w:r>
      <w:r w:rsidRPr="001A04AA">
        <w:rPr>
          <w:lang w:val="en-US"/>
        </w:rPr>
        <w:t xml:space="preserve"> </w:t>
      </w:r>
      <w:proofErr w:type="spellStart"/>
      <w:r w:rsidRPr="001A04AA">
        <w:rPr>
          <w:rFonts w:cs="Arial"/>
          <w:lang w:val="en-US"/>
        </w:rPr>
        <w:t>Vgl</w:t>
      </w:r>
      <w:proofErr w:type="spellEnd"/>
      <w:r w:rsidRPr="001A04AA">
        <w:rPr>
          <w:rFonts w:cs="Arial"/>
          <w:lang w:val="en-US"/>
        </w:rPr>
        <w:t xml:space="preserve">.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7" w:name="_CTVP0018d182d6addc84e2ca568602a30cec9ee"/>
      <w:r>
        <w:rPr>
          <w:rFonts w:cs="Arial"/>
        </w:rPr>
        <w:t>Nacke 2016</w:t>
      </w:r>
      <w:bookmarkEnd w:id="117"/>
      <w:r>
        <w:rPr>
          <w:rFonts w:cs="Arial"/>
        </w:rPr>
        <w:fldChar w:fldCharType="end"/>
      </w:r>
      <w:r w:rsidRPr="00DE4C0E">
        <w:rPr>
          <w:rFonts w:cs="Arial"/>
        </w:rPr>
        <w:t>, p.86</w:t>
      </w:r>
    </w:p>
  </w:footnote>
  <w:footnote w:id="118">
    <w:p w:rsidR="00BC6007" w:rsidRPr="007230BE" w:rsidRDefault="00BC6007" w:rsidP="00BC6007">
      <w:pPr>
        <w:pStyle w:val="FootnoteText"/>
        <w:rPr>
          <w:rFonts w:cs="Arial"/>
        </w:rPr>
      </w:pPr>
      <w:r w:rsidRPr="007230BE">
        <w:rPr>
          <w:rStyle w:val="FootnoteReference"/>
          <w:rFonts w:cs="Arial"/>
        </w:rPr>
        <w:footnoteRef/>
      </w:r>
      <w:r w:rsidRPr="007230BE">
        <w:rPr>
          <w:rFonts w:cs="Arial"/>
        </w:rPr>
        <w:t xml:space="preserve"> Vgl. </w:t>
      </w:r>
      <w:r w:rsidR="00011A3A" w:rsidRPr="007230BE">
        <w:rPr>
          <w:rFonts w:cs="Arial"/>
        </w:rPr>
        <w:fldChar w:fldCharType="begin"/>
      </w:r>
      <w:r w:rsidR="00011A3A"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00011A3A" w:rsidRPr="007230BE">
        <w:rPr>
          <w:rFonts w:cs="Arial"/>
        </w:rPr>
        <w:fldChar w:fldCharType="separate"/>
      </w:r>
      <w:bookmarkStart w:id="119" w:name="_CTVP001bc35f7bddbf04948962f66e2c1397a17"/>
      <w:r w:rsidR="00011A3A" w:rsidRPr="007230BE">
        <w:rPr>
          <w:rFonts w:cs="Arial"/>
        </w:rPr>
        <w:t xml:space="preserve"> Grolinger/A. Higashino/Tiwari/A. CapretzM 2013</w:t>
      </w:r>
      <w:bookmarkEnd w:id="119"/>
      <w:r w:rsidR="00011A3A" w:rsidRPr="007230BE">
        <w:rPr>
          <w:rFonts w:cs="Arial"/>
        </w:rPr>
        <w:fldChar w:fldCharType="end"/>
      </w:r>
      <w:r w:rsidR="00011A3A" w:rsidRPr="007230BE">
        <w:rPr>
          <w:rFonts w:cs="Arial"/>
        </w:rPr>
        <w:t>, p.15</w:t>
      </w:r>
    </w:p>
  </w:footnote>
  <w:footnote w:id="119">
    <w:p w:rsidR="00BC6007" w:rsidRPr="007230BE" w:rsidRDefault="00BC6007" w:rsidP="00BC6007">
      <w:pPr>
        <w:pStyle w:val="FootnoteText"/>
        <w:rPr>
          <w:rFonts w:cs="Arial"/>
        </w:rPr>
      </w:pPr>
      <w:r w:rsidRPr="007230BE">
        <w:rPr>
          <w:rStyle w:val="FootnoteReference"/>
          <w:rFonts w:cs="Arial"/>
        </w:rPr>
        <w:footnoteRef/>
      </w:r>
      <w:r w:rsidRPr="007230BE">
        <w:rPr>
          <w:rFonts w:cs="Arial"/>
        </w:rPr>
        <w:t xml:space="preserve"> Vgl. </w:t>
      </w:r>
      <w:r w:rsidR="00011A3A" w:rsidRPr="007230BE">
        <w:rPr>
          <w:rFonts w:cs="Arial"/>
        </w:rPr>
        <w:t>Vyas and Kuppusamy 2014, S.176</w:t>
      </w:r>
    </w:p>
  </w:footnote>
  <w:footnote w:id="120">
    <w:p w:rsidR="00BC6007" w:rsidRPr="007230BE" w:rsidRDefault="00BC6007"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w:t>
      </w:r>
      <w:r w:rsidR="00011A3A" w:rsidRPr="007230BE">
        <w:rPr>
          <w:rFonts w:cs="Arial"/>
          <w:sz w:val="20"/>
          <w:szCs w:val="20"/>
        </w:rPr>
        <w:t xml:space="preserve"> </w:t>
      </w:r>
      <w:proofErr w:type="spellStart"/>
      <w:r w:rsidR="00011A3A" w:rsidRPr="007230BE">
        <w:rPr>
          <w:rFonts w:cs="Arial"/>
          <w:sz w:val="20"/>
          <w:szCs w:val="20"/>
        </w:rPr>
        <w:t>Grolinger</w:t>
      </w:r>
      <w:proofErr w:type="spellEnd"/>
      <w:r w:rsidR="00011A3A" w:rsidRPr="007230BE">
        <w:rPr>
          <w:rFonts w:cs="Arial"/>
          <w:sz w:val="20"/>
          <w:szCs w:val="20"/>
        </w:rPr>
        <w:t>/</w:t>
      </w:r>
      <w:proofErr w:type="spellStart"/>
      <w:r w:rsidR="00011A3A" w:rsidRPr="007230BE">
        <w:rPr>
          <w:rFonts w:cs="Arial"/>
          <w:sz w:val="20"/>
          <w:szCs w:val="20"/>
        </w:rPr>
        <w:t>Higashino</w:t>
      </w:r>
      <w:proofErr w:type="spellEnd"/>
      <w:r w:rsidR="00011A3A" w:rsidRPr="007230BE">
        <w:rPr>
          <w:rFonts w:cs="Arial"/>
          <w:sz w:val="20"/>
          <w:szCs w:val="20"/>
        </w:rPr>
        <w:t>/</w:t>
      </w:r>
      <w:proofErr w:type="spellStart"/>
      <w:r w:rsidR="00011A3A" w:rsidRPr="007230BE">
        <w:rPr>
          <w:rFonts w:cs="Arial"/>
          <w:sz w:val="20"/>
          <w:szCs w:val="20"/>
        </w:rPr>
        <w:t>Tiwari</w:t>
      </w:r>
      <w:proofErr w:type="spellEnd"/>
      <w:r w:rsidR="00011A3A" w:rsidRPr="007230BE">
        <w:rPr>
          <w:rFonts w:cs="Arial"/>
          <w:sz w:val="20"/>
          <w:szCs w:val="20"/>
        </w:rPr>
        <w:t>/</w:t>
      </w:r>
      <w:proofErr w:type="spellStart"/>
      <w:r w:rsidR="00011A3A" w:rsidRPr="007230BE">
        <w:rPr>
          <w:rFonts w:cs="Arial"/>
          <w:sz w:val="20"/>
          <w:szCs w:val="20"/>
        </w:rPr>
        <w:t>CapretzM</w:t>
      </w:r>
      <w:proofErr w:type="spellEnd"/>
      <w:r w:rsidR="00011A3A" w:rsidRPr="007230BE">
        <w:rPr>
          <w:rFonts w:cs="Arial"/>
          <w:sz w:val="20"/>
          <w:szCs w:val="20"/>
        </w:rPr>
        <w:t xml:space="preserve"> 2013, p.17</w:t>
      </w:r>
    </w:p>
  </w:footnote>
  <w:footnote w:id="121">
    <w:p w:rsidR="00BC6007" w:rsidRPr="007230BE" w:rsidRDefault="00BC6007"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w:t>
      </w:r>
      <w:proofErr w:type="spellStart"/>
      <w:r w:rsidR="00011A3A" w:rsidRPr="007230BE">
        <w:rPr>
          <w:rFonts w:cs="Arial"/>
          <w:sz w:val="20"/>
          <w:szCs w:val="20"/>
        </w:rPr>
        <w:t>Vyas</w:t>
      </w:r>
      <w:proofErr w:type="spellEnd"/>
      <w:r w:rsidR="00011A3A" w:rsidRPr="007230BE">
        <w:rPr>
          <w:rFonts w:cs="Arial"/>
          <w:sz w:val="20"/>
          <w:szCs w:val="20"/>
        </w:rPr>
        <w:t>/</w:t>
      </w:r>
      <w:proofErr w:type="spellStart"/>
      <w:r w:rsidR="00011A3A" w:rsidRPr="007230BE">
        <w:rPr>
          <w:rFonts w:cs="Arial"/>
          <w:sz w:val="20"/>
          <w:szCs w:val="20"/>
        </w:rPr>
        <w:t>Kuppusamy</w:t>
      </w:r>
      <w:proofErr w:type="spellEnd"/>
      <w:r w:rsidR="00011A3A" w:rsidRPr="007230BE">
        <w:rPr>
          <w:rFonts w:cs="Arial"/>
          <w:sz w:val="20"/>
          <w:szCs w:val="20"/>
        </w:rPr>
        <w:t xml:space="preserve"> </w:t>
      </w:r>
      <w:r w:rsidRPr="007230BE">
        <w:rPr>
          <w:rFonts w:cs="Arial"/>
          <w:sz w:val="20"/>
          <w:szCs w:val="20"/>
        </w:rPr>
        <w:t>2014, S.176</w:t>
      </w:r>
    </w:p>
    <w:p w:rsidR="00BC6007" w:rsidRPr="00011A3A"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9F1776">
          <w:rPr>
            <w:noProof/>
          </w:rPr>
          <w:t>28</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9F1776">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B7F"/>
    <w:rsid w:val="004A2FD1"/>
    <w:rsid w:val="004A497D"/>
    <w:rsid w:val="004A549D"/>
    <w:rsid w:val="004B4A7E"/>
    <w:rsid w:val="004C11F1"/>
    <w:rsid w:val="004C1CF0"/>
    <w:rsid w:val="004C2150"/>
    <w:rsid w:val="004C316C"/>
    <w:rsid w:val="004C33D3"/>
    <w:rsid w:val="004D4914"/>
    <w:rsid w:val="004E1A7A"/>
    <w:rsid w:val="004E1C4C"/>
    <w:rsid w:val="004E483F"/>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B4A83"/>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540363184"/>
        <c:axId val="148927648"/>
      </c:barChart>
      <c:catAx>
        <c:axId val="5403631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8927648"/>
        <c:crosses val="autoZero"/>
        <c:auto val="1"/>
        <c:lblAlgn val="ctr"/>
        <c:lblOffset val="100"/>
        <c:noMultiLvlLbl val="0"/>
      </c:catAx>
      <c:valAx>
        <c:axId val="14892764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4036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AAEFA0A9-CE70-43DD-8CEA-D95D080C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41</Pages>
  <Words>11941</Words>
  <Characters>68070</Characters>
  <Application>Microsoft Office Word</Application>
  <DocSecurity>0</DocSecurity>
  <Lines>567</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79852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127</cp:revision>
  <dcterms:created xsi:type="dcterms:W3CDTF">2016-12-06T09:15:00Z</dcterms:created>
  <dcterms:modified xsi:type="dcterms:W3CDTF">2017-01-09T11:12:00Z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