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36" w:rsidRPr="005A0836" w:rsidRDefault="005A0836" w:rsidP="005A0836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A08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Вариант 1</w:t>
      </w:r>
    </w:p>
    <w:p w:rsidR="005A0836" w:rsidRPr="005A0836" w:rsidRDefault="005A0836" w:rsidP="005A0836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A08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Реализовать геометрию со следующими параметрами: Расположить в плоскости XZ G4Cons G4Para и G4Tubs по вершинам вписанного в окружность равностороннего треугольника. В плоскости Y фигуры должны располагаться одна над другой (начиная с G4Cons заканчивая G4Tubs)</w:t>
      </w:r>
    </w:p>
    <w:p w:rsidR="005A0836" w:rsidRDefault="005A0836" w:rsidP="005A0836">
      <w:pPr>
        <w:pStyle w:val="1"/>
        <w:pBdr>
          <w:bottom w:val="single" w:sz="6" w:space="4" w:color="EAECEF"/>
        </w:pBdr>
        <w:spacing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2</w:t>
      </w:r>
    </w:p>
    <w:p w:rsidR="005A0836" w:rsidRDefault="005A0836" w:rsidP="005A0836">
      <w:pPr>
        <w:pStyle w:val="a3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геометрию со следующими параметрами: Расположить в плоскости XZ G4Tubs G4Sphere G4BoX и G4Orb по вершинам вписанного в окружность квадрата. В плоскости Y фигуры G4Tubs и G4Box должны располагаться на одном уровне G4Sphere и G4Orb должны находиться ниже этих фигур</w:t>
      </w:r>
    </w:p>
    <w:p w:rsidR="005A0836" w:rsidRDefault="005A0836" w:rsidP="005A0836">
      <w:pPr>
        <w:pStyle w:val="1"/>
        <w:pBdr>
          <w:bottom w:val="single" w:sz="6" w:space="4" w:color="EAECEF"/>
        </w:pBdr>
        <w:spacing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3</w:t>
      </w:r>
    </w:p>
    <w:p w:rsidR="005A0836" w:rsidRDefault="005A0836" w:rsidP="005A0836">
      <w:pPr>
        <w:pStyle w:val="a3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Реализовать геометрию со следующими параметрами: Расположить в плоскости XZ G4Box G4Torus и G4Sphere по вершинам вписанного в окружность равностороннего треугольника. В плоскости Y фигуры G4Box и G4Torus должны </w:t>
      </w:r>
      <w:proofErr w:type="spellStart"/>
      <w:r>
        <w:rPr>
          <w:rFonts w:ascii="Segoe UI" w:hAnsi="Segoe UI" w:cs="Segoe UI"/>
          <w:color w:val="24292E"/>
        </w:rPr>
        <w:t>распологаться</w:t>
      </w:r>
      <w:proofErr w:type="spellEnd"/>
      <w:r>
        <w:rPr>
          <w:rFonts w:ascii="Segoe UI" w:hAnsi="Segoe UI" w:cs="Segoe UI"/>
          <w:color w:val="24292E"/>
        </w:rPr>
        <w:t xml:space="preserve"> на одном уровне, а G4Sphere должна располагаться выше этих фигур</w:t>
      </w:r>
    </w:p>
    <w:p w:rsidR="005A0836" w:rsidRDefault="005A0836" w:rsidP="005A0836">
      <w:pPr>
        <w:pStyle w:val="1"/>
        <w:pBdr>
          <w:bottom w:val="single" w:sz="6" w:space="4" w:color="EAECEF"/>
        </w:pBdr>
        <w:spacing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4</w:t>
      </w:r>
    </w:p>
    <w:p w:rsidR="005A0836" w:rsidRDefault="005A0836" w:rsidP="005A0836">
      <w:pPr>
        <w:pStyle w:val="a3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геометрию со следующими параметрами: Расположить в плоскости XZ G4Trd G4CutTubs G4BoX и G4Sphere по вершинам вписанного в окружность квадрата. В плоскости Y фигуры располагаться одна над другой</w:t>
      </w:r>
    </w:p>
    <w:p w:rsidR="00DE69F4" w:rsidRDefault="00DE69F4" w:rsidP="005A0836">
      <w:pPr>
        <w:jc w:val="both"/>
      </w:pPr>
    </w:p>
    <w:p w:rsidR="005A0836" w:rsidRPr="005A0836" w:rsidRDefault="005A0836" w:rsidP="005A0836">
      <w:pPr>
        <w:jc w:val="both"/>
      </w:pPr>
      <w:r>
        <w:t xml:space="preserve">Основа проекта расположена в </w:t>
      </w:r>
      <w:r>
        <w:rPr>
          <w:lang w:val="en-US"/>
        </w:rPr>
        <w:t>zip</w:t>
      </w:r>
      <w:r w:rsidRPr="005A0836">
        <w:t xml:space="preserve"> </w:t>
      </w:r>
      <w:r>
        <w:t>архиве</w:t>
      </w:r>
      <w:bookmarkStart w:id="0" w:name="_GoBack"/>
      <w:bookmarkEnd w:id="0"/>
    </w:p>
    <w:sectPr w:rsidR="005A0836" w:rsidRPr="005A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F"/>
    <w:rsid w:val="004D089F"/>
    <w:rsid w:val="005A0836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EA1A"/>
  <w15:chartTrackingRefBased/>
  <w15:docId w15:val="{52E96C19-77D4-45A1-8502-A4253CC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8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2018-06-13T10:15:00Z</dcterms:created>
  <dcterms:modified xsi:type="dcterms:W3CDTF">2018-06-13T10:16:00Z</dcterms:modified>
</cp:coreProperties>
</file>