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FF" w:rsidRPr="004709FF" w:rsidRDefault="004709FF" w:rsidP="004709FF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709F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Расчетно-графическая работа 4</w:t>
      </w:r>
    </w:p>
    <w:p w:rsidR="004709FF" w:rsidRDefault="004709FF" w:rsidP="004709FF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1</w:t>
      </w:r>
    </w:p>
    <w:p w:rsidR="004709FF" w:rsidRDefault="004709FF" w:rsidP="004709FF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Реализовать 1 кубический BGO детектор размером 40х40х40. Расположить точечный направленный </w:t>
      </w:r>
      <w:proofErr w:type="spellStart"/>
      <w:r>
        <w:rPr>
          <w:rFonts w:ascii="Segoe UI" w:hAnsi="Segoe UI" w:cs="Segoe UI"/>
          <w:color w:val="24292E"/>
        </w:rPr>
        <w:t>моноэнергетичный</w:t>
      </w:r>
      <w:proofErr w:type="spellEnd"/>
      <w:r>
        <w:rPr>
          <w:rFonts w:ascii="Segoe UI" w:hAnsi="Segoe UI" w:cs="Segoe UI"/>
          <w:color w:val="24292E"/>
        </w:rPr>
        <w:t xml:space="preserve"> источник гамма квантов с вероятностью двойного вылета гамма квантов 40% на расстоянии 10 см от детектора</w:t>
      </w:r>
    </w:p>
    <w:p w:rsidR="004709FF" w:rsidRDefault="004709FF" w:rsidP="004709FF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Запустив 100000 событий определить в скольких из них будет </w:t>
      </w:r>
      <w:proofErr w:type="spellStart"/>
      <w:r>
        <w:rPr>
          <w:rFonts w:ascii="Segoe UI" w:hAnsi="Segoe UI" w:cs="Segoe UI"/>
          <w:color w:val="24292E"/>
        </w:rPr>
        <w:t>зарегестрировано</w:t>
      </w:r>
      <w:proofErr w:type="spellEnd"/>
      <w:r>
        <w:rPr>
          <w:rFonts w:ascii="Segoe UI" w:hAnsi="Segoe UI" w:cs="Segoe UI"/>
          <w:color w:val="24292E"/>
        </w:rPr>
        <w:t xml:space="preserve"> 2 первичных гамма кванта. (из шага можно получить ID частицы, его и использовать как критерий). Порог 50 кэВ. Результаты вывести в отдельный файл</w:t>
      </w:r>
    </w:p>
    <w:p w:rsidR="004709FF" w:rsidRDefault="004709FF" w:rsidP="004709FF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Вариант 2</w:t>
      </w:r>
    </w:p>
    <w:p w:rsidR="004709FF" w:rsidRDefault="004709FF" w:rsidP="004709F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4 кубических полиэтиленовых детектора размером 15х15х15, 20х20х20, 30х30х30. 45х45х45 расположив их по "4-рем сторонам света" на расстоянии 1 м от источника.</w:t>
      </w:r>
    </w:p>
    <w:p w:rsidR="004709FF" w:rsidRDefault="004709FF" w:rsidP="004709F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Установить порог регистрации для них 100кэВ, 200кэВ, 500кэВ и 1МэВ соответственно</w:t>
      </w:r>
    </w:p>
    <w:p w:rsidR="004709FF" w:rsidRDefault="004709FF" w:rsidP="004709F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Используя в качестве источника излучения точечный изотропный моноэнергетический источник нейтронов определить эффективность регистрации для каждого из кубиков и вывести в отдельный файл. Запускать 100000 событий</w:t>
      </w:r>
    </w:p>
    <w:p w:rsidR="00DE69F4" w:rsidRDefault="00DE69F4">
      <w:bookmarkStart w:id="0" w:name="_GoBack"/>
      <w:bookmarkEnd w:id="0"/>
    </w:p>
    <w:sectPr w:rsidR="00DE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9340C"/>
    <w:multiLevelType w:val="multilevel"/>
    <w:tmpl w:val="B90C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20841"/>
    <w:multiLevelType w:val="multilevel"/>
    <w:tmpl w:val="8C8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1F"/>
    <w:rsid w:val="004709FF"/>
    <w:rsid w:val="00DE69F4"/>
    <w:rsid w:val="00E3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E6891-4D7C-4D34-8971-4F1891EA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0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9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2</cp:revision>
  <dcterms:created xsi:type="dcterms:W3CDTF">2018-06-13T10:22:00Z</dcterms:created>
  <dcterms:modified xsi:type="dcterms:W3CDTF">2018-06-13T10:23:00Z</dcterms:modified>
</cp:coreProperties>
</file>