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1D64" w14:textId="77777777" w:rsidR="00E921B8" w:rsidRDefault="00E921B8" w:rsidP="00E921B8">
      <w:r>
        <w:t xml:space="preserve"># Methodology &amp; Technical Notes </w:t>
      </w:r>
    </w:p>
    <w:p w14:paraId="45C44F95" w14:textId="77777777" w:rsidR="00E921B8" w:rsidRDefault="00E921B8" w:rsidP="00E921B8"/>
    <w:p w14:paraId="172DE132" w14:textId="77777777" w:rsidR="00E921B8" w:rsidRDefault="00E921B8" w:rsidP="00E921B8">
      <w:r>
        <w:t xml:space="preserve">### Analytical Approach </w:t>
      </w:r>
    </w:p>
    <w:p w14:paraId="5624FB60" w14:textId="77777777" w:rsidR="00E921B8" w:rsidRDefault="00E921B8" w:rsidP="00E921B8">
      <w:r>
        <w:t xml:space="preserve">This analysis employs user-based metrics as the primary framework, with event-based metrics providing behavioral context. User-based metrics (e.g., "5% of users activated within 7 days") reflect customer outcomes and business impact, while event-based metrics (e.g., "users viewed 38 products on average") illuminate engagement depth. </w:t>
      </w:r>
    </w:p>
    <w:p w14:paraId="63CC8543" w14:textId="77777777" w:rsidR="00E921B8" w:rsidRDefault="00E921B8" w:rsidP="00E921B8"/>
    <w:p w14:paraId="3821510E" w14:textId="77777777" w:rsidR="00E921B8" w:rsidRDefault="00E921B8" w:rsidP="00E921B8">
      <w:r>
        <w:t>This analysis was carried out using the Microsoft PowerBI tool</w:t>
      </w:r>
    </w:p>
    <w:p w14:paraId="712F4745" w14:textId="77777777" w:rsidR="00E921B8" w:rsidRDefault="00E921B8" w:rsidP="00E921B8"/>
    <w:p w14:paraId="3DCE2351" w14:textId="77777777" w:rsidR="00E921B8" w:rsidRDefault="00E921B8" w:rsidP="00E921B8">
      <w:r>
        <w:t xml:space="preserve">### Key Definitions </w:t>
      </w:r>
    </w:p>
    <w:p w14:paraId="282DC101" w14:textId="77777777" w:rsidR="00E921B8" w:rsidRDefault="00E921B8" w:rsidP="00E921B8">
      <w:r>
        <w:t>- **New User:** A user experiencing their first tracked event (view, cart, or purchase) during the analysis period. Defined by `first_event_date`</w:t>
      </w:r>
    </w:p>
    <w:p w14:paraId="7E521063" w14:textId="77777777" w:rsidR="00E921B8" w:rsidRDefault="00E921B8" w:rsidP="00E921B8"/>
    <w:p w14:paraId="2D4B9BAE" w14:textId="77777777" w:rsidR="00E921B8" w:rsidRDefault="00E921B8" w:rsidP="00E921B8">
      <w:r>
        <w:t xml:space="preserve">- **7-Day Activation:** A new user who completes their first purchase within 7 days of `first_event_date`. Measured using `DATEDIFF(first_event_date, first_purchase_date, DAY) &lt;= 7`. </w:t>
      </w:r>
    </w:p>
    <w:p w14:paraId="48A02379" w14:textId="77777777" w:rsidR="00E921B8" w:rsidRDefault="00E921B8" w:rsidP="00E921B8"/>
    <w:p w14:paraId="427DBAD0" w14:textId="77777777" w:rsidR="00E921B8" w:rsidRDefault="00E921B8" w:rsidP="00E921B8">
      <w:r>
        <w:t xml:space="preserve">#### User Type Classification: </w:t>
      </w:r>
    </w:p>
    <w:p w14:paraId="6C749FF1" w14:textId="77777777" w:rsidR="00E921B8" w:rsidRDefault="00E921B8" w:rsidP="00E921B8">
      <w:r>
        <w:t>- **Traditional Browser:** Users with ≥1 view event before cart addition</w:t>
      </w:r>
    </w:p>
    <w:p w14:paraId="5128CD59" w14:textId="77777777" w:rsidR="00E921B8" w:rsidRDefault="00E921B8" w:rsidP="00E921B8">
      <w:r>
        <w:t>- **Direct-to-Cart:** Users with cart events but zero view events (arrived via email, social, recommendations)</w:t>
      </w:r>
    </w:p>
    <w:p w14:paraId="255A9F48" w14:textId="77777777" w:rsidR="00E921B8" w:rsidRDefault="00E921B8" w:rsidP="00E921B8">
      <w:r>
        <w:t xml:space="preserve">- **Unknown:** Users with only purchase events, no views or cart (0.02% of users, documented but not analyzed due to negligible volume) </w:t>
      </w:r>
    </w:p>
    <w:p w14:paraId="209D5FBB" w14:textId="77777777" w:rsidR="00E921B8" w:rsidRDefault="00E921B8" w:rsidP="00E921B8">
      <w:r>
        <w:t xml:space="preserve">- **Day 0 Purchase:** Same calendar day purchase. `DATEDIFF` in DAY mode returns 0 for same-day events regardless of hour difference. </w:t>
      </w:r>
    </w:p>
    <w:p w14:paraId="506E42DA" w14:textId="77777777" w:rsidR="00E921B8" w:rsidRDefault="00E921B8" w:rsidP="00E921B8"/>
    <w:p w14:paraId="31078EB2" w14:textId="77777777" w:rsidR="00E921B8" w:rsidRDefault="00E921B8" w:rsidP="00E921B8">
      <w:r>
        <w:t>### Data Limitations:</w:t>
      </w:r>
    </w:p>
    <w:p w14:paraId="09FA12EA" w14:textId="77777777" w:rsidR="00E921B8" w:rsidRDefault="00E921B8" w:rsidP="00E921B8">
      <w:r>
        <w:t>**Data Structure:** Purchase events in this dataset represent product-level line items rather than completed checkout sessions. Therefore, purchase frequency reflects number of items purchased rather than number of checkout transactions.</w:t>
      </w:r>
    </w:p>
    <w:p w14:paraId="59B46316" w14:textId="77777777" w:rsidR="00E921B8" w:rsidRDefault="00E921B8" w:rsidP="00E921B8"/>
    <w:p w14:paraId="784A3927" w14:textId="77777777" w:rsidR="00E921B8" w:rsidRDefault="00E921B8" w:rsidP="00E921B8">
      <w:r>
        <w:t xml:space="preserve">**Limited Timeframe:** Five-month analysis (October 2019 - February 2020) captures seasonal variation but cannot assess full-year patterns. November's peak performance may represent holiday seasonality rather than replicable baseline. </w:t>
      </w:r>
    </w:p>
    <w:p w14:paraId="527F782A" w14:textId="77777777" w:rsidR="00E921B8" w:rsidRDefault="00E921B8" w:rsidP="00E921B8"/>
    <w:p w14:paraId="7F31CBC7" w14:textId="77777777" w:rsidR="00E921B8" w:rsidRDefault="00E921B8" w:rsidP="00E921B8">
      <w:r>
        <w:lastRenderedPageBreak/>
        <w:t>**No Marketing Attribution:** Dataset lacks UTM parameters or channel source fields, preventing direct attribution of activation performance to specific marketing campaigns. Channel analysis relies on user behavior patterns (view vs direct-to-cart) as proxy.</w:t>
      </w:r>
    </w:p>
    <w:p w14:paraId="3463A068" w14:textId="77777777" w:rsidR="00E921B8" w:rsidRDefault="00E921B8" w:rsidP="00E921B8"/>
    <w:p w14:paraId="6D0D8D38" w14:textId="77777777" w:rsidR="00E921B8" w:rsidRDefault="00E921B8" w:rsidP="00E921B8">
      <w:r>
        <w:t xml:space="preserve">**Cohort Selection and Exclusion Logic in 90 Day Retention Analysis:** </w:t>
      </w:r>
    </w:p>
    <w:p w14:paraId="3BEF9C93" w14:textId="77777777" w:rsidR="00E921B8" w:rsidRDefault="00E921B8" w:rsidP="00E921B8">
      <w:r>
        <w:t>Included Cohorts: October 2019 &amp; November 2019</w:t>
      </w:r>
    </w:p>
    <w:p w14:paraId="7256775C" w14:textId="77777777" w:rsidR="00E921B8" w:rsidRDefault="00E921B8" w:rsidP="00E921B8">
      <w:r>
        <w:t>Excluded Cohorts: December 2019 onwards (90-day windows extend beyond February 29, 2020 data availability)</w:t>
      </w:r>
    </w:p>
    <w:p w14:paraId="4E62AFBF" w14:textId="7A2DFAF5" w:rsidR="0005628E" w:rsidRDefault="00E921B8" w:rsidP="00E921B8">
      <w:r>
        <w:t>Exclusion Rationale: Including incomplete cohorts would mark users as "not retained" when their repeat purchases occurred outside observable data range. This would artificially deflate retention rates and produce misleading insights.</w:t>
      </w:r>
    </w:p>
    <w:sectPr w:rsidR="00056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B8"/>
    <w:rsid w:val="00050771"/>
    <w:rsid w:val="0005628E"/>
    <w:rsid w:val="00177A8E"/>
    <w:rsid w:val="002F7818"/>
    <w:rsid w:val="00A33B01"/>
    <w:rsid w:val="00E9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0F9C"/>
  <w15:chartTrackingRefBased/>
  <w15:docId w15:val="{6EF61042-ED95-4BDB-A325-5994F987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Kafayat Akinwande</dc:creator>
  <cp:keywords/>
  <dc:description/>
  <cp:lastModifiedBy>Kafayat Akinwande</cp:lastModifiedBy>
  <cp:revision>1</cp:revision>
  <dcterms:created xsi:type="dcterms:W3CDTF">2026-02-23T17:00:00Z</dcterms:created>
  <dcterms:modified xsi:type="dcterms:W3CDTF">2026-02-23T17:01:00Z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4d3b30a2-b6df-4ae9-ba3b-644507665fd7</vt:lpwstr>
  </property>
</Properties>
</file>