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7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25.4 / 下 25.4 / 左 31.8 / 右 31.8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title：黑体，22 磅，对齐 center</w:t>
      </w:r>
    </w:p>
    <w:p>
      <w:pPr>
        <w:pStyle w:val="ListBullet"/>
      </w:pPr>
      <w:r>
        <w:t>body：宋体，12 磅，对齐 justify，行距 1.5 磅，首行缩进 2 字符</w:t>
      </w:r>
    </w:p>
    <w:p>
      <w:pPr>
        <w:pStyle w:val="ListBullet"/>
      </w:pPr>
      <w:r>
        <w:t>signature：宋体，12 磅，对齐 right</w:t>
      </w:r>
    </w:p>
    <w:p>
      <w:pPr>
        <w:pStyle w:val="ListBullet"/>
      </w:pPr>
      <w:r>
        <w:t>date：宋体，12 磅，对齐 right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paragraph_style、font_eastasia、size_pt、bold、alignment</w:t>
            </w:r>
          </w:p>
        </w:tc>
        <w:tc>
          <w:tcPr>
            <w:tcW w:type="dxa" w:w="1728"/>
          </w:tcPr>
          <w:p>
            <w:r>
              <w:t>智汇云平台2.0正式发布，中小企业数字化转型再添新工具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本报讯  9月10日，智汇信息技术有限公司在杭州正式发布智汇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新版平台在原有基础上全面升级了数据分析引擎，新增智能报表、供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发布会上，公司首席技术官介绍，智汇云平台2.0采用轻量化部署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据悉，该平台自2024年上线以来已服务企业用户超过两万家，覆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落款</w:t>
            </w:r>
          </w:p>
        </w:tc>
        <w:tc>
          <w:tcPr>
            <w:tcW w:type="dxa" w:w="1728"/>
          </w:tcPr>
          <w:p>
            <w:r>
              <w:t>paragraph_style、font_eastasia、size_pt、alignment</w:t>
            </w:r>
          </w:p>
        </w:tc>
        <w:tc>
          <w:tcPr>
            <w:tcW w:type="dxa" w:w="1728"/>
          </w:tcPr>
          <w:p>
            <w:r>
              <w:t>智汇信息技术有限公司品牌市场部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paragraph_style、font_eastasia、size_pt、alignment</w:t>
            </w:r>
          </w:p>
        </w:tc>
        <w:tc>
          <w:tcPr>
            <w:tcW w:type="dxa" w:w="1728"/>
          </w:tcPr>
          <w:p>
            <w:r>
              <w:t>2026年9月10日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