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排版修改对照报告</w:t>
      </w:r>
    </w:p>
    <w:p>
      <w:pPr>
        <w:jc w:val="center"/>
      </w:pPr>
      <w:r>
        <w:rPr>
          <w:sz w:val="21"/>
        </w:rPr>
        <w:t>共 7 个段落参与排版 · 由 Format Agent 生成</w:t>
      </w:r>
    </w:p>
    <w:p>
      <w:pPr>
        <w:pStyle w:val="Heading1"/>
      </w:pPr>
      <w:r>
        <w:t>一、页面设置</w:t>
      </w:r>
    </w:p>
    <w:p>
      <w:pPr>
        <w:pStyle w:val="ListBullet"/>
      </w:pPr>
      <w:r>
        <w:t>页边距（毫米）：上 25.4 / 下 25.4 / 左 31.8 / 右 31.8</w:t>
      </w:r>
    </w:p>
    <w:p>
      <w:pPr>
        <w:pStyle w:val="ListBullet"/>
      </w:pPr>
      <w:r>
        <w:t>行网格：每行 18.0 磅</w:t>
      </w:r>
    </w:p>
    <w:p>
      <w:pPr>
        <w:pStyle w:val="Heading1"/>
      </w:pPr>
      <w:r>
        <w:t>二、套用的格式规则（FormatSpec）</w:t>
      </w:r>
    </w:p>
    <w:p>
      <w:pPr>
        <w:pStyle w:val="ListBullet"/>
      </w:pPr>
      <w:r>
        <w:t>title：微软雅黑，16.0 磅，对齐 center，行距 1.5 磅</w:t>
      </w:r>
    </w:p>
    <w:p>
      <w:pPr>
        <w:pStyle w:val="ListBullet"/>
      </w:pPr>
      <w:r>
        <w:t>subtitle：微软雅黑，11.0 磅，对齐 center，行距 1.5 磅</w:t>
      </w:r>
    </w:p>
    <w:p>
      <w:pPr>
        <w:pStyle w:val="ListBullet"/>
      </w:pPr>
      <w:r>
        <w:t>body：微软雅黑，11.0 磅，对齐 left，行距 1.5 磅</w:t>
      </w:r>
    </w:p>
    <w:p>
      <w:pPr>
        <w:pStyle w:val="ListBullet"/>
      </w:pPr>
      <w:r>
        <w:t>date：微软雅黑，11.0 磅，对齐 right，行距 1.5 磅</w:t>
      </w:r>
    </w:p>
    <w:p>
      <w:pPr>
        <w:pStyle w:val="Heading1"/>
      </w:pPr>
      <w:r>
        <w:t>三、段落修改明细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段落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Word 样式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改动字段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内容摘要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文档标题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</w:t>
            </w:r>
          </w:p>
        </w:tc>
        <w:tc>
          <w:tcPr>
            <w:tcW w:type="dxa" w:w="1728"/>
          </w:tcPr>
          <w:p>
            <w:r>
              <w:t>研发一组项目周报（9月第2周）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subtitle</w:t>
            </w:r>
          </w:p>
        </w:tc>
        <w:tc>
          <w:tcPr>
            <w:tcW w:type="dxa" w:w="1728"/>
          </w:tcPr>
          <w:p>
            <w:r>
              <w:t>文档副标题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</w:t>
            </w:r>
          </w:p>
        </w:tc>
        <w:tc>
          <w:tcPr>
            <w:tcW w:type="dxa" w:w="1728"/>
          </w:tcPr>
          <w:p>
            <w:r>
              <w:t>汇报人：陈晓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</w:t>
            </w:r>
          </w:p>
        </w:tc>
        <w:tc>
          <w:tcPr>
            <w:tcW w:type="dxa" w:w="1728"/>
          </w:tcPr>
          <w:p>
            <w:r>
              <w:t>本周智能客服项目完成意图识别模型第二轮训练，准确率提升至百分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</w:t>
            </w:r>
          </w:p>
        </w:tc>
        <w:tc>
          <w:tcPr>
            <w:tcW w:type="dxa" w:w="1728"/>
          </w:tcPr>
          <w:p>
            <w:r>
              <w:t>知识库管理系统完成前端页面开发，已进入联调阶段，目前联调进度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</w:t>
            </w:r>
          </w:p>
        </w:tc>
        <w:tc>
          <w:tcPr>
            <w:tcW w:type="dxa" w:w="1728"/>
          </w:tcPr>
          <w:p>
            <w:r>
              <w:t>本周遇到的主要问题是训练数据标注人力不足，已协调外包团队增援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</w:t>
            </w:r>
          </w:p>
        </w:tc>
        <w:tc>
          <w:tcPr>
            <w:tcW w:type="dxa" w:w="1728"/>
          </w:tcPr>
          <w:p>
            <w:r>
              <w:t>下周计划完成模型第三轮优化，启动知识库系统用户验收测试准备工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</w:t>
            </w:r>
          </w:p>
        </w:tc>
        <w:tc>
          <w:tcPr>
            <w:tcW w:type="dxa" w:w="1728"/>
          </w:tcPr>
          <w:p>
            <w:r>
              <w:t>2026年9月12日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