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23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25 / 下 25 / 左 30 / 右 25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title：黑体，22 磅，对齐 center</w:t>
      </w:r>
    </w:p>
    <w:p>
      <w:pPr>
        <w:pStyle w:val="ListBullet"/>
      </w:pPr>
      <w:r>
        <w:t>heading_1：黑体，14 磅，对齐 left</w:t>
      </w:r>
    </w:p>
    <w:p>
      <w:pPr>
        <w:pStyle w:val="ListBullet"/>
      </w:pPr>
      <w:r>
        <w:t>heading_2：宋体，12 磅，对齐 left</w:t>
      </w:r>
    </w:p>
    <w:p>
      <w:pPr>
        <w:pStyle w:val="ListBullet"/>
      </w:pPr>
      <w:r>
        <w:t>body：宋体，12 磅，对齐 justify，行距 1.5 磅，首行缩进 2 字符</w:t>
      </w:r>
    </w:p>
    <w:p>
      <w:pPr>
        <w:pStyle w:val="ListBullet"/>
      </w:pPr>
      <w:r>
        <w:t>other：宋体，10.5 磅，对齐 center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数字经济对传统零售业的影响研究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摘要：随着数字技术的迅猛发展，数字经济正在深刻改变传统零售业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关键词：数字经济；传统零售业；转型升级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一、引言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（一）研究背景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近年来，我国数字经济规模持续扩大，占国内生产总值比重不断提升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（二）研究意义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研究数字经济对传统零售业的影响，有助于传统零售企业认清形势、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二、数字经济概述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数字经济是以数据资源为关键生产要素、以现代信息网络为重要载体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三、数字经济对传统零售业的影响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（一）销售渠道的变革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1.线上消费规模持续扩大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电子商务平台打破了传统零售业的地域限制，消费者可以随时随地完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2.全渠道融合成为趋势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线上线下融合的运营模式成为主流，传统门店逐步转型为体验中心和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（二）供应链的重构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数字技术使供应链各环节信息实时共享，库存周转效率显著提升，以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四、结论与建议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传统零售企业应主动拥抱数字技术，加快数字化基础设施建设，重构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参考文献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[1] 陈明. 数字经济导论[M]. 北京: 经济科学出版社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[2] 李华. 零售业数字化转型路径研究[J]. 商业经济研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