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B256CE">
      <w:pPr>
        <w:pStyle w:val="FormatAgentTitle"/>
        <w:keepNext w:val="0"/>
        <w:keepLines w:val="0"/>
        <w:pageBreakBefore w:val="0"/>
        <w:widowControl w:val="0"/>
        <w:kinsoku/>
        <w:wordWrap/>
        <w:overflowPunct/>
        <w:topLinePunct w:val="0"/>
        <w:autoSpaceDE/>
        <w:autoSpaceDN/>
        <w:bidi w:val="0"/>
        <w:adjustRightInd/>
        <w:snapToGrid/>
        <w:spacing w:line="520" w:lineRule="exact"/>
        <w:textAlignment w:val="auto"/>
        <w:rPr>
          <w:lang w:val="en-US" w:eastAsia="zh-CN"/>
        </w:rPr>
      </w:pPr>
      <w:r>
        <w:rPr>
          <w:lang w:val="en-US" w:eastAsia="zh-CN"/>
        </w:rPr>
        <w:t>关于向华洲市云湖区启明产业投资基金合伙企业（有限合伙）委派投委会委员表决拟投资项目星驰智行的议案</w:t>
      </w:r>
    </w:p>
    <w:p w14:paraId="1712EF30">
      <w:pPr>
        <w:pStyle w:val="FormatAgentSubtitle"/>
        <w:rPr>
          <w:kern w:val="2"/>
          <w:highlight w:val="none"/>
          <w:lang w:val="en-US" w:eastAsia="zh-CN" w:bidi="ar-SA"/>
        </w:rPr>
      </w:pPr>
      <w:r>
        <w:rPr>
          <w:kern w:val="2"/>
          <w:highlight w:val="none"/>
          <w:lang w:val="en-US" w:eastAsia="zh-CN" w:bidi="ar-SA"/>
        </w:rPr>
        <w:t>（议题提交人：王  明）</w:t>
      </w:r>
    </w:p>
    <w:p w14:paraId="2A9DC189">
      <w:pPr>
        <w:pStyle w:val="FormatAgentHeading1"/>
        <w:keepNext w:val="0"/>
        <w:keepLines w:val="0"/>
        <w:pageBreakBefore w:val="0"/>
        <w:kinsoku/>
        <w:wordWrap/>
        <w:overflowPunct/>
        <w:topLinePunct w:val="0"/>
        <w:autoSpaceDE/>
        <w:autoSpaceDN/>
        <w:bidi w:val="0"/>
        <w:adjustRightInd/>
        <w:snapToGrid/>
        <w:rPr>
          <w:color w:val="000000"/>
          <w:lang w:val="en-US" w:eastAsia="zh-CN"/>
        </w:rPr>
      </w:pPr>
      <w:r>
        <w:rPr>
          <w:color w:val="000000"/>
          <w:lang w:val="en-US" w:eastAsia="zh-CN"/>
        </w:rPr>
        <w:t>背景</w:t>
      </w:r>
    </w:p>
    <w:p w14:paraId="43ECCA7D">
      <w:pPr>
        <w:pStyle w:val="FormatAgentBody"/>
        <w:rPr>
          <w:kern w:val="2"/>
          <w:lang w:val="en-US" w:eastAsia="zh-CN" w:bidi="ar-SA"/>
        </w:rPr>
      </w:pPr>
      <w:r>
        <w:rPr>
          <w:kern w:val="2"/>
          <w:lang w:val="en-US" w:eastAsia="zh-CN" w:bidi="ar-SA"/>
        </w:rPr>
        <w:t>为贯彻落实云湖区“十四五”发展规划，推动云湖区数字经济产业整体发展，依据国家创新驱动发展的战略，按照“科技回归都市”的核心原则，云湖控股集团在区委区政府指导下，成功设立了华洲市云湖区启明产业投资基金合伙企业（有限合伙）（以下简称“启明基金”）。</w:t>
      </w:r>
      <w:bookmarkStart w:id="0" w:name="_GoBack"/>
      <w:bookmarkEnd w:id="0"/>
    </w:p>
    <w:p w14:paraId="0E2441B9">
      <w:pPr>
        <w:pStyle w:val="FormatAgentHeading1"/>
        <w:keepNext w:val="0"/>
        <w:keepLines w:val="0"/>
        <w:pageBreakBefore w:val="0"/>
        <w:widowControl/>
        <w:kinsoku/>
        <w:wordWrap/>
        <w:overflowPunct/>
        <w:topLinePunct w:val="0"/>
        <w:autoSpaceDE/>
        <w:autoSpaceDN/>
        <w:bidi w:val="0"/>
        <w:adjustRightInd/>
        <w:snapToGrid/>
        <w:contextualSpacing w:val="0"/>
        <w:textAlignment w:val="baseline"/>
        <w:rPr>
          <w:color w:val="000000"/>
          <w:lang w:val="en-US" w:eastAsia="zh-CN"/>
        </w:rPr>
      </w:pPr>
      <w:r>
        <w:rPr>
          <w:color w:val="000000"/>
          <w:lang w:val="en-US" w:eastAsia="zh-CN"/>
        </w:rPr>
        <w:t>主要内容</w:t>
      </w:r>
    </w:p>
    <w:p w14:paraId="1556C7BD">
      <w:pPr>
        <w:pStyle w:val="FormatAgentBody"/>
        <w:rPr>
          <w:lang w:val="en-US" w:eastAsia="zh-CN"/>
        </w:rPr>
      </w:pPr>
      <w:r>
        <w:rPr>
          <w:lang w:val="en-US" w:eastAsia="zh-CN"/>
        </w:rPr>
        <w:t>启明基金近期计划提交拟投项目杭州星驰智行科技股份有限公司（以下简称“星驰智行”）至投委会决策，总投资金额6000万元。资金来源于云湖控股集团以新增实缴注册资本金向启明基金实缴出资4500万元，以及云湖区引导基金向启明基金实缴出资900万元。</w:t>
      </w:r>
    </w:p>
    <w:p w14:paraId="0C33FB7E">
      <w:pPr>
        <w:pStyle w:val="FormatAgentBody"/>
        <w:rPr>
          <w:lang w:val="en-US" w:eastAsia="zh-CN"/>
        </w:rPr>
      </w:pPr>
      <w:r>
        <w:rPr>
          <w:lang w:val="en-US" w:eastAsia="zh-CN"/>
        </w:rPr>
        <w:t>杭州星驰智行科技股份有限公司成立于2017年，注册资本9000万元，国家级专精特新小巨人、独角兽企业。公司以人工智能和自动驾驶为技术锚点，专注于为智慧物流场景提供整体智能化解决方案。投资后星驰智行将在云湖区设立子公司承接云湖机场、东江机场、北山机场等核心机场的牵引车无人化业务，计划在未来3-5年内成为云湖都市圈机场场景无人化领域的领军企业，落地协议和方案由云湖园管委会具体落实。</w:t>
      </w:r>
    </w:p>
    <w:p w14:paraId="10F5269E">
      <w:pPr>
        <w:pStyle w:val="FormatAgentBody"/>
        <w:rPr>
          <w:lang w:val="en-US" w:eastAsia="zh-CN"/>
        </w:rPr>
      </w:pPr>
      <w:r>
        <w:rPr>
          <w:lang w:val="en-US" w:eastAsia="zh-CN"/>
        </w:rPr>
        <w:t>（一）投资背景</w:t>
      </w:r>
    </w:p>
    <w:p w14:paraId="26DD11EB">
      <w:pPr>
        <w:pStyle w:val="FormatAgentBody"/>
        <w:rPr>
          <w:lang w:val="en-US" w:eastAsia="zh-CN"/>
        </w:rPr>
      </w:pPr>
      <w:r>
        <w:rPr>
          <w:lang w:val="en-US" w:eastAsia="zh-CN"/>
        </w:rPr>
        <w:t>在基金层面，作为承担云湖区产业促进目标的政策性基金，启明基金自成立以来完成了多笔以促进区级财源建设为目标的投资，目前亟需配置部分资金投资于以财务回报为主要目的，以上市退出为主要渠道，同时兼顾科技含量的企业，以打造标杆明星项目、优化投资组合、平衡基金整体收益，满足财务考核指标、提升科创产业属性。</w:t>
      </w:r>
    </w:p>
    <w:p w14:paraId="5B043E00">
      <w:pPr>
        <w:pStyle w:val="FormatAgentBody"/>
        <w:rPr>
          <w:lang w:val="en-US" w:eastAsia="zh-CN"/>
        </w:rPr>
      </w:pPr>
      <w:r>
        <w:rPr>
          <w:lang w:val="en-US" w:eastAsia="zh-CN"/>
        </w:rPr>
        <w:t>在项目层面，星驰智行定位为物流行业的“无人驾驶+新能源”细分交叉领域头部企业，贴合科创板行业定位中的新一代信息技术领域-“人工智能”，且各项经营指标、财务数据、上市进度大幅领先于竞品。作为杭州市国资委以及多家机构股东多轮加持的明星企业，已获得科创板上市绿通，计划以10.31为节点申报上市。本次启明基金争取到截至本月10.30的投资窗口期，属于较稀缺的能满足科创属性和投资收益双指标的投资标的。</w:t>
      </w:r>
    </w:p>
    <w:p w14:paraId="4296951B">
      <w:pPr>
        <w:pStyle w:val="FormatAgentBody"/>
        <w:rPr>
          <w:lang w:val="en-US" w:eastAsia="zh-CN"/>
        </w:rPr>
      </w:pPr>
      <w:r>
        <w:rPr>
          <w:lang w:val="en-US" w:eastAsia="zh-CN"/>
        </w:rPr>
        <w:t>（二）投资方案</w:t>
      </w:r>
    </w:p>
    <w:p w14:paraId="026CCE4F">
      <w:pPr>
        <w:pStyle w:val="FormatAgentBody"/>
        <w:rPr>
          <w:lang w:val="en-US" w:eastAsia="zh-CN"/>
        </w:rPr>
      </w:pPr>
      <w:r>
        <w:rPr>
          <w:lang w:val="en-US" w:eastAsia="zh-CN"/>
        </w:rPr>
        <w:t>星驰智行作为拟上市企业，已于2024年6月与全体股东终止了全部特殊权利（例如最惠条款、回购权、优先认购权等），因此本次公司不能签署对赌回购相关的任何协议，本次投资后在云湖区设立子公司开展云湖都市圈机场业务的相关业绩条件将由云湖园管委会以入园协议的方式予以落实。</w:t>
      </w:r>
    </w:p>
    <w:p w14:paraId="25AA2622">
      <w:pPr>
        <w:pStyle w:val="FormatAgentBody"/>
        <w:rPr>
          <w:lang w:val="en-US" w:eastAsia="zh-CN"/>
        </w:rPr>
      </w:pPr>
      <w:r>
        <w:rPr>
          <w:lang w:val="en-US" w:eastAsia="zh-CN"/>
        </w:rPr>
        <w:t>（三）回报预测</w:t>
      </w:r>
    </w:p>
    <w:p w14:paraId="358FF59B">
      <w:pPr>
        <w:pStyle w:val="FormatAgentBody"/>
        <w:rPr>
          <w:lang w:val="en-US" w:eastAsia="zh-CN"/>
        </w:rPr>
      </w:pPr>
      <w:r>
        <w:rPr>
          <w:lang w:val="en-US" w:eastAsia="zh-CN"/>
        </w:rPr>
        <w:t>关于上市可能性层面，星驰智行符合科创板高新和战略新兴行业属性和公司科创属性（四项指标，研发投入+研发人员+发明专利+营业收入）。公司2024年营收4.2亿，亏损1.6亿；2025年预计营收7.5亿元，亏损4000万元，研发投入大于15%，亏损大幅收窄，同时营收增长率达65%，满足财务要求，符合科创板上市标准4和标准2。</w:t>
      </w:r>
    </w:p>
    <w:p w14:paraId="6CDCE022">
      <w:pPr>
        <w:pStyle w:val="FormatAgentBody"/>
        <w:rPr>
          <w:lang w:val="en-US" w:eastAsia="zh-CN"/>
        </w:rPr>
      </w:pPr>
      <w:r>
        <w:rPr>
          <w:lang w:val="en-US" w:eastAsia="zh-CN"/>
        </w:rPr>
        <w:t>在行业层面，公司在智能物流装备市场地位稳固，已交付智能物流车辆及系统超过数百套规模，落地全球20多个国家和地区，服务200余家客户，领先竞品2-3倍，且是唯一开展海外业务的公司，在市场占有率上属于第一梯队。以此题材登录科创板具备行业稀缺性；公司也完全满足港股18C章特专科技公司规则，若无重大经营变化，上市确定性较高。目前启明基金以9倍PS的估值48.5亿元入股，参考可比港股公司‌某可比港股公司（市值约120亿港币，14倍PS），预计星驰上市后市值在80-120亿元人民币区间，具有一定收益空间。</w:t>
      </w:r>
    </w:p>
    <w:p w14:paraId="237ADFFC">
      <w:pPr>
        <w:pStyle w:val="FormatAgentBody"/>
        <w:rPr>
          <w:lang w:val="en-US" w:eastAsia="zh-CN"/>
        </w:rPr>
      </w:pPr>
      <w:r>
        <w:rPr>
          <w:lang w:val="en-US" w:eastAsia="zh-CN"/>
        </w:rPr>
        <w:t>关于税收回报方面，初步测算机场场景在云湖都市圈地区的市场潜力约30亿元，星驰设立的子公司目前已与云湖机场对接，预计1.5-2年内完成内测和适配，2028年开始释放业绩，未来五年收入预测为1500万元、3500万元、7000万元、1.2亿元、1.8亿元，预计可实现区级纳税约1500万元。</w:t>
      </w:r>
    </w:p>
    <w:p w14:paraId="34DDA5E2">
      <w:pPr>
        <w:pStyle w:val="FormatAgentBody"/>
        <w:rPr>
          <w:lang w:val="en-US" w:eastAsia="zh-CN"/>
        </w:rPr>
      </w:pPr>
      <w:r>
        <w:rPr>
          <w:lang w:val="en-US" w:eastAsia="zh-CN"/>
        </w:rPr>
        <w:t>综上，从产业角度看，引进星驰智行子公司符合我区未来产业发展方向。作为全球领先的场景化新能源自动驾驶与智慧物流解决方案提供商，星驰技术研发能力突出，全球化布局领先，商业模式创新，未来有望实现营收与利润的持续高速增长，成为万亿级智慧物流赛道的领军企业，有助于打造云湖智能物流产业集群。</w:t>
      </w:r>
    </w:p>
    <w:p w14:paraId="7E4310F7">
      <w:pPr>
        <w:pStyle w:val="FormatAgentBody"/>
        <w:rPr>
          <w:lang w:val="en-US" w:eastAsia="zh-CN"/>
        </w:rPr>
      </w:pPr>
      <w:r>
        <w:rPr>
          <w:lang w:val="en-US" w:eastAsia="zh-CN"/>
        </w:rPr>
        <w:t>启明基金设立投资决策委员会（以下简称“投委会”），投委会负责对基金的投资事项、退出事项，以及对基金权益造成800万元以上影响的需审议事项作出决策。投委会由5名委员组成，包括2名常任委员和3名专家委员，其中云湖控股集团可以推荐1名常任委员。根据启明基金合伙协议，云湖控股集团计划委派1名常任委员和1名专家委员参加本次投委会会议进行决策。现决定委派郑立新同志作为投委会常任委员，委派林悦同志作为投委会专家委员，对于启明基金投资星驰智行项目做出同意表决。</w:t>
      </w:r>
    </w:p>
    <w:p w14:paraId="719FB813">
      <w:pPr>
        <w:pStyle w:val="FormatAgentHeading1"/>
        <w:keepNext w:val="0"/>
        <w:keepLines w:val="0"/>
        <w:pageBreakBefore w:val="0"/>
        <w:widowControl/>
        <w:kinsoku/>
        <w:wordWrap/>
        <w:overflowPunct/>
        <w:topLinePunct w:val="0"/>
        <w:autoSpaceDE/>
        <w:autoSpaceDN/>
        <w:bidi w:val="0"/>
        <w:adjustRightInd/>
        <w:snapToGrid/>
        <w:contextualSpacing w:val="0"/>
        <w:textAlignment w:val="baseline"/>
        <w:rPr>
          <w:color w:val="000000"/>
          <w:lang w:val="en-US" w:eastAsia="zh-CN"/>
        </w:rPr>
      </w:pPr>
      <w:r>
        <w:rPr>
          <w:color w:val="000000"/>
          <w:lang w:val="en-US" w:eastAsia="zh-CN"/>
        </w:rPr>
        <w:t xml:space="preserve">研究讨论情况 </w:t>
      </w:r>
    </w:p>
    <w:p w14:paraId="06A0E55F">
      <w:pPr>
        <w:pStyle w:val="FormatAgentBody"/>
        <w:keepNext w:val="0"/>
        <w:keepLines w:val="0"/>
        <w:pageBreakBefore w:val="0"/>
        <w:widowControl w:val="0"/>
        <w:kinsoku/>
        <w:wordWrap/>
        <w:overflowPunct/>
        <w:topLinePunct w:val="0"/>
        <w:autoSpaceDE/>
        <w:autoSpaceDN/>
        <w:bidi w:val="0"/>
        <w:adjustRightInd/>
        <w:snapToGrid/>
        <w:textAlignment w:val="auto"/>
        <w:rPr>
          <w:highlight w:val="none"/>
          <w:lang w:val="en-US" w:eastAsia="zh-CN"/>
        </w:rPr>
      </w:pPr>
      <w:r>
        <w:rPr>
          <w:highlight w:val="none"/>
          <w:lang w:val="en-US" w:eastAsia="zh-CN"/>
        </w:rPr>
        <w:t>10月20日，云湖区政府召开专题会讨论对星驰智行的投资，原则上同意由启明基金投资星驰智行6000万元，其中4500万由国资委负责筹措，900万由区财政局负责筹措并通过引导基金向启明子基金进行第二次缴款出资。</w:t>
      </w:r>
    </w:p>
    <w:p w14:paraId="49317F7E">
      <w:pPr>
        <w:pStyle w:val="FormatAgentBody"/>
        <w:keepNext w:val="0"/>
        <w:keepLines w:val="0"/>
        <w:pageBreakBefore w:val="0"/>
        <w:widowControl w:val="0"/>
        <w:kinsoku/>
        <w:wordWrap/>
        <w:overflowPunct/>
        <w:topLinePunct w:val="0"/>
        <w:autoSpaceDE/>
        <w:autoSpaceDN/>
        <w:bidi w:val="0"/>
        <w:adjustRightInd/>
        <w:snapToGrid/>
        <w:textAlignment w:val="auto"/>
        <w:rPr>
          <w:lang w:val="en-US" w:eastAsia="zh-CN"/>
        </w:rPr>
      </w:pPr>
      <w:r>
        <w:rPr>
          <w:highlight w:val="none"/>
          <w:lang w:val="en-US" w:eastAsia="zh-CN"/>
        </w:rPr>
        <w:t>10月20日，此议题内容经主要领导会同业务管理部内部讨论确定，参会人员为：王明、李芳、周婷、吴凯，会议建议同意此议题。</w:t>
      </w:r>
      <w:r>
        <w:rPr>
          <w:lang w:val="en-US" w:eastAsia="zh-CN"/>
        </w:rPr>
      </w:r>
    </w:p>
    <w:p w14:paraId="36FC3066">
      <w:pPr>
        <w:pStyle w:val="FormatAgentHeading1"/>
        <w:keepNext w:val="0"/>
        <w:keepLines w:val="0"/>
        <w:pageBreakBefore w:val="0"/>
        <w:widowControl/>
        <w:kinsoku/>
        <w:wordWrap/>
        <w:overflowPunct/>
        <w:topLinePunct w:val="0"/>
        <w:autoSpaceDE/>
        <w:autoSpaceDN/>
        <w:bidi w:val="0"/>
        <w:adjustRightInd/>
        <w:snapToGrid/>
        <w:ind w:left="-10" w:leftChars="0"/>
        <w:contextualSpacing w:val="0"/>
        <w:textAlignment w:val="baseline"/>
        <w:rPr>
          <w:color w:val="000000"/>
          <w:lang w:val="en-US" w:eastAsia="zh-CN"/>
        </w:rPr>
      </w:pPr>
      <w:r>
        <w:rPr>
          <w:color w:val="000000"/>
          <w:lang w:val="en-US" w:eastAsia="zh-CN"/>
        </w:rPr>
        <w:t>审议事项</w:t>
      </w:r>
    </w:p>
    <w:p w14:paraId="2DE29C7A">
      <w:pPr>
        <w:pStyle w:val="FormatAgentBody"/>
        <w:keepNext w:val="0"/>
        <w:keepLines w:val="0"/>
        <w:pageBreakBefore w:val="0"/>
        <w:widowControl w:val="0"/>
        <w:kinsoku/>
        <w:wordWrap/>
        <w:overflowPunct/>
        <w:topLinePunct w:val="0"/>
        <w:autoSpaceDE/>
        <w:autoSpaceDN/>
        <w:bidi w:val="0"/>
        <w:adjustRightInd/>
        <w:snapToGrid/>
        <w:textAlignment w:val="auto"/>
        <w:rPr>
          <w:lang w:val="en-US" w:eastAsia="zh-CN"/>
        </w:rPr>
      </w:pPr>
      <w:r>
        <w:rPr>
          <w:lang w:val="en-US" w:eastAsia="zh-CN"/>
        </w:rPr>
        <w:t>1. 同意向华洲市云湖区启明产业投资基金合伙企业（有限合伙）委派郑立新同志作为投委会常任委员，委派林悦同志作为投委会专家委员。</w:t>
      </w:r>
    </w:p>
    <w:p w14:paraId="22AF1829">
      <w:pPr>
        <w:pStyle w:val="FormatAgentBody"/>
        <w:keepNext w:val="0"/>
        <w:keepLines w:val="0"/>
        <w:pageBreakBefore w:val="0"/>
        <w:widowControl w:val="0"/>
        <w:kinsoku/>
        <w:wordWrap/>
        <w:overflowPunct/>
        <w:topLinePunct w:val="0"/>
        <w:autoSpaceDE/>
        <w:autoSpaceDN/>
        <w:bidi w:val="0"/>
        <w:adjustRightInd/>
        <w:snapToGrid/>
        <w:textAlignment w:val="auto"/>
        <w:rPr>
          <w:color w:val="auto"/>
          <w:kern w:val="2"/>
          <w:lang w:val="en-US" w:eastAsia="zh-CN" w:bidi="ar-SA"/>
        </w:rPr>
      </w:pPr>
      <w:r>
        <w:rPr>
          <w:lang w:val="en-US" w:eastAsia="zh-CN"/>
        </w:rPr>
        <w:t>2. 同意常任委员和专家委员对于启明基金投资杭州星驰智行科技股份有限公司做出同意表决，投资金额6000万元。</w:t>
      </w:r>
    </w:p>
    <w:sectPr>
      <w:pgSz w:w="11906" w:h="16838"/>
      <w:pgMar w:top="1440" w:right="1803" w:bottom="1440" w:left="1803" w:header="851" w:footer="992" w:gutter="0"/>
      <w:cols w:space="0" w:num="1"/>
      <w:rtlGutter w:val="0"/>
      <w:docGrid w:type="linesAndChars" w:linePitch="60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embedRegular r:id="rId1" w:fontKey="{963652A9-05C2-4A0F-82FF-638EFE66F73E}"/>
  </w:font>
  <w:font w:name="仿宋_GB2312">
    <w:panose1 w:val="02010609030101010101"/>
    <w:charset w:val="86"/>
    <w:family w:val="modern"/>
    <w:pitch w:val="default"/>
    <w:sig w:usb0="00000001" w:usb1="080E0000" w:usb2="00000000" w:usb3="00000000" w:csb0="00040000" w:csb1="00000000"/>
  </w:font>
  <w:font w:name="等线">
    <w:panose1 w:val="02010600030101010101"/>
    <w:charset w:val="86"/>
    <w:family w:val="auto"/>
    <w:pitch w:val="default"/>
    <w:sig w:usb0="A00002BF" w:usb1="38CF7CFA" w:usb2="00000016" w:usb3="00000000" w:csb0="0004000F" w:csb1="00000000"/>
  </w:font>
  <w:font w:name="方正小标宋简体">
    <w:panose1 w:val="02000000000000000000"/>
    <w:charset w:val="86"/>
    <w:family w:val="auto"/>
    <w:pitch w:val="default"/>
    <w:sig w:usb0="00000001" w:usb1="0800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CA5709"/>
    <w:multiLevelType w:val="singleLevel"/>
    <w:tmpl w:val="AFCA5709"/>
    <w:lvl w:ilvl="0" w:tentative="0">
      <w:start w:val="2"/>
      <w:numFmt w:val="chineseCounting"/>
      <w:suff w:val="nothing"/>
      <w:lvlText w:val="%1、"/>
      <w:lvlJc w:val="left"/>
      <w:rPr>
        <w:rFonts w:hint="eastAsia"/>
      </w:rPr>
    </w:lvl>
  </w:abstractNum>
  <w:abstractNum w:abstractNumId="1">
    <w:nsid w:val="D6AB4FDF"/>
    <w:multiLevelType w:val="singleLevel"/>
    <w:tmpl w:val="D6AB4FDF"/>
    <w:lvl w:ilvl="0" w:tentative="0">
      <w:start w:val="1"/>
      <w:numFmt w:val="chineseCounting"/>
      <w:suff w:val="nothing"/>
      <w:lvlText w:val="%1、"/>
      <w:lvlJc w:val="left"/>
      <w:rPr>
        <w:rFonts w:hint="eastAsia"/>
      </w:rPr>
    </w:lvl>
  </w:abstractNum>
  <w:abstractNum w:abstractNumId="2">
    <w:nsid w:val="5A21C0DB"/>
    <w:multiLevelType w:val="multilevel"/>
    <w:tmpl w:val="5A21C0DB"/>
    <w:lvl w:ilvl="0" w:tentative="0">
      <w:start w:val="1"/>
      <w:numFmt w:val="chineseCounting"/>
      <w:suff w:val="nothing"/>
      <w:lvlText w:val="%1 、"/>
      <w:lvlJc w:val="left"/>
      <w:pPr>
        <w:tabs>
          <w:tab w:val="left" w:pos="0"/>
        </w:tabs>
        <w:ind w:left="0" w:firstLine="0"/>
      </w:pPr>
      <w:rPr>
        <w:rFonts w:hint="eastAsia" w:ascii="Times New Roman" w:hAnsi="Times New Roman" w:eastAsia="黑体" w:cs="宋体"/>
        <w:sz w:val="32"/>
      </w:rPr>
    </w:lvl>
    <w:lvl w:ilvl="1" w:tentative="0">
      <w:start w:val="1"/>
      <w:numFmt w:val="chineseCounting"/>
      <w:suff w:val="nothing"/>
      <w:lvlText w:val="（%2）"/>
      <w:lvlJc w:val="left"/>
      <w:pPr>
        <w:ind w:left="0" w:firstLine="0"/>
      </w:pPr>
      <w:rPr>
        <w:rFonts w:hint="eastAsia"/>
      </w:rPr>
    </w:lvl>
    <w:lvl w:ilvl="2" w:tentative="0">
      <w:start w:val="1"/>
      <w:numFmt w:val="decimal"/>
      <w:suff w:val="nothing"/>
      <w:lvlText w:val="%3．"/>
      <w:lvlJc w:val="left"/>
      <w:pPr>
        <w:ind w:left="-240" w:firstLine="400"/>
      </w:pPr>
      <w:rPr>
        <w:rFonts w:hint="eastAsia"/>
      </w:rPr>
    </w:lvl>
    <w:lvl w:ilvl="3" w:tentative="0">
      <w:start w:val="1"/>
      <w:numFmt w:val="decimal"/>
      <w:pStyle w:val="4"/>
      <w:suff w:val="nothing"/>
      <w:lvlText w:val="（%4）"/>
      <w:lvlJc w:val="left"/>
      <w:pPr>
        <w:ind w:left="0" w:firstLine="402"/>
      </w:pPr>
      <w:rPr>
        <w:rFonts w:hint="eastAsia"/>
      </w:rPr>
    </w:lvl>
    <w:lvl w:ilvl="4" w:tentative="0">
      <w:start w:val="1"/>
      <w:numFmt w:val="decimalEnclosedCircleChinese"/>
      <w:suff w:val="nothing"/>
      <w:lvlText w:val="%5"/>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3">
    <w:nsid w:val="3151752A"/>
    <w:multiLevelType w:val="multilevel"/>
    <w:tmpl w:val="3151752A"/>
    <w:name w:val="FormatAgent:headings"/>
    <w:lvl w:ilvl="0">
      <w:start w:val="1"/>
      <w:numFmt w:val="chineseCounting"/>
      <w:pStyle w:val="FormatAgentHeading1"/>
      <w:suff w:val="nothing"/>
      <w:lvlText w:val="%1、"/>
      <w:lvlJc w:val="left"/>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TrueTypeFonts/>
  <w:saveSubset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RhM2JkZDJjODgyMDZlZWYxYTYyMDk5MmM2NzkxNzEifQ=="/>
  </w:docVars>
  <w:rsids>
    <w:rsidRoot w:val="00B47D9B"/>
    <w:rsid w:val="0004620E"/>
    <w:rsid w:val="0005386E"/>
    <w:rsid w:val="00163A84"/>
    <w:rsid w:val="00172672"/>
    <w:rsid w:val="001729EC"/>
    <w:rsid w:val="002177D4"/>
    <w:rsid w:val="002D6B64"/>
    <w:rsid w:val="002E0968"/>
    <w:rsid w:val="00337FD2"/>
    <w:rsid w:val="00370AD3"/>
    <w:rsid w:val="003A2B72"/>
    <w:rsid w:val="003E01A7"/>
    <w:rsid w:val="004167DE"/>
    <w:rsid w:val="00480EB2"/>
    <w:rsid w:val="004A1F27"/>
    <w:rsid w:val="005525E6"/>
    <w:rsid w:val="005529C8"/>
    <w:rsid w:val="00672B06"/>
    <w:rsid w:val="00774AC9"/>
    <w:rsid w:val="00781A3D"/>
    <w:rsid w:val="007E0602"/>
    <w:rsid w:val="007F3C42"/>
    <w:rsid w:val="00827E6A"/>
    <w:rsid w:val="0085287A"/>
    <w:rsid w:val="00863086"/>
    <w:rsid w:val="008A04F1"/>
    <w:rsid w:val="008C5D9E"/>
    <w:rsid w:val="008D3ED1"/>
    <w:rsid w:val="008E413E"/>
    <w:rsid w:val="008E6B6D"/>
    <w:rsid w:val="00967CA2"/>
    <w:rsid w:val="00A02EAF"/>
    <w:rsid w:val="00B47D9B"/>
    <w:rsid w:val="00B51AAF"/>
    <w:rsid w:val="00B8197B"/>
    <w:rsid w:val="00BB778F"/>
    <w:rsid w:val="00C0332E"/>
    <w:rsid w:val="00C2392F"/>
    <w:rsid w:val="00C3691A"/>
    <w:rsid w:val="00C64573"/>
    <w:rsid w:val="00CD0456"/>
    <w:rsid w:val="00CD432A"/>
    <w:rsid w:val="00E017FE"/>
    <w:rsid w:val="00E05D82"/>
    <w:rsid w:val="00E56DA4"/>
    <w:rsid w:val="00E658F9"/>
    <w:rsid w:val="00EB605D"/>
    <w:rsid w:val="00EB7911"/>
    <w:rsid w:val="00F17076"/>
    <w:rsid w:val="00F17657"/>
    <w:rsid w:val="00F945E9"/>
    <w:rsid w:val="01CC516A"/>
    <w:rsid w:val="01CE3E86"/>
    <w:rsid w:val="0316682C"/>
    <w:rsid w:val="031C275D"/>
    <w:rsid w:val="03530279"/>
    <w:rsid w:val="03980096"/>
    <w:rsid w:val="03B60BF9"/>
    <w:rsid w:val="04D7419F"/>
    <w:rsid w:val="04D841E6"/>
    <w:rsid w:val="05B828E7"/>
    <w:rsid w:val="06696793"/>
    <w:rsid w:val="06C45BA7"/>
    <w:rsid w:val="075B159E"/>
    <w:rsid w:val="08552ABB"/>
    <w:rsid w:val="089F6FE8"/>
    <w:rsid w:val="08BB43AC"/>
    <w:rsid w:val="08DC25FE"/>
    <w:rsid w:val="09664F1C"/>
    <w:rsid w:val="099C1B08"/>
    <w:rsid w:val="09AB7203"/>
    <w:rsid w:val="09C474A0"/>
    <w:rsid w:val="0A004430"/>
    <w:rsid w:val="0A445BB2"/>
    <w:rsid w:val="0A8B32E8"/>
    <w:rsid w:val="0C173BA2"/>
    <w:rsid w:val="0CB300D4"/>
    <w:rsid w:val="0D665B6F"/>
    <w:rsid w:val="0D7A0014"/>
    <w:rsid w:val="0DCD3DA0"/>
    <w:rsid w:val="0DEB68E4"/>
    <w:rsid w:val="0DF17BE9"/>
    <w:rsid w:val="0E573557"/>
    <w:rsid w:val="10796AF0"/>
    <w:rsid w:val="11807745"/>
    <w:rsid w:val="127241E7"/>
    <w:rsid w:val="127E713C"/>
    <w:rsid w:val="12F172FF"/>
    <w:rsid w:val="144378D4"/>
    <w:rsid w:val="14D837F7"/>
    <w:rsid w:val="14F86A77"/>
    <w:rsid w:val="15CE3B81"/>
    <w:rsid w:val="15CE78AF"/>
    <w:rsid w:val="160724CB"/>
    <w:rsid w:val="16805DFC"/>
    <w:rsid w:val="16ED7CD8"/>
    <w:rsid w:val="1B4818AB"/>
    <w:rsid w:val="1B684C13"/>
    <w:rsid w:val="1B8A3A3D"/>
    <w:rsid w:val="1BF96FD9"/>
    <w:rsid w:val="1C74099C"/>
    <w:rsid w:val="1CC87E7D"/>
    <w:rsid w:val="1D2A540D"/>
    <w:rsid w:val="1DC43CB7"/>
    <w:rsid w:val="1DE85A97"/>
    <w:rsid w:val="1E7233DE"/>
    <w:rsid w:val="1F96401B"/>
    <w:rsid w:val="1FF16560"/>
    <w:rsid w:val="22AC2870"/>
    <w:rsid w:val="23DE3EE7"/>
    <w:rsid w:val="24D800FE"/>
    <w:rsid w:val="24E70882"/>
    <w:rsid w:val="25DD5B30"/>
    <w:rsid w:val="26B06F50"/>
    <w:rsid w:val="29A75627"/>
    <w:rsid w:val="2A4D26D8"/>
    <w:rsid w:val="2B9B38F4"/>
    <w:rsid w:val="2BFB1CB9"/>
    <w:rsid w:val="2C4850BE"/>
    <w:rsid w:val="2CE64185"/>
    <w:rsid w:val="2DD61FE9"/>
    <w:rsid w:val="2ECF698B"/>
    <w:rsid w:val="2FC254E7"/>
    <w:rsid w:val="30733D00"/>
    <w:rsid w:val="311150D5"/>
    <w:rsid w:val="316B3650"/>
    <w:rsid w:val="32425BA1"/>
    <w:rsid w:val="34ED46B2"/>
    <w:rsid w:val="36437242"/>
    <w:rsid w:val="367F597E"/>
    <w:rsid w:val="3B930BE0"/>
    <w:rsid w:val="3CDF4DCE"/>
    <w:rsid w:val="3E7313A8"/>
    <w:rsid w:val="3F127E08"/>
    <w:rsid w:val="402569CB"/>
    <w:rsid w:val="40611D29"/>
    <w:rsid w:val="40E50C1F"/>
    <w:rsid w:val="41130852"/>
    <w:rsid w:val="421D0D04"/>
    <w:rsid w:val="424D6EC9"/>
    <w:rsid w:val="43474E2B"/>
    <w:rsid w:val="45404891"/>
    <w:rsid w:val="45AF69E2"/>
    <w:rsid w:val="45E91E02"/>
    <w:rsid w:val="46BF6DFC"/>
    <w:rsid w:val="47050C47"/>
    <w:rsid w:val="47766569"/>
    <w:rsid w:val="47FB60E7"/>
    <w:rsid w:val="491478FC"/>
    <w:rsid w:val="49295121"/>
    <w:rsid w:val="497F6C45"/>
    <w:rsid w:val="49B02C71"/>
    <w:rsid w:val="4FB679C8"/>
    <w:rsid w:val="4FD10381"/>
    <w:rsid w:val="4FEC3D3E"/>
    <w:rsid w:val="503B2799"/>
    <w:rsid w:val="5076467B"/>
    <w:rsid w:val="514E23E0"/>
    <w:rsid w:val="52537D28"/>
    <w:rsid w:val="52812561"/>
    <w:rsid w:val="53383EAF"/>
    <w:rsid w:val="53BC2D0B"/>
    <w:rsid w:val="540C437E"/>
    <w:rsid w:val="549C125E"/>
    <w:rsid w:val="54A63E6F"/>
    <w:rsid w:val="54A80D4F"/>
    <w:rsid w:val="55583B90"/>
    <w:rsid w:val="559262F3"/>
    <w:rsid w:val="55CD029E"/>
    <w:rsid w:val="56420695"/>
    <w:rsid w:val="573A00AC"/>
    <w:rsid w:val="57852446"/>
    <w:rsid w:val="57A31040"/>
    <w:rsid w:val="58391148"/>
    <w:rsid w:val="58CB483C"/>
    <w:rsid w:val="59186C98"/>
    <w:rsid w:val="5954442B"/>
    <w:rsid w:val="59974D63"/>
    <w:rsid w:val="59AB65A7"/>
    <w:rsid w:val="59EB0FEE"/>
    <w:rsid w:val="5A1343D2"/>
    <w:rsid w:val="5ABC499F"/>
    <w:rsid w:val="5ACD53C7"/>
    <w:rsid w:val="5AFF3529"/>
    <w:rsid w:val="5BC14DF6"/>
    <w:rsid w:val="5C3A545D"/>
    <w:rsid w:val="5D164707"/>
    <w:rsid w:val="5D1928CC"/>
    <w:rsid w:val="5E915822"/>
    <w:rsid w:val="5F457BA2"/>
    <w:rsid w:val="5FBB4F26"/>
    <w:rsid w:val="603C3473"/>
    <w:rsid w:val="621464F7"/>
    <w:rsid w:val="62192D23"/>
    <w:rsid w:val="623666B0"/>
    <w:rsid w:val="62C032C7"/>
    <w:rsid w:val="62E47AC9"/>
    <w:rsid w:val="63595847"/>
    <w:rsid w:val="63A85F00"/>
    <w:rsid w:val="640A312F"/>
    <w:rsid w:val="65C75B25"/>
    <w:rsid w:val="660266D7"/>
    <w:rsid w:val="66786C28"/>
    <w:rsid w:val="671617E1"/>
    <w:rsid w:val="68C76401"/>
    <w:rsid w:val="68D74F8A"/>
    <w:rsid w:val="693107A9"/>
    <w:rsid w:val="695732E1"/>
    <w:rsid w:val="69C35D9C"/>
    <w:rsid w:val="6A367018"/>
    <w:rsid w:val="6A82545E"/>
    <w:rsid w:val="6A9929F4"/>
    <w:rsid w:val="6AF6437F"/>
    <w:rsid w:val="6B17459E"/>
    <w:rsid w:val="6B1B5C21"/>
    <w:rsid w:val="6B28537C"/>
    <w:rsid w:val="6C5E2A4E"/>
    <w:rsid w:val="6C8F3F79"/>
    <w:rsid w:val="6D1976FA"/>
    <w:rsid w:val="6DA73D5E"/>
    <w:rsid w:val="6E9F3C9F"/>
    <w:rsid w:val="6F685FF5"/>
    <w:rsid w:val="7145404D"/>
    <w:rsid w:val="71894961"/>
    <w:rsid w:val="71B31E25"/>
    <w:rsid w:val="71EF5EFA"/>
    <w:rsid w:val="733B05CB"/>
    <w:rsid w:val="73435E8B"/>
    <w:rsid w:val="73687AED"/>
    <w:rsid w:val="743908BE"/>
    <w:rsid w:val="754B1E4B"/>
    <w:rsid w:val="76E4207C"/>
    <w:rsid w:val="78B00A90"/>
    <w:rsid w:val="792F2623"/>
    <w:rsid w:val="79D95E3D"/>
    <w:rsid w:val="7A513783"/>
    <w:rsid w:val="7B3C08A5"/>
    <w:rsid w:val="7B5256D5"/>
    <w:rsid w:val="7B752A95"/>
    <w:rsid w:val="7BAF5B7A"/>
    <w:rsid w:val="7C2753ED"/>
    <w:rsid w:val="7DB4348E"/>
    <w:rsid w:val="7FC66F7B"/>
    <w:rsid w:val="7FC956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0" w:name="footnote text"/>
    <w:lsdException w:uiPriority="0" w:name="annotation text"/>
    <w:lsdException w:qFormat="1" w:uiPriority="99" w:semiHidden="0" w:name="header"/>
    <w:lsdException w:qFormat="1"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qFormat="1" w:unhideWhenUsed="0" w:uiPriority="0" w:semiHidden="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qFormat="1" w:unhideWhenUsed="0" w:uiPriority="0"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黑体"/>
      <w:kern w:val="2"/>
      <w:sz w:val="21"/>
      <w:szCs w:val="22"/>
      <w:lang w:val="en-US" w:eastAsia="zh-CN" w:bidi="ar-SA"/>
    </w:rPr>
  </w:style>
  <w:style w:type="paragraph" w:styleId="3">
    <w:name w:val="heading 1"/>
    <w:basedOn w:val="1"/>
    <w:next w:val="1"/>
    <w:qFormat/>
    <w:uiPriority w:val="0"/>
    <w:pPr>
      <w:keepNext/>
      <w:keepLines/>
      <w:spacing w:beforeLines="0" w:beforeAutospacing="0" w:afterLines="0" w:afterAutospacing="0" w:line="600" w:lineRule="exact"/>
      <w:jc w:val="center"/>
      <w:outlineLvl w:val="0"/>
    </w:pPr>
    <w:rPr>
      <w:rFonts w:ascii="Times New Roman" w:hAnsi="Times New Roman" w:eastAsia="微软雅黑"/>
      <w:kern w:val="44"/>
      <w:sz w:val="44"/>
    </w:rPr>
  </w:style>
  <w:style w:type="paragraph" w:styleId="4">
    <w:name w:val="heading 4"/>
    <w:basedOn w:val="1"/>
    <w:next w:val="1"/>
    <w:semiHidden/>
    <w:unhideWhenUsed/>
    <w:qFormat/>
    <w:uiPriority w:val="0"/>
    <w:pPr>
      <w:keepNext w:val="0"/>
      <w:keepLines w:val="0"/>
      <w:numPr>
        <w:ilvl w:val="3"/>
        <w:numId w:val="1"/>
      </w:numPr>
      <w:spacing w:beforeLines="0" w:beforeAutospacing="0" w:afterLines="0" w:afterAutospacing="0" w:line="560" w:lineRule="exact"/>
      <w:ind w:firstLine="402" w:firstLineChars="0"/>
      <w:outlineLvl w:val="3"/>
    </w:pPr>
    <w:rPr>
      <w:rFonts w:ascii="Calibri" w:hAnsi="Calibri" w:eastAsia="仿宋_GB2312" w:cstheme="minorBidi"/>
      <w:sz w:val="32"/>
      <w:szCs w:val="32"/>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2">
    <w:name w:val="toc 3"/>
    <w:basedOn w:val="1"/>
    <w:next w:val="1"/>
    <w:unhideWhenUsed/>
    <w:qFormat/>
    <w:uiPriority w:val="39"/>
    <w:pPr>
      <w:ind w:left="420"/>
    </w:pPr>
    <w:rPr>
      <w:rFonts w:ascii="等线" w:hAnsi="等线" w:eastAsia="等线"/>
      <w:b/>
      <w:sz w:val="30"/>
      <w:szCs w:val="30"/>
    </w:rPr>
  </w:style>
  <w:style w:type="paragraph" w:styleId="5">
    <w:name w:val="Normal Indent"/>
    <w:basedOn w:val="1"/>
    <w:next w:val="1"/>
    <w:qFormat/>
    <w:uiPriority w:val="0"/>
    <w:pPr>
      <w:ind w:firstLine="200" w:firstLineChars="200"/>
    </w:pPr>
  </w:style>
  <w:style w:type="paragraph" w:styleId="6">
    <w:name w:val="Plain Text"/>
    <w:basedOn w:val="1"/>
    <w:qFormat/>
    <w:uiPriority w:val="0"/>
    <w:rPr>
      <w:rFonts w:ascii="宋体" w:hAnsi="Courier New" w:cs="宋体"/>
    </w:rPr>
  </w:style>
  <w:style w:type="paragraph" w:styleId="7">
    <w:name w:val="Balloon Text"/>
    <w:basedOn w:val="1"/>
    <w:link w:val="17"/>
    <w:unhideWhenUsed/>
    <w:qFormat/>
    <w:uiPriority w:val="0"/>
    <w:rPr>
      <w:sz w:val="18"/>
      <w:szCs w:val="18"/>
    </w:rPr>
  </w:style>
  <w:style w:type="paragraph" w:styleId="8">
    <w:name w:val="footer"/>
    <w:basedOn w:val="1"/>
    <w:next w:val="1"/>
    <w:link w:val="16"/>
    <w:unhideWhenUsed/>
    <w:qFormat/>
    <w:uiPriority w:val="99"/>
    <w:pPr>
      <w:tabs>
        <w:tab w:val="center" w:pos="4153"/>
        <w:tab w:val="right" w:pos="8306"/>
      </w:tabs>
      <w:snapToGrid w:val="0"/>
      <w:jc w:val="left"/>
    </w:pPr>
    <w:rPr>
      <w:sz w:val="18"/>
      <w:szCs w:val="18"/>
    </w:rPr>
  </w:style>
  <w:style w:type="paragraph" w:styleId="9">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Body Text 2"/>
    <w:basedOn w:val="1"/>
    <w:qFormat/>
    <w:uiPriority w:val="0"/>
    <w:pPr>
      <w:spacing w:after="120" w:afterLines="0" w:afterAutospacing="0" w:line="480" w:lineRule="auto"/>
    </w:pPr>
  </w:style>
  <w:style w:type="table" w:styleId="12">
    <w:name w:val="Table Grid"/>
    <w:basedOn w:val="11"/>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4">
    <w:name w:val="Normal Indent1"/>
    <w:basedOn w:val="1"/>
    <w:qFormat/>
    <w:uiPriority w:val="7"/>
    <w:pPr>
      <w:ind w:firstLine="420"/>
    </w:pPr>
  </w:style>
  <w:style w:type="character" w:customStyle="1" w:styleId="15">
    <w:name w:val="页眉 Char"/>
    <w:basedOn w:val="13"/>
    <w:link w:val="9"/>
    <w:qFormat/>
    <w:uiPriority w:val="99"/>
    <w:rPr>
      <w:sz w:val="18"/>
      <w:szCs w:val="18"/>
    </w:rPr>
  </w:style>
  <w:style w:type="character" w:customStyle="1" w:styleId="16">
    <w:name w:val="页脚 Char"/>
    <w:basedOn w:val="13"/>
    <w:link w:val="8"/>
    <w:qFormat/>
    <w:uiPriority w:val="99"/>
    <w:rPr>
      <w:sz w:val="18"/>
      <w:szCs w:val="18"/>
    </w:rPr>
  </w:style>
  <w:style w:type="character" w:customStyle="1" w:styleId="17">
    <w:name w:val="批注框文本 Char"/>
    <w:basedOn w:val="13"/>
    <w:link w:val="7"/>
    <w:semiHidden/>
    <w:qFormat/>
    <w:uiPriority w:val="0"/>
    <w:rPr>
      <w:rFonts w:ascii="Calibri" w:hAnsi="Calibri" w:cs="黑体"/>
      <w:kern w:val="2"/>
      <w:sz w:val="18"/>
      <w:szCs w:val="18"/>
    </w:rPr>
  </w:style>
  <w:style w:type="character" w:customStyle="1" w:styleId="18">
    <w:name w:val="NormalCharacter"/>
    <w:link w:val="19"/>
    <w:qFormat/>
    <w:uiPriority w:val="0"/>
  </w:style>
  <w:style w:type="paragraph" w:customStyle="1" w:styleId="19">
    <w:name w:val="UserStyle_1"/>
    <w:basedOn w:val="1"/>
    <w:link w:val="18"/>
    <w:qFormat/>
    <w:uiPriority w:val="0"/>
  </w:style>
  <w:style w:type="paragraph" w:customStyle="1" w:styleId="FormatAgentTitle">
    <w:name w:val="文档标题"/>
    <w:next w:val="1"/>
    <w:qFormat/>
    <w:pPr>
      <w:jc w:val="center"/>
      <w:outlineLvl w:val="0"/>
    </w:pPr>
    <w:rPr>
      <w:rFonts w:eastAsia="方正小标宋简体" w:ascii="方正小标宋简体" w:hAnsi="方正小标宋简体" w:cs="方正小标宋简体"/>
      <w:b w:val="0"/>
      <w:sz w:val="44"/>
      <w:szCs w:val="44"/>
    </w:rPr>
  </w:style>
  <w:style w:type="paragraph" w:customStyle="1" w:styleId="FormatAgentOther">
    <w:name w:val="其他正文"/>
    <w:next w:val="1"/>
    <w:qFormat/>
    <w:pPr>
      <w:jc w:val="both"/>
    </w:pPr>
    <w:rPr>
      <w:rFonts w:eastAsia="仿宋_GB2312" w:ascii="仿宋_GB2312" w:hAnsi="仿宋_GB2312" w:cs="仿宋_GB2312"/>
      <w:b w:val="0"/>
      <w:sz w:val="28"/>
      <w:szCs w:val="28"/>
    </w:rPr>
  </w:style>
  <w:style w:type="paragraph" w:customStyle="1" w:styleId="FormatAgentSubtitle">
    <w:name w:val="文档副标题"/>
    <w:next w:val="1"/>
    <w:qFormat/>
    <w:pPr>
      <w:spacing w:line="480" w:lineRule="auto" w:after="120"/>
      <w:jc w:val="center"/>
    </w:pPr>
    <w:rPr>
      <w:rFonts w:eastAsia="楷体_GB2312" w:ascii="楷体_GB2312" w:hAnsi="楷体_GB2312" w:cs="楷体_GB2312"/>
      <w:b w:val="0"/>
      <w:sz w:val="36"/>
      <w:szCs w:val="36"/>
    </w:rPr>
  </w:style>
  <w:style w:type="paragraph" w:customStyle="1" w:styleId="FormatAgentHeading1">
    <w:name w:val="标题 1"/>
    <w:next w:val="1"/>
    <w:qFormat/>
    <w:pPr>
      <w:numPr>
        <w:ilvl w:val="0"/>
        <w:numId w:val="4"/>
      </w:numPr>
      <w:spacing w:line="600" w:lineRule="exact"/>
      <w:ind w:firstLineChars="200" w:firstLine="640"/>
      <w:jc w:val="both"/>
      <w:outlineLvl w:val="0"/>
    </w:pPr>
    <w:rPr>
      <w:rFonts w:eastAsia="黑体" w:ascii="Times New Roman" w:hAnsi="Times New Roman" w:cs="Times New Roman"/>
      <w:b w:val="0"/>
      <w:sz w:val="32"/>
      <w:szCs w:val="32"/>
    </w:rPr>
  </w:style>
  <w:style w:type="paragraph" w:customStyle="1" w:styleId="FormatAgentBody">
    <w:name w:val="格式正文"/>
    <w:next w:val="1"/>
    <w:qFormat/>
    <w:pPr>
      <w:spacing w:line="600" w:lineRule="exact"/>
      <w:ind w:firstLineChars="200" w:firstLine="640"/>
      <w:jc w:val="both"/>
    </w:pPr>
    <w:rPr>
      <w:rFonts w:eastAsia="仿宋_GB2312" w:ascii="仿宋_GB2312" w:hAnsi="仿宋_GB2312" w:cs="仿宋_GB2312"/>
      <w:b w:val="0"/>
      <w:sz w:val="32"/>
      <w:szCs w:val="32"/>
    </w:rPr>
  </w:style>
  <w:style w:type="paragraph" w:customStyle="1" w:styleId="FormatAgentAttachmentLabel">
    <w:name w:val="附件标题"/>
    <w:next w:val="1"/>
    <w:qFormat/>
    <w:pPr>
      <w:spacing w:line="600" w:lineRule="exact"/>
      <w:ind w:firstLineChars="200" w:firstLine="640"/>
      <w:jc w:val="left"/>
    </w:pPr>
    <w:rPr>
      <w:rFonts w:eastAsia="仿宋_GB2312" w:ascii="Calibri" w:hAnsi="Calibri" w:cs="Calibri"/>
      <w:b w:val="0"/>
      <w:sz w:val="32"/>
      <w:szCs w:val="32"/>
    </w:rPr>
  </w:style>
  <w:style w:type="paragraph" w:customStyle="1" w:styleId="FormatAgentAttachment">
    <w:name w:val="附件正文"/>
    <w:next w:val="1"/>
    <w:qFormat/>
    <w:pPr>
      <w:jc w:val="both"/>
    </w:pPr>
    <w:rPr>
      <w:rFonts w:eastAsia="仿宋_GB2312" w:ascii="仿宋_GB2312" w:hAnsi="仿宋_GB2312" w:cs="仿宋_GB2312"/>
      <w:b w:val="0"/>
      <w:sz w:val="32"/>
      <w:szCs w:val="3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3</Pages>
  <Words>2066</Words>
  <Characters>2171</Characters>
  <Lines>3</Lines>
  <Paragraphs>1</Paragraphs>
  <TotalTime>23</TotalTime>
  <ScaleCrop>false</ScaleCrop>
  <LinksUpToDate>false</LinksUpToDate>
  <CharactersWithSpaces>2176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2016-11-28T06:45:00Z</dcterms:created>
  <dc:creator/>
  <cp:lastModifiedBy/>
  <cp:lastPrinted>2024-05-27T06:36:00Z</cp:lastPrinted>
  <dcterms:modified xsi:type="dcterms:W3CDTF">2026-08-28T13:46:44Z</dcterms:modified>
  <dc:title/>
  <cp:revision>13</cp:revision>
  <dc:subject/>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1905D03F8E3E4DA4AEF0B912FBFC7E16_13</vt:lpwstr>
  </property>
  <property fmtid="{D5CDD505-2E9C-101B-9397-08002B2CF9AE}" pid="4" name="KSOTemplateDocerSaveRecord">
    <vt:lpwstr>eyJoZGlkIjoiNzBmNTE4MDRkMTAyOTI3YWJkMzQ3MDYwNjMxMjJkNDciLCJ1c2VySWQiOiI0MTkzNzI4OTMifQ==</vt:lpwstr>
  </property>
</Properties>
</file>