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rmatAgentTitle"/>
        <w:spacing w:line="240" w:lineRule="auto"/>
      </w:pPr>
      <w:r>
        <w:t>BOARD RESOLUTION OF NOVAKraft TECHNOLOGIES INC.</w:t>
      </w:r>
    </w:p>
    <w:p>
      <w:pPr>
        <w:pStyle w:val="FormatAgentBody"/>
      </w:pPr>
      <w:r>
        <w:rPr>
          <w:b w:val="0"/>
        </w:rPr>
        <w:t>Approval of the Annual Budget for Fiscal Year 2027</w:t>
      </w:r>
    </w:p>
    <w:p>
      <w:pPr>
        <w:pStyle w:val="FormatAgentBody"/>
      </w:pPr>
      <w:r>
        <w:rPr>
          <w:b w:val="0"/>
        </w:rPr>
        <w:t>WHEREAS, the Board of Directors has reviewed the proposed annual budget for fiscal year 2027 presented by the management team;</w:t>
      </w:r>
    </w:p>
    <w:p>
      <w:pPr>
        <w:pStyle w:val="FormatAgentBody"/>
      </w:pPr>
      <w:r>
        <w:rPr>
          <w:b w:val="0"/>
        </w:rPr>
        <w:t>WHEREAS, the proposed budget allocates sufficient resources to research and development while maintaining operational stability;</w:t>
      </w:r>
    </w:p>
    <w:p>
      <w:pPr>
        <w:pStyle w:val="FormatAgentBody"/>
      </w:pPr>
      <w:r>
        <w:rPr>
          <w:b w:val="0"/>
        </w:rPr>
        <w:t>NOW, THEREFORE, BE IT RESOLVED, that the annual budget for fiscal year 2027, in the amount of USD 12.5 million, is hereby approved.</w:t>
      </w:r>
    </w:p>
    <w:p>
      <w:pPr>
        <w:pStyle w:val="FormatAgentBody"/>
      </w:pPr>
      <w:r>
        <w:rPr>
          <w:b w:val="0"/>
        </w:rPr>
        <w:t>RESOLVED FURTHER, that the Chief Financial Officer is authorized to make quarterly adjustments not exceeding five percent of the total budget without further Board approval.</w:t>
      </w:r>
    </w:p>
    <w:p>
      <w:pPr>
        <w:pStyle w:val="FormatAgentSignature"/>
        <w:spacing w:line="240" w:lineRule="auto"/>
      </w:pPr>
      <w:r>
        <w:rPr>
          <w:b w:val="0"/>
        </w:rPr>
        <w:t>By: Sarah Chen, Chairperson of the Board</w:t>
      </w:r>
    </w:p>
    <w:p>
      <w:pPr>
        <w:pStyle w:val="FormatAgentDate"/>
        <w:spacing w:line="240" w:lineRule="auto"/>
      </w:pPr>
      <w:r>
        <w:rPr>
          <w:b w:val="0"/>
        </w:rPr>
        <w:t>Date: September 15,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atAgentTitle">
    <w:name w:val="文档标题"/>
    <w:next w:val="Normal"/>
    <w:qFormat/>
    <w:pPr>
      <w:jc w:val="center"/>
      <w:outlineLvl w:val="0"/>
    </w:pPr>
    <w:rPr>
      <w:rFonts w:eastAsia="Times New Roman" w:ascii="Times New Roman" w:hAnsi="Times New Roman" w:cs="Times New Roman"/>
      <w:b/>
      <w:sz w:val="32"/>
      <w:szCs w:val="32"/>
    </w:rPr>
  </w:style>
  <w:style w:type="paragraph" w:customStyle="1" w:styleId="FormatAgentBody">
    <w:name w:val="格式正文"/>
    <w:next w:val="Normal"/>
    <w:qFormat/>
    <w:pPr>
      <w:spacing w:line="360" w:lineRule="auto"/>
      <w:ind w:firstLineChars="200" w:firstLine="480"/>
      <w:jc w:val="both"/>
    </w:pPr>
    <w:rPr>
      <w:rFonts w:eastAsia="Times New Roman" w:ascii="Times New Roman" w:hAnsi="Times New Roman" w:cs="Times New Roman"/>
      <w:sz w:val="24"/>
      <w:szCs w:val="24"/>
    </w:rPr>
  </w:style>
  <w:style w:type="paragraph" w:customStyle="1" w:styleId="FormatAgentSignature">
    <w:name w:val="落款"/>
    <w:next w:val="Normal"/>
    <w:qFormat/>
    <w:pPr>
      <w:jc w:val="right"/>
    </w:pPr>
    <w:rPr>
      <w:rFonts w:eastAsia="Times New Roman" w:ascii="Times New Roman" w:hAnsi="Times New Roman" w:cs="Times New Roman"/>
      <w:sz w:val="24"/>
      <w:szCs w:val="24"/>
    </w:rPr>
  </w:style>
  <w:style w:type="paragraph" w:customStyle="1" w:styleId="FormatAgentDate">
    <w:name w:val="日期"/>
    <w:next w:val="Normal"/>
    <w:qFormat/>
    <w:pPr>
      <w:jc w:val="right"/>
    </w:pPr>
    <w:rPr>
      <w:rFonts w:eastAsia="Times New Roman"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