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8"/>
          <w:szCs w:val="28"/>
        </w:rPr>
        <w:t xml:space="preserve">An Interactive Dataset-Agnostic Machine Learning Analysis System for</w:t>
      </w:r>
    </w:p>
    <w:p>
      <w:pPr>
        <w:spacing w:after="160" w:before="0"/>
        <w:jc w:val="center"/>
      </w:pPr>
      <w:r>
        <w:rPr>
          <w:rFonts w:ascii="Times New Roman" w:cs="Times New Roman" w:eastAsia="Times New Roman" w:hAnsi="Times New Roman"/>
          <w:b/>
          <w:bCs/>
          <w:sz w:val="28"/>
          <w:szCs w:val="28"/>
        </w:rPr>
        <w:t xml:space="preserve">Empirical Demonstration of the Bias-Variance Tradeoff and Evidence-Based Model Selection</w:t>
      </w:r>
    </w:p>
    <w:p>
      <w:pPr>
        <w:spacing w:after="40" w:before="0"/>
        <w:jc w:val="center"/>
      </w:pPr>
      <w:r>
        <w:rPr>
          <w:rFonts w:ascii="Times New Roman" w:cs="Times New Roman" w:eastAsia="Times New Roman" w:hAnsi="Times New Roman"/>
          <w:i/>
          <w:iCs/>
          <w:sz w:val="22"/>
          <w:szCs w:val="22"/>
        </w:rPr>
        <w:t xml:space="preserve">[Author Names]</w:t>
      </w:r>
    </w:p>
    <w:p>
      <w:pPr>
        <w:spacing w:after="40" w:before="0"/>
        <w:jc w:val="center"/>
      </w:pPr>
      <w:r>
        <w:rPr>
          <w:rFonts w:ascii="Times New Roman" w:cs="Times New Roman" w:eastAsia="Times New Roman" w:hAnsi="Times New Roman"/>
          <w:i/>
          <w:iCs/>
          <w:sz w:val="22"/>
          <w:szCs w:val="22"/>
        </w:rPr>
        <w:t xml:space="preserve">[Department of Computer Science / Engineering]</w:t>
      </w:r>
    </w:p>
    <w:p>
      <w:pPr>
        <w:spacing w:after="40" w:before="0"/>
        <w:jc w:val="center"/>
      </w:pPr>
      <w:r>
        <w:rPr>
          <w:rFonts w:ascii="Times New Roman" w:cs="Times New Roman" w:eastAsia="Times New Roman" w:hAnsi="Times New Roman"/>
          <w:i/>
          <w:iCs/>
          <w:sz w:val="22"/>
          <w:szCs w:val="22"/>
        </w:rPr>
        <w:t xml:space="preserve">[Institution Name, City, Country]</w:t>
      </w:r>
    </w:p>
    <w:p>
      <w:pPr>
        <w:spacing w:after="200" w:before="0"/>
        <w:jc w:val="center"/>
      </w:pPr>
      <w:r>
        <w:rPr>
          <w:rFonts w:ascii="Times New Roman" w:cs="Times New Roman" w:eastAsia="Times New Roman" w:hAnsi="Times New Roman"/>
          <w:i/>
          <w:iCs/>
          <w:sz w:val="22"/>
          <w:szCs w:val="22"/>
        </w:rPr>
        <w:t xml:space="preserve">[Email Addresses]</w:t>
      </w:r>
    </w:p>
    <w:p>
      <w:pPr>
        <w:pBdr>
          <w:bottom w:val="single" w:color="000000" w:sz="4" w:space="1"/>
        </w:pBdr>
        <w:spacing w:after="60" w:before="60"/>
      </w:pPr>
      <w:r>
        <w:t xml:space="preserve"/>
      </w:r>
    </w:p>
    <w:p>
      <w:pPr>
        <w:spacing w:after="80" w:before="160"/>
        <w:jc w:val="center"/>
      </w:pPr>
      <w:r>
        <w:rPr>
          <w:rFonts w:ascii="Times New Roman" w:cs="Times New Roman" w:eastAsia="Times New Roman" w:hAnsi="Times New Roman"/>
          <w:b/>
          <w:bCs/>
          <w:sz w:val="20"/>
          <w:szCs w:val="20"/>
        </w:rPr>
        <w:t xml:space="preserve">ABSTRACT</w:t>
      </w:r>
    </w:p>
    <w:p>
      <w:pPr>
        <w:spacing w:after="60" w:before="0" w:line="240"/>
        <w:jc w:val="both"/>
      </w:pPr>
      <w:r>
        <w:rPr>
          <w:rFonts w:ascii="Times New Roman" w:cs="Times New Roman" w:eastAsia="Times New Roman" w:hAnsi="Times New Roman"/>
          <w:sz w:val="20"/>
          <w:szCs w:val="20"/>
        </w:rPr>
        <w:t xml:space="preserve">This paper presents the design and objectives of an interactive, dataset-agnostic machine learning analysis system that empirically demonstrates the bias-variance tradeoff and supports evidence-based model selection. The proposed system accepts any numerical dataset, performs automatic preprocessing including imputation, encoding, and feature scaling, and detects whether the supervised learning task is regression or classification. It then trains a spectrum of models of varying complexity — from simple linear and logistic regressors to high-capacity ensembles such as Random Forest and Gradient Boosting — and computes a comprehensive suite of evaluation metrics including training error, testing error, mean squared error, R² score, accuracy, precision, recall, F1-score, and an empirical decomposition of bias² and variance. Results are visualised through model complexity curves, actual-vs-predicted plots, and confusion matrices that clearly annotate underfitting, overfitting, and well-generalising configurations. A written, metric-backed model recommendation is generated for each dataset. The system is designed as a practical pedagogical tool to bridge the longstanding gap between the theoretical formulation of the bias-variance tradeoff and its observable behaviour on real data. This work draws on foundational learning theory and a body of recent empirical literature to contextualise its methodology and situate its contributions within the contemporary machine learning landscape.</w:t>
      </w:r>
    </w:p>
    <w:p>
      <w:pPr>
        <w:spacing w:after="60" w:before="0"/>
      </w:pPr>
      <w:r>
        <w:t xml:space="preserve"/>
      </w:r>
    </w:p>
    <w:p>
      <w:pPr>
        <w:spacing w:after="100" w:before="0"/>
        <w:jc w:val="both"/>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sz w:val="20"/>
          <w:szCs w:val="20"/>
        </w:rPr>
        <w:t xml:space="preserve">bias-variance tradeoff, model selection, machine learning, overfitting, underfitting, regularisation, ensemble methods, interactive analysis, supervised learning.</w:t>
      </w:r>
    </w:p>
    <w:p>
      <w:pPr>
        <w:pBdr>
          <w:bottom w:val="single" w:color="000000" w:sz="4" w:space="1"/>
        </w:pBdr>
        <w:spacing w:after="60" w:before="60"/>
      </w:pPr>
      <w:r>
        <w:t xml:space="preserve"/>
      </w:r>
    </w:p>
    <w:p>
      <w:pPr>
        <w:spacing w:after="80" w:before="160"/>
        <w:jc w:val="center"/>
      </w:pPr>
      <w:r>
        <w:rPr>
          <w:rFonts w:ascii="Times New Roman" w:cs="Times New Roman" w:eastAsia="Times New Roman" w:hAnsi="Times New Roman"/>
          <w:b/>
          <w:bCs/>
          <w:sz w:val="20"/>
          <w:szCs w:val="20"/>
        </w:rPr>
        <w:t xml:space="preserve">I. INTRODUCTION</w:t>
      </w:r>
    </w:p>
    <w:p>
      <w:pPr>
        <w:spacing w:after="60" w:before="0" w:line="240"/>
        <w:ind w:firstLine="720"/>
        <w:jc w:val="both"/>
      </w:pPr>
      <w:r>
        <w:rPr>
          <w:rFonts w:ascii="Times New Roman" w:cs="Times New Roman" w:eastAsia="Times New Roman" w:hAnsi="Times New Roman"/>
          <w:sz w:val="20"/>
          <w:szCs w:val="20"/>
        </w:rPr>
        <w:t xml:space="preserve">The ability to select an appropriate model for a given learning task is one of the most practically consequential skills a data scientist or machine learning engineer can possess. Every supervised learning algorithm makes implicit assumptions about the form of the underlying data-generating process. When those assumptions are too restrictive — for instance, when a linear model is applied to a nonlinear relationship — the model systematically fails regardless of how much training data is available. Conversely, when a model is so expressive that it is capable of memorising its training data point by point, it typically fails to generalise to unseen observations. These two failure modes, underfitting and overfitting, are the practical manifestations of what statistical learning theory formally describes as the bias-variance tradeoff [1].</w:t>
      </w:r>
    </w:p>
    <w:p>
      <w:pPr>
        <w:spacing w:after="60" w:before="0" w:line="240"/>
        <w:ind w:firstLine="720"/>
        <w:jc w:val="both"/>
      </w:pPr>
      <w:r>
        <w:rPr>
          <w:rFonts w:ascii="Times New Roman" w:cs="Times New Roman" w:eastAsia="Times New Roman" w:hAnsi="Times New Roman"/>
          <w:sz w:val="20"/>
          <w:szCs w:val="20"/>
        </w:rPr>
        <w:t xml:space="preserve">The bias-variance tradeoff is a foundational concept in machine learning and statistics. Bias refers to the error introduced by approximating a real-world problem — which may be arbitrarily complex — using a simplified model. Variance refers to the sensitivity of a model's predictions to fluctuations in the training data. These two quantities contribute additively to the expected generalisation error of any supervised learning algorithm, and they are fundamentally in tension: reducing bias typically requires increasing model complexity, which in turn raises variance, and vice versa [2]. The practical challenge is not merely to understand this tradeoff theoretically, but to observe it empirically and use that observation to guide model selection.</w:t>
      </w:r>
    </w:p>
    <w:p>
      <w:pPr>
        <w:spacing w:after="60" w:before="0" w:line="240"/>
        <w:ind w:firstLine="720"/>
        <w:jc w:val="both"/>
      </w:pPr>
      <w:r>
        <w:rPr>
          <w:rFonts w:ascii="Times New Roman" w:cs="Times New Roman" w:eastAsia="Times New Roman" w:hAnsi="Times New Roman"/>
          <w:sz w:val="20"/>
          <w:szCs w:val="20"/>
        </w:rPr>
        <w:t xml:space="preserve">Despite the central role of the bias-variance tradeoff in introductory machine learning curricula, it is most commonly presented through theoretical derivations and idealised illustrations. Students are shown U-shaped error curves in textbooks, but rarely have the opportunity to reproduce such curves on real datasets with real algorithms. This creates a gap between declarative knowledge — knowing the definition of bias and variance — and procedural knowledge — knowing how to identify underfitting and overfitting in practice and how to respond to each.</w:t>
      </w:r>
    </w:p>
    <w:p>
      <w:pPr>
        <w:spacing w:after="60" w:before="0" w:line="240"/>
        <w:ind w:firstLine="720"/>
        <w:jc w:val="both"/>
      </w:pPr>
      <w:r>
        <w:rPr>
          <w:rFonts w:ascii="Times New Roman" w:cs="Times New Roman" w:eastAsia="Times New Roman" w:hAnsi="Times New Roman"/>
          <w:sz w:val="20"/>
          <w:szCs w:val="20"/>
        </w:rPr>
        <w:t xml:space="preserve">Furthermore, most introductory machine learning projects focus on a single algorithm applied to a single dataset. While this is sufficient for demonstrating that a model can be trained and evaluated, it does not build the comparative reasoning skills needed to justify model selection decisions. Understanding why one model outperforms another — and what that reveals about the structure of the data — is a more nuanced and practically valuable competency [3].</w:t>
      </w:r>
    </w:p>
    <w:p>
      <w:pPr>
        <w:spacing w:after="60" w:before="0" w:line="240"/>
        <w:ind w:firstLine="720"/>
        <w:jc w:val="both"/>
      </w:pPr>
      <w:r>
        <w:rPr>
          <w:rFonts w:ascii="Times New Roman" w:cs="Times New Roman" w:eastAsia="Times New Roman" w:hAnsi="Times New Roman"/>
          <w:sz w:val="20"/>
          <w:szCs w:val="20"/>
        </w:rPr>
        <w:t xml:space="preserve">The system proposed in this paper addresses both of these gaps. It accepts any numerical dataset, automatically infers the task type, and trains a deliberate spectrum of models ranging from high-bias to high-variance configurations. For regression tasks, this spectrum includes ordinary linear regression, polynomial regression of multiple degrees, Ridge and Lasso regression, Decision Tree regressors of multiple depths, K-Nearest Neighbours, Support Vector Regression, Random Forest, and Gradient Boosting. For classification tasks, the analogous spectrum spans logistic regression, Gaussian Naïve Bayes, Decision Tree classifiers of varying depth, K-Nearest Neighbours, Support Vector Classification, Random Forest, and Gradient Boosting classifiers [4][5].</w:t>
      </w:r>
    </w:p>
    <w:p>
      <w:pPr>
        <w:spacing w:after="60" w:before="0" w:line="240"/>
        <w:ind w:firstLine="720"/>
        <w:jc w:val="both"/>
      </w:pPr>
      <w:r>
        <w:rPr>
          <w:rFonts w:ascii="Times New Roman" w:cs="Times New Roman" w:eastAsia="Times New Roman" w:hAnsi="Times New Roman"/>
          <w:sz w:val="20"/>
          <w:szCs w:val="20"/>
        </w:rPr>
        <w:t xml:space="preserve">The system computes a comprehensive set of evaluation metrics for each model, visualises the bias-variance tradeoff through complexity curves and annotated error plots, and generates a written, evidence-based recommendation identifying the optimal model for the given dataset. It is designed both as a practical analytical tool and as a pedagogical instrument that connects abstract course concepts — bias, variance, regularisation, ensemble methods, model complexity — directly to observable outcomes on real data.</w:t>
      </w:r>
    </w:p>
    <w:p>
      <w:pPr>
        <w:spacing w:after="60" w:before="0" w:line="240"/>
        <w:ind w:firstLine="720"/>
        <w:jc w:val="both"/>
      </w:pPr>
      <w:r>
        <w:rPr>
          <w:rFonts w:ascii="Times New Roman" w:cs="Times New Roman" w:eastAsia="Times New Roman" w:hAnsi="Times New Roman"/>
          <w:sz w:val="20"/>
          <w:szCs w:val="20"/>
        </w:rPr>
        <w:t xml:space="preserve">The remainder of this paper is organised as follows. Section II provides a comprehensive review of the relevant literature, covering the theoretical foundations of the bias-variance tradeoff, empirical studies of model complexity, the primary families of algorithms employed, and related tools and systems. Section III describes the system objective and problem statement in full. Section IV discusses the methodology. Section V concludes with implications for education and future directions.</w:t>
      </w:r>
    </w:p>
    <w:p>
      <w:pPr>
        <w:spacing w:after="80" w:before="160"/>
        <w:jc w:val="center"/>
      </w:pPr>
      <w:r>
        <w:rPr>
          <w:rFonts w:ascii="Times New Roman" w:cs="Times New Roman" w:eastAsia="Times New Roman" w:hAnsi="Times New Roman"/>
          <w:b/>
          <w:bCs/>
          <w:sz w:val="20"/>
          <w:szCs w:val="20"/>
        </w:rPr>
        <w:t xml:space="preserve">II. LITERATURE REVIEW</w:t>
      </w:r>
    </w:p>
    <w:p>
      <w:pPr>
        <w:spacing w:after="60" w:before="120"/>
      </w:pPr>
      <w:r>
        <w:rPr>
          <w:rFonts w:ascii="Times New Roman" w:cs="Times New Roman" w:eastAsia="Times New Roman" w:hAnsi="Times New Roman"/>
          <w:b/>
          <w:bCs/>
          <w:sz w:val="20"/>
          <w:szCs w:val="20"/>
        </w:rPr>
        <w:t xml:space="preserve">A. Theoretical Foundations of the Bias-Variance Tradeoff</w:t>
      </w:r>
    </w:p>
    <w:p>
      <w:pPr>
        <w:spacing w:after="60" w:before="0" w:line="240"/>
        <w:ind w:firstLine="720"/>
        <w:jc w:val="both"/>
      </w:pPr>
      <w:r>
        <w:rPr>
          <w:rFonts w:ascii="Times New Roman" w:cs="Times New Roman" w:eastAsia="Times New Roman" w:hAnsi="Times New Roman"/>
          <w:sz w:val="20"/>
          <w:szCs w:val="20"/>
        </w:rPr>
        <w:t xml:space="preserve">The bias-variance decomposition of prediction error is among the most well-established results in statistical learning theory. For a regression setting with squared loss, the expected test error of any estimator can be decomposed exactly into three components: irreducible noise, the squared bias of the estimator, and its variance [1]. This decomposition provides a rigorous theoretical basis for understanding how model complexity interacts with generalisation: models that are too simple exhibit high bias, whereas models that are too complex exhibit high variance, and the optimal model minimises the sum of both.</w:t>
      </w:r>
    </w:p>
    <w:p>
      <w:pPr>
        <w:spacing w:after="60" w:before="0" w:line="240"/>
        <w:ind w:firstLine="720"/>
        <w:jc w:val="both"/>
      </w:pPr>
      <w:r>
        <w:rPr>
          <w:rFonts w:ascii="Times New Roman" w:cs="Times New Roman" w:eastAsia="Times New Roman" w:hAnsi="Times New Roman"/>
          <w:sz w:val="20"/>
          <w:szCs w:val="20"/>
        </w:rPr>
        <w:t xml:space="preserve">Belkin et al. [2] made a significant empirical contribution by demonstrating that the classical U-shaped bias-variance curve does not fully describe the behaviour of modern high-capacity models. Their work introduced the concept of the 'double descent' risk curve, which shows that beyond the classical interpolation threshold — where a model exactly fits the training data — test error can actually decrease again as model capacity continues to increase. This phenomenon, observed across neural networks, random Fourier feature models, and other function classes, has prompted a reexamination of the classical tradeoff and underscored the importance of empirical measurement over purely theoretical prediction.</w:t>
      </w:r>
    </w:p>
    <w:p>
      <w:pPr>
        <w:spacing w:after="60" w:before="0" w:line="240"/>
        <w:ind w:firstLine="720"/>
        <w:jc w:val="both"/>
      </w:pPr>
      <w:r>
        <w:rPr>
          <w:rFonts w:ascii="Times New Roman" w:cs="Times New Roman" w:eastAsia="Times New Roman" w:hAnsi="Times New Roman"/>
          <w:sz w:val="20"/>
          <w:szCs w:val="20"/>
        </w:rPr>
        <w:t xml:space="preserve">Complementary to Belkin et al., Neal et al. [3] conducted a modern empirical study of bias and variance specifically in neural networks. Challenging the classical intuition that variance increases monotonically with the number of parameters, they found that variance attributable to training set sampling remains approximately constant as network width increases in overparameterised settings. Their decomposition of total variance into sampling variance and initialisation variance provides a more granular lens through which to interpret generalisation in deep learning, and motivates the kind of empirical decomposition methodology adopted in the present system.</w:t>
      </w:r>
    </w:p>
    <w:p>
      <w:pPr>
        <w:spacing w:after="60" w:before="0" w:line="240"/>
        <w:ind w:firstLine="720"/>
        <w:jc w:val="both"/>
      </w:pPr>
      <w:r>
        <w:rPr>
          <w:rFonts w:ascii="Times New Roman" w:cs="Times New Roman" w:eastAsia="Times New Roman" w:hAnsi="Times New Roman"/>
          <w:sz w:val="20"/>
          <w:szCs w:val="20"/>
        </w:rPr>
        <w:t xml:space="preserve">Ghojogh and Crowley [6] provide a unified tutorial-level treatment of overfitting, underfitting, regularisation, cross-validation, bagging, and boosting from a consistent theoretical perspective. Their work draws connections between the bias-variance tradeoff and the structural characteristics of different algorithm families, making it particularly relevant as a conceptual foundation for systems that train multiple model families simultaneously and compare their behaviour empirically.</w:t>
      </w:r>
    </w:p>
    <w:p>
      <w:pPr>
        <w:spacing w:after="60" w:before="120"/>
      </w:pPr>
      <w:r>
        <w:rPr>
          <w:rFonts w:ascii="Times New Roman" w:cs="Times New Roman" w:eastAsia="Times New Roman" w:hAnsi="Times New Roman"/>
          <w:b/>
          <w:bCs/>
          <w:sz w:val="20"/>
          <w:szCs w:val="20"/>
        </w:rPr>
        <w:t xml:space="preserve">B. Model Complexity, Overfitting, and Regularisation</w:t>
      </w:r>
    </w:p>
    <w:p>
      <w:pPr>
        <w:spacing w:after="60" w:before="0" w:line="240"/>
        <w:ind w:firstLine="720"/>
        <w:jc w:val="both"/>
      </w:pPr>
      <w:r>
        <w:rPr>
          <w:rFonts w:ascii="Times New Roman" w:cs="Times New Roman" w:eastAsia="Times New Roman" w:hAnsi="Times New Roman"/>
          <w:sz w:val="20"/>
          <w:szCs w:val="20"/>
        </w:rPr>
        <w:t xml:space="preserve">The relationship between model complexity and generalisation error is a central theme in both theoretical and applied machine learning research. Decision trees offer perhaps the most intuitive example of this relationship: as maximum tree depth increases, training error decreases monotonically while test error initially decreases before rising sharply due to overfitting. This behaviour has been systematically documented in comparative studies that use tree depth as a direct proxy for model complexity [7].</w:t>
      </w:r>
    </w:p>
    <w:p>
      <w:pPr>
        <w:spacing w:after="60" w:before="0" w:line="240"/>
        <w:ind w:firstLine="720"/>
        <w:jc w:val="both"/>
      </w:pPr>
      <w:r>
        <w:rPr>
          <w:rFonts w:ascii="Times New Roman" w:cs="Times New Roman" w:eastAsia="Times New Roman" w:hAnsi="Times New Roman"/>
          <w:sz w:val="20"/>
          <w:szCs w:val="20"/>
        </w:rPr>
        <w:t xml:space="preserve">Regularisation methods such as Ridge (L2) and Lasso (L1) regression were developed specifically to mitigate overfitting in linear models by constraining the magnitude of model coefficients. The theoretical justification for these methods is well established: the regularisation term introduces a controlled form of bias that reduces variance and thereby improves generalisation on unseen data. The relative merits of L1 versus L2 regularisation have been extensively studied: L1 regularisation induces sparsity and is particularly effective for feature selection in high-dimensional settings, while L2 regularisation produces smoother solutions and is generally more numerically stable [8].</w:t>
      </w:r>
    </w:p>
    <w:p>
      <w:pPr>
        <w:spacing w:after="60" w:before="0" w:line="240"/>
        <w:ind w:firstLine="720"/>
        <w:jc w:val="both"/>
      </w:pPr>
      <w:r>
        <w:rPr>
          <w:rFonts w:ascii="Times New Roman" w:cs="Times New Roman" w:eastAsia="Times New Roman" w:hAnsi="Times New Roman"/>
          <w:sz w:val="20"/>
          <w:szCs w:val="20"/>
        </w:rPr>
        <w:t xml:space="preserve">Santos and Papa [9] conducted a systematic review of regularisation methods for convolutional neural networks, categorising approaches into data augmentation, internal modifications, and label-based strategies. While their focus was on deep learning, the core insight — that the choice of regularisation strategy has a substantive impact on the final model's bias-variance profile — applies broadly across algorithm families and motivates the inclusion of regularised linear models as explicit reference points in the proposed system's model spectrum.</w:t>
      </w:r>
    </w:p>
    <w:p>
      <w:pPr>
        <w:spacing w:after="60" w:before="0" w:line="240"/>
        <w:ind w:firstLine="720"/>
        <w:jc w:val="both"/>
      </w:pPr>
      <w:r>
        <w:rPr>
          <w:rFonts w:ascii="Times New Roman" w:cs="Times New Roman" w:eastAsia="Times New Roman" w:hAnsi="Times New Roman"/>
          <w:sz w:val="20"/>
          <w:szCs w:val="20"/>
        </w:rPr>
        <w:t xml:space="preserve">Raschka [10] provides a comprehensive methodological treatment of model evaluation, model selection, and algorithm comparison. His work formally examines the statistical properties of hold-out validation, k-fold cross-validation, bootstrap estimation, and nested cross-validation, demonstrating the bias-variance tradeoff inherent in the choice of k for k-fold cross-validation and providing practical recommendations for each setting. The model evaluation pipeline of the proposed system is directly informed by the best practices documented in this work.</w:t>
      </w:r>
    </w:p>
    <w:p>
      <w:pPr>
        <w:spacing w:after="60" w:before="120"/>
      </w:pPr>
      <w:r>
        <w:rPr>
          <w:rFonts w:ascii="Times New Roman" w:cs="Times New Roman" w:eastAsia="Times New Roman" w:hAnsi="Times New Roman"/>
          <w:b/>
          <w:bCs/>
          <w:sz w:val="20"/>
          <w:szCs w:val="20"/>
        </w:rPr>
        <w:t xml:space="preserve">C. Ensemble Methods: Random Forests and Gradient Boosting</w:t>
      </w:r>
    </w:p>
    <w:p>
      <w:pPr>
        <w:spacing w:after="60" w:before="0" w:line="240"/>
        <w:ind w:firstLine="720"/>
        <w:jc w:val="both"/>
      </w:pPr>
      <w:r>
        <w:rPr>
          <w:rFonts w:ascii="Times New Roman" w:cs="Times New Roman" w:eastAsia="Times New Roman" w:hAnsi="Times New Roman"/>
          <w:sz w:val="20"/>
          <w:szCs w:val="20"/>
        </w:rPr>
        <w:t xml:space="preserve">Ensemble methods represent one of the most effective approaches to navigating the bias-variance tradeoff in practice. By combining predictions from multiple base learners, ensemble methods can simultaneously reduce variance (through averaging or aggregation) and, in the case of boosting, reduce bias (by iteratively focusing on errors). The two dominant ensemble paradigms — bagging-based methods such as Random Forest and boosting-based methods such as Gradient Boosting — produce complementary bias-variance profiles and are therefore both included in the proposed system [7].</w:t>
      </w:r>
    </w:p>
    <w:p>
      <w:pPr>
        <w:spacing w:after="60" w:before="0" w:line="240"/>
        <w:ind w:firstLine="720"/>
        <w:jc w:val="both"/>
      </w:pPr>
      <w:r>
        <w:rPr>
          <w:rFonts w:ascii="Times New Roman" w:cs="Times New Roman" w:eastAsia="Times New Roman" w:hAnsi="Times New Roman"/>
          <w:sz w:val="20"/>
          <w:szCs w:val="20"/>
        </w:rPr>
        <w:t xml:space="preserve">Ranglani [11] conducted an empirical analysis of the bias-variance tradeoff specifically across a spectrum of regression and classification datasets, using models ranging from single decision trees to Random Forest, Gradient Boosting, and XGBoost. The study found that ensemble methods consistently achieved the best tradeoff between bias and variance, producing the lowest overall test error. Simpler models such as K-NN and single decision trees exhibited either high bias or high variance depending on their configuration. This empirical finding directly motivates the inclusion of a full model complexity spectrum in the proposed analysis system, as it is precisely the contrast between simple and ensemble models that makes the tradeoff visible.</w:t>
      </w:r>
    </w:p>
    <w:p>
      <w:pPr>
        <w:spacing w:after="60" w:before="0" w:line="240"/>
        <w:ind w:firstLine="720"/>
        <w:jc w:val="both"/>
      </w:pPr>
      <w:r>
        <w:rPr>
          <w:rFonts w:ascii="Times New Roman" w:cs="Times New Roman" w:eastAsia="Times New Roman" w:hAnsi="Times New Roman"/>
          <w:sz w:val="20"/>
          <w:szCs w:val="20"/>
        </w:rPr>
        <w:t xml:space="preserve">Chen and Guestrin [12] introduced XGBoost, a scalable end-to-end tree boosting system that has since become one of the most widely used algorithms in applied machine learning. XGBoost incorporates second-order gradient information, sparsity-aware learning, and explicit regularisation terms into the tree-building process, making it both more computationally efficient and more resistant to overfitting than standard gradient boosting implementations. The system's consistent dominance on structured tabular data benchmarks makes it a natural inclusion in any comparative model analysis framework.</w:t>
      </w:r>
    </w:p>
    <w:p>
      <w:pPr>
        <w:spacing w:after="60" w:before="0" w:line="240"/>
        <w:ind w:firstLine="720"/>
        <w:jc w:val="both"/>
      </w:pPr>
      <w:r>
        <w:rPr>
          <w:rFonts w:ascii="Times New Roman" w:cs="Times New Roman" w:eastAsia="Times New Roman" w:hAnsi="Times New Roman"/>
          <w:sz w:val="20"/>
          <w:szCs w:val="20"/>
        </w:rPr>
        <w:t xml:space="preserve">A comparative study by Bhat et al. [13] evaluated Random Forest and Gradient Boosting Regressors against Extra Trees on the UCI Airfoil Self-Noise dataset, finding that ensemble methods substantially outperformed simpler baselines while exhibiting meaningfully different bias-variance profiles from one another. Gradient Boosting achieved the highest predictive accuracy but was more sensitive to hyperparameter choices, while Random Forest offered more robust performance across configurations — a contrast directly relevant to model selection guidance.</w:t>
      </w:r>
    </w:p>
    <w:p>
      <w:pPr>
        <w:spacing w:after="60" w:before="0" w:line="240"/>
        <w:ind w:firstLine="720"/>
        <w:jc w:val="both"/>
      </w:pPr>
      <w:r>
        <w:rPr>
          <w:rFonts w:ascii="Times New Roman" w:cs="Times New Roman" w:eastAsia="Times New Roman" w:hAnsi="Times New Roman"/>
          <w:sz w:val="20"/>
          <w:szCs w:val="20"/>
        </w:rPr>
        <w:t xml:space="preserve">Performance comparisons between Random Forest and Gradient Boosting classifiers on real-world datasets have consistently shown that Gradient Boosting tends to achieve slightly higher accuracy at the cost of longer training times and greater sensitivity to hyperparameters [14]. Random Forest, by contrast, benefits from implicit regularisation through feature subsampling at each split, which reduces the correlation between trees and provides more stable variance reduction. Both methods represent important reference points in the proposed model complexity spectrum.</w:t>
      </w:r>
    </w:p>
    <w:p>
      <w:pPr>
        <w:spacing w:after="60" w:before="120"/>
      </w:pPr>
      <w:r>
        <w:rPr>
          <w:rFonts w:ascii="Times New Roman" w:cs="Times New Roman" w:eastAsia="Times New Roman" w:hAnsi="Times New Roman"/>
          <w:b/>
          <w:bCs/>
          <w:sz w:val="20"/>
          <w:szCs w:val="20"/>
        </w:rPr>
        <w:t xml:space="preserve">D. K-Nearest Neighbours and Naive Bayes</w:t>
      </w:r>
    </w:p>
    <w:p>
      <w:pPr>
        <w:spacing w:after="60" w:before="0" w:line="240"/>
        <w:ind w:firstLine="720"/>
        <w:jc w:val="both"/>
      </w:pPr>
      <w:r>
        <w:rPr>
          <w:rFonts w:ascii="Times New Roman" w:cs="Times New Roman" w:eastAsia="Times New Roman" w:hAnsi="Times New Roman"/>
          <w:sz w:val="20"/>
          <w:szCs w:val="20"/>
        </w:rPr>
        <w:t xml:space="preserve">K-Nearest Neighbours (K-NN) is a non-parametric, instance-based algorithm that occupies a distinctive position in the bias-variance spectrum. When k is small (particularly k=1), K-NN functions as a high-variance, low-bias classifier that perfectly interpolates training data; as k increases, the classifier smooths its decision boundary and shifts toward higher bias and lower variance. This behaviour makes K-NN an effective pedagogical tool for illustrating the effect of a single hyperparameter on the bias-variance profile, a property exploited in the proposed system [5].</w:t>
      </w:r>
    </w:p>
    <w:p>
      <w:pPr>
        <w:spacing w:after="60" w:before="0" w:line="240"/>
        <w:ind w:firstLine="720"/>
        <w:jc w:val="both"/>
      </w:pPr>
      <w:r>
        <w:rPr>
          <w:rFonts w:ascii="Times New Roman" w:cs="Times New Roman" w:eastAsia="Times New Roman" w:hAnsi="Times New Roman"/>
          <w:sz w:val="20"/>
          <w:szCs w:val="20"/>
        </w:rPr>
        <w:t xml:space="preserve">Gaussian Naïve Bayes, by contrast, is a generative classifier that makes strong conditional independence assumptions about the features given the class label. In most real-world datasets, these assumptions are violated to some degree, which introduces systematic bias. However, the strong assumptions simultaneously constrain the model's variance, often making Naïve Bayes a surprisingly competitive classifier in high-dimensional or small-sample settings. Its inclusion in the model spectrum provides a high-bias, low-variance reference point that contrasts sharply with high-depth decision trees [4].</w:t>
      </w:r>
    </w:p>
    <w:p>
      <w:pPr>
        <w:spacing w:after="60" w:before="120"/>
      </w:pPr>
      <w:r>
        <w:rPr>
          <w:rFonts w:ascii="Times New Roman" w:cs="Times New Roman" w:eastAsia="Times New Roman" w:hAnsi="Times New Roman"/>
          <w:b/>
          <w:bCs/>
          <w:sz w:val="20"/>
          <w:szCs w:val="20"/>
        </w:rPr>
        <w:t xml:space="preserve">E. Support Vector Machines</w:t>
      </w:r>
    </w:p>
    <w:p>
      <w:pPr>
        <w:spacing w:after="60" w:before="0" w:line="240"/>
        <w:ind w:firstLine="720"/>
        <w:jc w:val="both"/>
      </w:pPr>
      <w:r>
        <w:rPr>
          <w:rFonts w:ascii="Times New Roman" w:cs="Times New Roman" w:eastAsia="Times New Roman" w:hAnsi="Times New Roman"/>
          <w:sz w:val="20"/>
          <w:szCs w:val="20"/>
        </w:rPr>
        <w:t xml:space="preserve">Support Vector Machines (SVMs) are margin-based classifiers and regressors that minimise structural risk by maximising the decision boundary margin, which corresponds to an implicit form of capacity control [15]. Cervantes et al. [15] provide a comprehensive survey of SVM applications, challenges, and trends, documenting SVMs' strong generalisation performance across a wide range of domains. The regularisation parameter C in SVM directly controls the bias-variance tradeoff: small values of C enforce a wider margin at the cost of more training misclassifications (high bias, low variance), while large values of C allow a tighter fit to the training data (low bias, higher variance).</w:t>
      </w:r>
    </w:p>
    <w:p>
      <w:pPr>
        <w:spacing w:after="60" w:before="0" w:line="240"/>
        <w:ind w:firstLine="720"/>
        <w:jc w:val="both"/>
      </w:pPr>
      <w:r>
        <w:rPr>
          <w:rFonts w:ascii="Times New Roman" w:cs="Times New Roman" w:eastAsia="Times New Roman" w:hAnsi="Times New Roman"/>
          <w:sz w:val="20"/>
          <w:szCs w:val="20"/>
        </w:rPr>
        <w:t xml:space="preserve">The choice of kernel function further affects the complexity and generalisation of SVM models. Linear kernels produce hyperplane decision boundaries appropriate for linearly separable data; radial basis function (RBF) kernels can represent highly nonlinear boundaries but require careful tuning of the bandwidth parameter γ to avoid overfitting. These interactions between kernel choice and regularisation make SVM a rich algorithm for demonstrating the interplay between model capacity and bias-variance behaviour [16].</w:t>
      </w:r>
    </w:p>
    <w:p>
      <w:pPr>
        <w:spacing w:after="60" w:before="120"/>
      </w:pPr>
      <w:r>
        <w:rPr>
          <w:rFonts w:ascii="Times New Roman" w:cs="Times New Roman" w:eastAsia="Times New Roman" w:hAnsi="Times New Roman"/>
          <w:b/>
          <w:bCs/>
          <w:sz w:val="20"/>
          <w:szCs w:val="20"/>
        </w:rPr>
        <w:t xml:space="preserve">F. Decision Trees and the Complexity Spectrum</w:t>
      </w:r>
    </w:p>
    <w:p>
      <w:pPr>
        <w:spacing w:after="60" w:before="0" w:line="240"/>
        <w:ind w:firstLine="720"/>
        <w:jc w:val="both"/>
      </w:pPr>
      <w:r>
        <w:rPr>
          <w:rFonts w:ascii="Times New Roman" w:cs="Times New Roman" w:eastAsia="Times New Roman" w:hAnsi="Times New Roman"/>
          <w:sz w:val="20"/>
          <w:szCs w:val="20"/>
        </w:rPr>
        <w:t xml:space="preserve">Decision trees are among the most interpretable supervised learning algorithms and are especially well-suited for demonstrating the effect of model complexity on bias and variance. Trees of depth one (decision stumps) exhibit extreme underfitting; fully grown unpruned trees memorise training data almost perfectly and exhibit extreme overfitting. By systematically varying tree depth and plotting the resulting training and test errors, the proposed system produces a direct empirical visualisation of the classical bias-variance tradeoff curve — without any synthetic data or approximation [7].</w:t>
      </w:r>
    </w:p>
    <w:p>
      <w:pPr>
        <w:spacing w:after="60" w:before="0" w:line="240"/>
        <w:ind w:firstLine="720"/>
        <w:jc w:val="both"/>
      </w:pPr>
      <w:r>
        <w:rPr>
          <w:rFonts w:ascii="Times New Roman" w:cs="Times New Roman" w:eastAsia="Times New Roman" w:hAnsi="Times New Roman"/>
          <w:sz w:val="20"/>
          <w:szCs w:val="20"/>
        </w:rPr>
        <w:t xml:space="preserve">Decision trees also serve as the base learner in both Random Forest and Gradient Boosting, making them a conceptually central algorithm around which the entire model complexity spectrum is organised. Understanding the generalisation behaviour of a single tree is therefore a prerequisite for understanding why ensemble methods improve upon it — an insight that the proposed visualisation framework is explicitly designed to convey.</w:t>
      </w:r>
    </w:p>
    <w:p>
      <w:pPr>
        <w:spacing w:after="60" w:before="120"/>
      </w:pPr>
      <w:r>
        <w:rPr>
          <w:rFonts w:ascii="Times New Roman" w:cs="Times New Roman" w:eastAsia="Times New Roman" w:hAnsi="Times New Roman"/>
          <w:b/>
          <w:bCs/>
          <w:sz w:val="20"/>
          <w:szCs w:val="20"/>
        </w:rPr>
        <w:t xml:space="preserve">G. Polynomial Regression and Feature Transformation</w:t>
      </w:r>
    </w:p>
    <w:p>
      <w:pPr>
        <w:spacing w:after="60" w:before="0" w:line="240"/>
        <w:ind w:firstLine="720"/>
        <w:jc w:val="both"/>
      </w:pPr>
      <w:r>
        <w:rPr>
          <w:rFonts w:ascii="Times New Roman" w:cs="Times New Roman" w:eastAsia="Times New Roman" w:hAnsi="Times New Roman"/>
          <w:sz w:val="20"/>
          <w:szCs w:val="20"/>
        </w:rPr>
        <w:t xml:space="preserve">Polynomial regression provides a controlled, transparent mechanism for increasing model complexity in the regression setting: as the polynomial degree increases, the model class expands, and the bias-variance tradeoff plays out in a manner that is easy to visualise in low-dimensional settings. Including polynomial regressors of degree 1 through 8 in the model spectrum allows the system to generate a clear empirical complexity curve without requiring any architectural choices more complex than the polynomial degree [1][8].</w:t>
      </w:r>
    </w:p>
    <w:p>
      <w:pPr>
        <w:spacing w:after="60" w:before="0" w:line="240"/>
        <w:ind w:firstLine="720"/>
        <w:jc w:val="both"/>
      </w:pPr>
      <w:r>
        <w:rPr>
          <w:rFonts w:ascii="Times New Roman" w:cs="Times New Roman" w:eastAsia="Times New Roman" w:hAnsi="Times New Roman"/>
          <w:sz w:val="20"/>
          <w:szCs w:val="20"/>
        </w:rPr>
        <w:t xml:space="preserve">The use of PolynomialFeatures transformation in scikit-learn [17] makes this approach straightforward to implement: features are expanded to include all polynomial and interaction terms up to the specified degree, and standard linear regression is then applied in the expanded feature space. This approach also illustrates the role of feature engineering in expanding model capacity, a concept closely related to kernel methods and a natural bridge between polynomial regression and SVMs.</w:t>
      </w:r>
    </w:p>
    <w:p>
      <w:pPr>
        <w:spacing w:after="60" w:before="120"/>
      </w:pPr>
      <w:r>
        <w:rPr>
          <w:rFonts w:ascii="Times New Roman" w:cs="Times New Roman" w:eastAsia="Times New Roman" w:hAnsi="Times New Roman"/>
          <w:b/>
          <w:bCs/>
          <w:sz w:val="20"/>
          <w:szCs w:val="20"/>
        </w:rPr>
        <w:t xml:space="preserve">H. Model Evaluation and Cross-Validation</w:t>
      </w:r>
    </w:p>
    <w:p>
      <w:pPr>
        <w:spacing w:after="60" w:before="0" w:line="240"/>
        <w:ind w:firstLine="720"/>
        <w:jc w:val="both"/>
      </w:pPr>
      <w:r>
        <w:rPr>
          <w:rFonts w:ascii="Times New Roman" w:cs="Times New Roman" w:eastAsia="Times New Roman" w:hAnsi="Times New Roman"/>
          <w:sz w:val="20"/>
          <w:szCs w:val="20"/>
        </w:rPr>
        <w:t xml:space="preserve">Robust model evaluation is a prerequisite for meaningful model selection. Raschka [10] surveys the full landscape of evaluation and selection methodologies, documenting the conditions under which hold-out validation, k-fold cross-validation, and nested cross-validation are most appropriate. For the purposes of the proposed system, a stratified train-test split with optional k-fold cross-validation provides a practical balance between computational efficiency and evaluation robustness across datasets of varying size.</w:t>
      </w:r>
    </w:p>
    <w:p>
      <w:pPr>
        <w:spacing w:after="60" w:before="0" w:line="240"/>
        <w:ind w:firstLine="720"/>
        <w:jc w:val="both"/>
      </w:pPr>
      <w:r>
        <w:rPr>
          <w:rFonts w:ascii="Times New Roman" w:cs="Times New Roman" w:eastAsia="Times New Roman" w:hAnsi="Times New Roman"/>
          <w:sz w:val="20"/>
          <w:szCs w:val="20"/>
        </w:rPr>
        <w:t xml:space="preserve">Berrar [18] offers a focused treatment of cross-validation in the Encyclopedia of Bioinformatics and Computational Biology, recommending stratified 10-fold cross-validation as the default approach for real-world datasets. The stratification ensures that class proportions are preserved in each fold, which is particularly important for imbalanced classification problems. The bias-variance tradeoff inherent in the choice of k — smaller k produces estimates with lower variance but higher bias due to smaller training sets — is directly relevant to the evaluation design of the proposed system.</w:t>
      </w:r>
    </w:p>
    <w:p>
      <w:pPr>
        <w:spacing w:after="60" w:before="0" w:line="240"/>
        <w:ind w:firstLine="720"/>
        <w:jc w:val="both"/>
      </w:pPr>
      <w:r>
        <w:rPr>
          <w:rFonts w:ascii="Times New Roman" w:cs="Times New Roman" w:eastAsia="Times New Roman" w:hAnsi="Times New Roman"/>
          <w:sz w:val="20"/>
          <w:szCs w:val="20"/>
        </w:rPr>
        <w:t xml:space="preserve">Allgaier [19] provides a narrative guide to cross-validation techniques including blocked and grouped variants, proposing a formula that explicitly accounts for the bias-variance tradeoff in the selection of the validation strategy. This work contextualises cross-validation not merely as a technical procedure but as a design decision with direct consequences for the reliability of model comparisons, underscoring the need for the proposed system to document clearly the evaluation protocol applied to each dataset.</w:t>
      </w:r>
    </w:p>
    <w:p>
      <w:pPr>
        <w:spacing w:after="60" w:before="120"/>
      </w:pPr>
      <w:r>
        <w:rPr>
          <w:rFonts w:ascii="Times New Roman" w:cs="Times New Roman" w:eastAsia="Times New Roman" w:hAnsi="Times New Roman"/>
          <w:b/>
          <w:bCs/>
          <w:sz w:val="20"/>
          <w:szCs w:val="20"/>
        </w:rPr>
        <w:t xml:space="preserve">I. Automated and Interactive Machine Learning Systems</w:t>
      </w:r>
    </w:p>
    <w:p>
      <w:pPr>
        <w:spacing w:after="60" w:before="0" w:line="240"/>
        <w:ind w:firstLine="720"/>
        <w:jc w:val="both"/>
      </w:pPr>
      <w:r>
        <w:rPr>
          <w:rFonts w:ascii="Times New Roman" w:cs="Times New Roman" w:eastAsia="Times New Roman" w:hAnsi="Times New Roman"/>
          <w:sz w:val="20"/>
          <w:szCs w:val="20"/>
        </w:rPr>
        <w:t xml:space="preserve">The proposed system is not the first to automate aspects of the model training and evaluation pipeline. The scikit-learn library, described by Pedregosa et al. [17], provides a comprehensive and consistent interface for training and evaluating a wide range of supervised learning algorithms. Its Pipeline abstraction enables the chaining of preprocessing steps and model fitting into a single composable estimator, which is the foundational infrastructure on which the proposed system is built.</w:t>
      </w:r>
    </w:p>
    <w:p>
      <w:pPr>
        <w:spacing w:after="60" w:before="0" w:line="240"/>
        <w:ind w:firstLine="720"/>
        <w:jc w:val="both"/>
      </w:pPr>
      <w:r>
        <w:rPr>
          <w:rFonts w:ascii="Times New Roman" w:cs="Times New Roman" w:eastAsia="Times New Roman" w:hAnsi="Times New Roman"/>
          <w:sz w:val="20"/>
          <w:szCs w:val="20"/>
        </w:rPr>
        <w:t xml:space="preserve">Automated Machine Learning (AutoML) systems such as Auto-WEKA, TPOT, and Auto-sklearn push this automation further, searching over algorithm families and hyperparameter spaces simultaneously to identify optimal configurations. However, these systems optimise for predictive performance rather than for educational transparency. The proposed system occupies a complementary niche: it is designed to expose and explain the model selection process, not to automate it away. Every training error, test error, bias estimate, and variance estimate is surfaced to the user along with a written interpretation, making the system's reasoning fully auditable [10][17].</w:t>
      </w:r>
    </w:p>
    <w:p>
      <w:pPr>
        <w:spacing w:after="60" w:before="120"/>
      </w:pPr>
      <w:r>
        <w:rPr>
          <w:rFonts w:ascii="Times New Roman" w:cs="Times New Roman" w:eastAsia="Times New Roman" w:hAnsi="Times New Roman"/>
          <w:b/>
          <w:bCs/>
          <w:sz w:val="20"/>
          <w:szCs w:val="20"/>
        </w:rPr>
        <w:t xml:space="preserve">J. Comprehensive Regularisation and Generalisation Survey</w:t>
      </w:r>
    </w:p>
    <w:p>
      <w:pPr>
        <w:spacing w:after="60" w:before="0" w:line="240"/>
        <w:ind w:firstLine="720"/>
        <w:jc w:val="both"/>
      </w:pPr>
      <w:r>
        <w:rPr>
          <w:rFonts w:ascii="Times New Roman" w:cs="Times New Roman" w:eastAsia="Times New Roman" w:hAnsi="Times New Roman"/>
          <w:sz w:val="20"/>
          <w:szCs w:val="20"/>
        </w:rPr>
        <w:t xml:space="preserve">Tian and Zhang [20] conducted a comprehensive survey of regularisation strategies in machine learning, covering L1 and L2 penalties, dropout, early stopping, data augmentation, and Bayesian approaches across a wide range of algorithm families. Their central finding is that the effectiveness of a regularisation strategy is highly dependent on the structure of the data and the capacity of the base model, reinforcing the argument that no single regularisation approach dominates across all settings and that empirical comparison across multiple configurations remains the most reliable guide to model selection.</w:t>
      </w:r>
    </w:p>
    <w:p>
      <w:pPr>
        <w:spacing w:after="60" w:before="0" w:line="240"/>
        <w:ind w:firstLine="720"/>
        <w:jc w:val="both"/>
      </w:pPr>
      <w:r>
        <w:rPr>
          <w:rFonts w:ascii="Times New Roman" w:cs="Times New Roman" w:eastAsia="Times New Roman" w:hAnsi="Times New Roman"/>
          <w:sz w:val="20"/>
          <w:szCs w:val="20"/>
        </w:rPr>
        <w:t xml:space="preserve">A complementary survey by Kotsilieris et al. [21] specifically examines regularisation techniques and their applications in a wide range of machine learning contexts, with a focus on electronics and embedded systems. Their work underscores the universality of overfitting as a problem and the corresponding universality of regularisation as a solution, motivating the proposed system's inclusion of regularised variants — Ridge, Lasso — alongside their unregularised counterparts as paired reference points in the model spectrum.</w:t>
      </w:r>
    </w:p>
    <w:p>
      <w:pPr>
        <w:spacing w:after="60" w:before="120"/>
      </w:pPr>
      <w:r>
        <w:rPr>
          <w:rFonts w:ascii="Times New Roman" w:cs="Times New Roman" w:eastAsia="Times New Roman" w:hAnsi="Times New Roman"/>
          <w:b/>
          <w:bCs/>
          <w:sz w:val="20"/>
          <w:szCs w:val="20"/>
        </w:rPr>
        <w:t xml:space="preserve">K. Bias-Variance in Interactive Educational Systems</w:t>
      </w:r>
    </w:p>
    <w:p>
      <w:pPr>
        <w:spacing w:after="60" w:before="0" w:line="240"/>
        <w:ind w:firstLine="720"/>
        <w:jc w:val="both"/>
      </w:pPr>
      <w:r>
        <w:rPr>
          <w:rFonts w:ascii="Times New Roman" w:cs="Times New Roman" w:eastAsia="Times New Roman" w:hAnsi="Times New Roman"/>
          <w:sz w:val="20"/>
          <w:szCs w:val="20"/>
        </w:rPr>
        <w:t xml:space="preserve">The broader literature on educational machine learning tools confirms that interactive, data-driven demonstrations are substantially more effective at building intuition than static expositions. Systems that allow learners to observe the effect of hyperparameter changes in real time — for instance, watching the decision boundary of a K-NN classifier shift as k changes, or observing a polynomial regression curve become increasingly wiggly as degree increases — are consistently reported to produce deeper conceptual understanding than textbook descriptions of the same phenomena [6].</w:t>
      </w:r>
    </w:p>
    <w:p>
      <w:pPr>
        <w:spacing w:after="60" w:before="0" w:line="240"/>
        <w:ind w:firstLine="720"/>
        <w:jc w:val="both"/>
      </w:pPr>
      <w:r>
        <w:rPr>
          <w:rFonts w:ascii="Times New Roman" w:cs="Times New Roman" w:eastAsia="Times New Roman" w:hAnsi="Times New Roman"/>
          <w:sz w:val="20"/>
          <w:szCs w:val="20"/>
        </w:rPr>
        <w:t xml:space="preserve">This pedagogical motivation is central to the design of the proposed system. Rather than simply producing a ranking of model performance metrics, the system is designed to tell a story about the data: which models underfit, which overfit, which configurations strike the best balance, and what the patterns of training and test error reveal about the underlying data-generating process. The written model recommendation — a natural-language synthesis of the quantitative findings — is a deliberate design choice intended to scaffold the interpretive step that students often find most difficult [3][11].</w:t>
      </w:r>
    </w:p>
    <w:p>
      <w:pPr>
        <w:spacing w:after="60" w:before="120"/>
      </w:pPr>
      <w:r>
        <w:rPr>
          <w:rFonts w:ascii="Times New Roman" w:cs="Times New Roman" w:eastAsia="Times New Roman" w:hAnsi="Times New Roman"/>
          <w:b/>
          <w:bCs/>
          <w:sz w:val="20"/>
          <w:szCs w:val="20"/>
        </w:rPr>
        <w:t xml:space="preserve">L. Summary of Literature</w:t>
      </w:r>
    </w:p>
    <w:p>
      <w:pPr>
        <w:spacing w:after="60" w:before="0" w:line="240"/>
        <w:ind w:firstLine="720"/>
        <w:jc w:val="both"/>
      </w:pPr>
      <w:r>
        <w:rPr>
          <w:rFonts w:ascii="Times New Roman" w:cs="Times New Roman" w:eastAsia="Times New Roman" w:hAnsi="Times New Roman"/>
          <w:sz w:val="20"/>
          <w:szCs w:val="20"/>
        </w:rPr>
        <w:t xml:space="preserve">The literature reviewed above establishes the theoretical and empirical foundations of the proposed system. The classical bias-variance decomposition [1] provides the formal framework; modern empirical work [2][3] extends and qualifies its predictions in the context of contemporary high-capacity models. The primary algorithm families employed by the system — decision trees [7], regularised linear models [8], SVMs [15][16], K-NN, Naïve Bayes [4], Random Forest, and Gradient Boosting [11][12][13][14] — have each been extensively studied and compared in the literature. Methodological best practices for model evaluation [10][18][19] guide the system's validation design. The scikit-learn library [17] provides the implementation foundation. And the broader case for interactive, empirically grounded machine learning education [6] motivates the system's pedagogical orientation.</w:t>
      </w:r>
    </w:p>
    <w:p>
      <w:pPr>
        <w:spacing w:after="60" w:before="0" w:line="240"/>
        <w:ind w:firstLine="720"/>
        <w:jc w:val="both"/>
      </w:pPr>
      <w:r>
        <w:rPr>
          <w:rFonts w:ascii="Times New Roman" w:cs="Times New Roman" w:eastAsia="Times New Roman" w:hAnsi="Times New Roman"/>
          <w:sz w:val="20"/>
          <w:szCs w:val="20"/>
        </w:rPr>
        <w:t xml:space="preserve">What distinguishes the proposed system from prior work is not any single algorithmic or methodological innovation, but rather its integration: a unified, dataset-agnostic pipeline that trains a deliberately constructed complexity spectrum, computes empirical bias-variance decompositions, visualises the tradeoff explicitly, and generates a written evidence-based model recommendation — all without any manual intervention by the user and with full transparency into the reasoning process.</w:t>
      </w:r>
    </w:p>
    <w:p>
      <w:pPr>
        <w:spacing w:after="80" w:before="160"/>
        <w:jc w:val="center"/>
      </w:pPr>
      <w:r>
        <w:rPr>
          <w:rFonts w:ascii="Times New Roman" w:cs="Times New Roman" w:eastAsia="Times New Roman" w:hAnsi="Times New Roman"/>
          <w:b/>
          <w:bCs/>
          <w:sz w:val="20"/>
          <w:szCs w:val="20"/>
        </w:rPr>
        <w:t xml:space="preserve">REFERENCES</w:t>
      </w:r>
    </w:p>
    <w:p>
      <w:pPr>
        <w:spacing w:after="40" w:before="0" w:line="220"/>
        <w:ind w:left="360" w:hanging="360"/>
        <w:jc w:val="both"/>
      </w:pPr>
      <w:r>
        <w:rPr>
          <w:rFonts w:ascii="Times New Roman" w:cs="Times New Roman" w:eastAsia="Times New Roman" w:hAnsi="Times New Roman"/>
          <w:sz w:val="18"/>
          <w:szCs w:val="18"/>
        </w:rPr>
        <w:t xml:space="preserve">[1] B. Belkin, D. Hsu, S. Ma, and S. Mandal, "Reconciling modern machine-learning practice and the classical bias-variance trade-off," Proc. Natl. Acad. Sci. U.S.A., vol. 116, no. 32, pp. 15849–15854, Jul. 2019, doi: 10.1073/pnas.1903070116.</w:t>
      </w:r>
    </w:p>
    <w:p>
      <w:pPr>
        <w:spacing w:after="40" w:before="0" w:line="220"/>
        <w:ind w:left="360" w:hanging="360"/>
        <w:jc w:val="both"/>
      </w:pPr>
      <w:r>
        <w:rPr>
          <w:rFonts w:ascii="Times New Roman" w:cs="Times New Roman" w:eastAsia="Times New Roman" w:hAnsi="Times New Roman"/>
          <w:sz w:val="18"/>
          <w:szCs w:val="18"/>
        </w:rPr>
        <w:t xml:space="preserve">[2] M. Belkin, D. Hsu, S. Ma, and S. Mandal, "Reconciling modern machine learning practice and the bias-variance trade-off," arXiv:1812.11118, Dec. 2018. [Online]. Available: https://arxiv.org/abs/1812.11118</w:t>
      </w:r>
    </w:p>
    <w:p>
      <w:pPr>
        <w:spacing w:after="40" w:before="0" w:line="220"/>
        <w:ind w:left="360" w:hanging="360"/>
        <w:jc w:val="both"/>
      </w:pPr>
      <w:r>
        <w:rPr>
          <w:rFonts w:ascii="Times New Roman" w:cs="Times New Roman" w:eastAsia="Times New Roman" w:hAnsi="Times New Roman"/>
          <w:sz w:val="18"/>
          <w:szCs w:val="18"/>
        </w:rPr>
        <w:t xml:space="preserve">[3] B. Neal, S. Mittal, A. Baratin, V. Tantia, M. Scicluna, S. Lacoste-Julien, and I. Mitliagkas, "A modern take on the bias-variance tradeoff in neural networks," arXiv:1810.08591, Oct. 2018. [Online]. Available: https://arxiv.org/abs/1810.08591</w:t>
      </w:r>
    </w:p>
    <w:p>
      <w:pPr>
        <w:spacing w:after="40" w:before="0" w:line="220"/>
        <w:ind w:left="360" w:hanging="360"/>
        <w:jc w:val="both"/>
      </w:pPr>
      <w:r>
        <w:rPr>
          <w:rFonts w:ascii="Times New Roman" w:cs="Times New Roman" w:eastAsia="Times New Roman" w:hAnsi="Times New Roman"/>
          <w:sz w:val="18"/>
          <w:szCs w:val="18"/>
        </w:rPr>
        <w:t xml:space="preserve">[4] T. Hastie, R. Tibshirani, and J. Friedman, The Elements of Statistical Learning: Data Mining, Inference, and Prediction, 2nd ed. New York, NY, USA: Springer, 2009.</w:t>
      </w:r>
    </w:p>
    <w:p>
      <w:pPr>
        <w:spacing w:after="40" w:before="0" w:line="220"/>
        <w:ind w:left="360" w:hanging="360"/>
        <w:jc w:val="both"/>
      </w:pPr>
      <w:r>
        <w:rPr>
          <w:rFonts w:ascii="Times New Roman" w:cs="Times New Roman" w:eastAsia="Times New Roman" w:hAnsi="Times New Roman"/>
          <w:sz w:val="18"/>
          <w:szCs w:val="18"/>
        </w:rPr>
        <w:t xml:space="preserve">[5] C. Bishop, Pattern Recognition and Machine Learning. New York, NY, USA: Springer, 2006.</w:t>
      </w:r>
    </w:p>
    <w:p>
      <w:pPr>
        <w:spacing w:after="40" w:before="0" w:line="220"/>
        <w:ind w:left="360" w:hanging="360"/>
        <w:jc w:val="both"/>
      </w:pPr>
      <w:r>
        <w:rPr>
          <w:rFonts w:ascii="Times New Roman" w:cs="Times New Roman" w:eastAsia="Times New Roman" w:hAnsi="Times New Roman"/>
          <w:sz w:val="18"/>
          <w:szCs w:val="18"/>
        </w:rPr>
        <w:t xml:space="preserve">[6] B. Ghojogh and M. Crowley, "The theory behind overfitting, cross validation, regularization, bagging, and boosting: Tutorial," arXiv:1905.12787, May 2019. [Online]. Available: https://arxiv.org/abs/1905.12787</w:t>
      </w:r>
    </w:p>
    <w:p>
      <w:pPr>
        <w:spacing w:after="40" w:before="0" w:line="220"/>
        <w:ind w:left="360" w:hanging="360"/>
        <w:jc w:val="both"/>
      </w:pPr>
      <w:r>
        <w:rPr>
          <w:rFonts w:ascii="Times New Roman" w:cs="Times New Roman" w:eastAsia="Times New Roman" w:hAnsi="Times New Roman"/>
          <w:sz w:val="18"/>
          <w:szCs w:val="18"/>
        </w:rPr>
        <w:t xml:space="preserve">[7] T. Chen et al., "Algorithm analysis of decision tree, gradient boosting decision tree, and random forest for classification," in Proc. 2023 Int. Conf. Informatics Elect. Commun., 2023, doi: 10.1109/ICOIECT58130.2023.10346727.</w:t>
      </w:r>
    </w:p>
    <w:p>
      <w:pPr>
        <w:spacing w:after="40" w:before="0" w:line="220"/>
        <w:ind w:left="360" w:hanging="360"/>
        <w:jc w:val="both"/>
      </w:pPr>
      <w:r>
        <w:rPr>
          <w:rFonts w:ascii="Times New Roman" w:cs="Times New Roman" w:eastAsia="Times New Roman" w:hAnsi="Times New Roman"/>
          <w:sz w:val="18"/>
          <w:szCs w:val="18"/>
        </w:rPr>
        <w:t xml:space="preserve">[8] R. Tibshirani, "Regression shrinkage and selection via the lasso: A retrospective," J. R. Stat. Soc. B, vol. 73, no. 3, pp. 273–282, 2011, doi: 10.1111/j.1467-9868.2011.00771.x.</w:t>
      </w:r>
    </w:p>
    <w:p>
      <w:pPr>
        <w:spacing w:after="40" w:before="0" w:line="220"/>
        <w:ind w:left="360" w:hanging="360"/>
        <w:jc w:val="both"/>
      </w:pPr>
      <w:r>
        <w:rPr>
          <w:rFonts w:ascii="Times New Roman" w:cs="Times New Roman" w:eastAsia="Times New Roman" w:hAnsi="Times New Roman"/>
          <w:sz w:val="18"/>
          <w:szCs w:val="18"/>
        </w:rPr>
        <w:t xml:space="preserve">[9] C. F. G. dos Santos and J. P. Papa, "Avoiding overfitting: A survey on regularization methods for convolutional neural networks," arXiv:2201.03299, Jan. 2022. [Online]. Available: https://arxiv.org/abs/2201.03299</w:t>
      </w:r>
    </w:p>
    <w:p>
      <w:pPr>
        <w:spacing w:after="40" w:before="0" w:line="220"/>
        <w:ind w:left="360" w:hanging="360"/>
        <w:jc w:val="both"/>
      </w:pPr>
      <w:r>
        <w:rPr>
          <w:rFonts w:ascii="Times New Roman" w:cs="Times New Roman" w:eastAsia="Times New Roman" w:hAnsi="Times New Roman"/>
          <w:sz w:val="18"/>
          <w:szCs w:val="18"/>
        </w:rPr>
        <w:t xml:space="preserve">[10] S. Raschka, "Model evaluation, model selection, and algorithm selection in machine learning," arXiv:1811.12808, Nov. 2018. [Online]. Available: https://arxiv.org/abs/1811.12808</w:t>
      </w:r>
    </w:p>
    <w:p>
      <w:pPr>
        <w:spacing w:after="40" w:before="0" w:line="220"/>
        <w:ind w:left="360" w:hanging="360"/>
        <w:jc w:val="both"/>
      </w:pPr>
      <w:r>
        <w:rPr>
          <w:rFonts w:ascii="Times New Roman" w:cs="Times New Roman" w:eastAsia="Times New Roman" w:hAnsi="Times New Roman"/>
          <w:sz w:val="18"/>
          <w:szCs w:val="18"/>
        </w:rPr>
        <w:t xml:space="preserve">[11] H. Ranglani, "Empirical analysis of the bias-variance tradeoff across machine learning models," Mach. Learn. Appl.: Int. J. (MLAIJ), vol. 11, no. 4, Dec. 2024, doi: 10.2139/ssrn.5086450.</w:t>
      </w:r>
    </w:p>
    <w:p>
      <w:pPr>
        <w:spacing w:after="40" w:before="0" w:line="220"/>
        <w:ind w:left="360" w:hanging="360"/>
        <w:jc w:val="both"/>
      </w:pPr>
      <w:r>
        <w:rPr>
          <w:rFonts w:ascii="Times New Roman" w:cs="Times New Roman" w:eastAsia="Times New Roman" w:hAnsi="Times New Roman"/>
          <w:sz w:val="18"/>
          <w:szCs w:val="18"/>
        </w:rPr>
        <w:t xml:space="preserve">[12] T. Chen and C. Guestrin, "XGBoost: A scalable tree boosting system," in Proc. 22nd ACM SIGKDD Int. Conf. Knowledge Discovery and Data Mining, San Francisco, CA, USA, Aug. 2016, pp. 785–794, doi: 10.1145/2939672.2939785.</w:t>
      </w:r>
    </w:p>
    <w:p>
      <w:pPr>
        <w:spacing w:after="40" w:before="0" w:line="220"/>
        <w:ind w:left="360" w:hanging="360"/>
        <w:jc w:val="both"/>
      </w:pPr>
      <w:r>
        <w:rPr>
          <w:rFonts w:ascii="Times New Roman" w:cs="Times New Roman" w:eastAsia="Times New Roman" w:hAnsi="Times New Roman"/>
          <w:sz w:val="18"/>
          <w:szCs w:val="18"/>
        </w:rPr>
        <w:t xml:space="preserve">[13] R. C. Bhat, S. B. Vijay, G. S. Kamath, and R. Nadkarni, "Comparative study of random forest and gradient boosting algorithms to predict airfoil self-noise," Eng. Proc., vol. 59, no. 1, p. 24, Dec. 2023, doi: 10.3390/engproc2023059024.</w:t>
      </w:r>
    </w:p>
    <w:p>
      <w:pPr>
        <w:spacing w:after="40" w:before="0" w:line="220"/>
        <w:ind w:left="360" w:hanging="360"/>
        <w:jc w:val="both"/>
      </w:pPr>
      <w:r>
        <w:rPr>
          <w:rFonts w:ascii="Times New Roman" w:cs="Times New Roman" w:eastAsia="Times New Roman" w:hAnsi="Times New Roman"/>
          <w:sz w:val="18"/>
          <w:szCs w:val="18"/>
        </w:rPr>
        <w:t xml:space="preserve">[14] J. Lee et al., "Comparative performance of random forest versus gradient boosting machines in detecting financial fraud," in Proc. IEEE Int. Conf. AI Applications Security, 2024, doi: 10.1109/ICAIAS10673140.</w:t>
      </w:r>
    </w:p>
    <w:p>
      <w:pPr>
        <w:spacing w:after="40" w:before="0" w:line="220"/>
        <w:ind w:left="360" w:hanging="360"/>
        <w:jc w:val="both"/>
      </w:pPr>
      <w:r>
        <w:rPr>
          <w:rFonts w:ascii="Times New Roman" w:cs="Times New Roman" w:eastAsia="Times New Roman" w:hAnsi="Times New Roman"/>
          <w:sz w:val="18"/>
          <w:szCs w:val="18"/>
        </w:rPr>
        <w:t xml:space="preserve">[15] J. Cervantes, F. Garcia-Lamont, L. Rodriguez-Mazahua, and A. Lopez, "A comprehensive survey on support vector machine classification: Applications, challenges and trends," Neurocomputing, vol. 408, pp. 189–215, Sep. 2020, doi: 10.1016/j.neucom.2019.10.118.</w:t>
      </w:r>
    </w:p>
    <w:p>
      <w:pPr>
        <w:spacing w:after="40" w:before="0" w:line="220"/>
        <w:ind w:left="360" w:hanging="360"/>
        <w:jc w:val="both"/>
      </w:pPr>
      <w:r>
        <w:rPr>
          <w:rFonts w:ascii="Times New Roman" w:cs="Times New Roman" w:eastAsia="Times New Roman" w:hAnsi="Times New Roman"/>
          <w:sz w:val="18"/>
          <w:szCs w:val="18"/>
        </w:rPr>
        <w:t xml:space="preserve">[16] B. E. Boser, I. M. Guyon, and V. N. Vapnik, "A training algorithm for optimal margin classifiers," in Proc. 5th Annu. Workshop Comput. Learn. Theory, Pittsburgh, PA, USA, 1992, pp. 144–152.</w:t>
      </w:r>
    </w:p>
    <w:p>
      <w:pPr>
        <w:spacing w:after="40" w:before="0" w:line="220"/>
        <w:ind w:left="360" w:hanging="360"/>
        <w:jc w:val="both"/>
      </w:pPr>
      <w:r>
        <w:rPr>
          <w:rFonts w:ascii="Times New Roman" w:cs="Times New Roman" w:eastAsia="Times New Roman" w:hAnsi="Times New Roman"/>
          <w:sz w:val="18"/>
          <w:szCs w:val="18"/>
        </w:rPr>
        <w:t xml:space="preserve">[17] F. Pedregosa et al., "Scikit-learn: Machine learning in Python," J. Mach. Learn. Res., vol. 12, pp. 2825–2830, 2011. [Online]. Available: https://jmlr.org/papers/v12/pedregosa11a.html</w:t>
      </w:r>
    </w:p>
    <w:p>
      <w:pPr>
        <w:spacing w:after="40" w:before="0" w:line="220"/>
        <w:ind w:left="360" w:hanging="360"/>
        <w:jc w:val="both"/>
      </w:pPr>
      <w:r>
        <w:rPr>
          <w:rFonts w:ascii="Times New Roman" w:cs="Times New Roman" w:eastAsia="Times New Roman" w:hAnsi="Times New Roman"/>
          <w:sz w:val="18"/>
          <w:szCs w:val="18"/>
        </w:rPr>
        <w:t xml:space="preserve">[18] D. Berrar, "Cross-validation," in Encyclopedia of Bioinformatics and Computational Biology, vol. 1, S. Ranganathan et al., Eds. Amsterdam, Netherlands: Elsevier, 2018, pp. 542–545, doi: 10.1016/B978-0-12-809633-8.20349-X.</w:t>
      </w:r>
    </w:p>
    <w:p>
      <w:pPr>
        <w:spacing w:after="40" w:before="0" w:line="220"/>
        <w:ind w:left="360" w:hanging="360"/>
        <w:jc w:val="both"/>
      </w:pPr>
      <w:r>
        <w:rPr>
          <w:rFonts w:ascii="Times New Roman" w:cs="Times New Roman" w:eastAsia="Times New Roman" w:hAnsi="Times New Roman"/>
          <w:sz w:val="18"/>
          <w:szCs w:val="18"/>
        </w:rPr>
        <w:t xml:space="preserve">[19] J. Allgaier, "Cross-validation visualized: A narrative guide to advanced methods," Mach. Learn. Knowl. Extr., vol. 6, no. 2, p. 65, Jun. 2024, doi: 10.3390/make6020065.</w:t>
      </w:r>
    </w:p>
    <w:p>
      <w:pPr>
        <w:spacing w:after="40" w:before="0" w:line="220"/>
        <w:ind w:left="360" w:hanging="360"/>
        <w:jc w:val="both"/>
      </w:pPr>
      <w:r>
        <w:rPr>
          <w:rFonts w:ascii="Times New Roman" w:cs="Times New Roman" w:eastAsia="Times New Roman" w:hAnsi="Times New Roman"/>
          <w:sz w:val="18"/>
          <w:szCs w:val="18"/>
        </w:rPr>
        <w:t xml:space="preserve">[20] Y. Tian and Y. Zhang, "A comprehensive survey on regularization strategies in machine learning," Inf. Fusion, vol. 80, pp. 146–166, Apr. 2022, doi: 10.1016/j.inffus.2021.11.005.</w:t>
      </w:r>
    </w:p>
    <w:p>
      <w:pPr>
        <w:spacing w:after="40" w:before="0" w:line="220"/>
        <w:ind w:left="360" w:hanging="360"/>
        <w:jc w:val="both"/>
      </w:pPr>
      <w:r>
        <w:rPr>
          <w:rFonts w:ascii="Times New Roman" w:cs="Times New Roman" w:eastAsia="Times New Roman" w:hAnsi="Times New Roman"/>
          <w:sz w:val="18"/>
          <w:szCs w:val="18"/>
        </w:rPr>
        <w:t xml:space="preserve">[21] T. Kotsilieris, I. Anagnostopoulos, and I. E. Livieris, "Regularization techniques for machine learning and their applications," Electronics, vol. 11, no. 4, p. 521, Feb. 2022, doi: 10.3390/electronics11040521.</w:t>
      </w:r>
    </w:p>
    <w:p>
      <w:pPr>
        <w:spacing w:after="40" w:before="0" w:line="220"/>
        <w:ind w:left="360" w:hanging="360"/>
        <w:jc w:val="both"/>
      </w:pPr>
      <w:r>
        <w:rPr>
          <w:rFonts w:ascii="Times New Roman" w:cs="Times New Roman" w:eastAsia="Times New Roman" w:hAnsi="Times New Roman"/>
          <w:sz w:val="18"/>
          <w:szCs w:val="18"/>
        </w:rPr>
        <w:t xml:space="preserve">[22] Z. Liu, Z. Xu, J. Jin, Z. Shen, and T. Darrell, "Dropout reduces underfitting," arXiv:2303.01500, Mar. 2023. [Online]. Available: https://arxiv.org/abs/2303.01500</w:t>
      </w:r>
    </w:p>
    <w:p>
      <w:pPr>
        <w:spacing w:after="40" w:before="0" w:line="220"/>
        <w:ind w:left="360" w:hanging="360"/>
        <w:jc w:val="both"/>
      </w:pPr>
      <w:r>
        <w:rPr>
          <w:rFonts w:ascii="Times New Roman" w:cs="Times New Roman" w:eastAsia="Times New Roman" w:hAnsi="Times New Roman"/>
          <w:sz w:val="18"/>
          <w:szCs w:val="18"/>
        </w:rPr>
        <w:t xml:space="preserve">[23] A. Maulud and A. M. Abdulazeez, "A review on linear regression comprehensive in machine learning," J. Appl. Sci. Technol. Trends, vol. 1, no. 4, pp. 140–147, 2020, doi: 10.38094/jastt1457.</w:t>
      </w:r>
    </w:p>
    <w:p>
      <w:pPr>
        <w:spacing w:after="40" w:before="0" w:line="220"/>
        <w:ind w:left="360" w:hanging="360"/>
        <w:jc w:val="both"/>
      </w:pPr>
      <w:r>
        <w:rPr>
          <w:rFonts w:ascii="Times New Roman" w:cs="Times New Roman" w:eastAsia="Times New Roman" w:hAnsi="Times New Roman"/>
          <w:sz w:val="18"/>
          <w:szCs w:val="18"/>
        </w:rPr>
        <w:t xml:space="preserve">[24] G. Varoquaux, L. Buitinck, G. Louppe, O. Grisel, F. Pedregosa, and A. Mueller, "Scikit-learn: Machine learning without learning the machinery," GetMobile: Mobile Comput. Commun., vol. 19, no. 1, pp. 29–33, 2015, doi: 10.1145/2786984.2786995.</w:t>
      </w:r>
    </w:p>
    <w:p>
      <w:pPr>
        <w:spacing w:after="40" w:before="0" w:line="220"/>
        <w:ind w:left="360" w:hanging="360"/>
        <w:jc w:val="both"/>
      </w:pPr>
      <w:r>
        <w:rPr>
          <w:rFonts w:ascii="Times New Roman" w:cs="Times New Roman" w:eastAsia="Times New Roman" w:hAnsi="Times New Roman"/>
          <w:sz w:val="18"/>
          <w:szCs w:val="18"/>
        </w:rPr>
        <w:t xml:space="preserve">[25] S. Prusty, S. Patnaik, and S. K. Dash, "SKCV: Stratified k-fold cross-validation on ML classifiers for predicting cervical cancer," Front. Nanotechnol., 2022, doi: 10.3389/fnano.2022.972421.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IEEE-Style Technical Report — Bias-Variance Tradeoff Analysis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2026-04-11T13:46:48.608Z</dcterms:created>
  <dcterms:modified xsi:type="dcterms:W3CDTF">2026-04-11T13:46:48.609Z</dcterms:modified>
</cp:coreProperties>
</file>

<file path=docProps/custom.xml><?xml version="1.0" encoding="utf-8"?>
<Properties xmlns="http://schemas.openxmlformats.org/officeDocument/2006/custom-properties" xmlns:vt="http://schemas.openxmlformats.org/officeDocument/2006/docPropsVTypes"/>
</file>