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80"/>
        <w:jc w:val="center"/>
      </w:pPr>
      <w:r>
        <w:rPr>
          <w:rFonts w:ascii="Times New Roman" w:hAnsi="Times New Roman"/>
          <w:b/>
          <w:color w:val="002060"/>
          <w:sz w:val="36"/>
        </w:rPr>
        <w:t>Holographic Krylov-PINN (HK-PCG): Deconstructing the Arrow of Time and Synthesizing Relativistic Causal Spacetime via Physics-Informed Artificial Intelligence</w:t>
      </w:r>
    </w:p>
    <w:p>
      <w:pPr>
        <w:spacing w:before="160" w:after="80"/>
        <w:jc w:val="center"/>
      </w:pPr>
      <w:r>
        <w:rPr>
          <w:rFonts w:ascii="Times New Roman" w:hAnsi="Times New Roman"/>
          <w:b/>
          <w:color w:val="333333"/>
          <w:sz w:val="22"/>
        </w:rPr>
        <w:t>ABSTRACT</w:t>
      </w:r>
    </w:p>
    <w:p>
      <w:pPr>
        <w:spacing w:after="280" w:line="269" w:lineRule="auto"/>
        <w:ind w:left="576" w:right="576"/>
        <w:jc w:val="both"/>
      </w:pPr>
      <w:r>
        <w:rPr>
          <w:rFonts w:ascii="Times New Roman" w:hAnsi="Times New Roman"/>
          <w:i w:val="0"/>
          <w:sz w:val="20"/>
        </w:rPr>
        <w:t xml:space="preserve">The macroscopic arrow of time and the continuum nature of spacetime remain two of the most profound enigmas in foundational physics, existing in sharp tension with the time-reversal symmetry of microscopic quantum mechanics. In this work, we propose the Holographic Krylov Physics-Informed Neural Network (HK-PCG) framework, a computational paradigm that unifies microscopic quantum dissipative dynamics, Krylov operator complexity growth, discrete causal set theory, and differentiable spacetime physics. By modeling an open spin lattice governed by a Liouvillian super-operator, we trace the Lanczos tridiagonalization of quantum observables and demonstrate that microscopic non-unitary dissipation breaks unitary recurrence, establishing a strictly positive Krylov velocity vector that provides an emergent thermodynamic arrow of time. This quantum arrow is mapped as a directional bias onto a discrete causal set of 800 Poisson-sprinkled spacetime events interconnected by 91,489 directed lightcone edges. A hybrid Graph Neural Network and Physics-Informed Neural Network architecture then processes this directed causal graph, utilizing automatic differentiation to enforce the relativistic Klein-Gordon field equation without external empirical training datasets. Computational experiments accelerated on an NVIDIA L40S GPU demonstrate that the initial Schrödinger PINN residual converges to </w:t>
      </w:r>
      <m:oMath>
        <m:r>
          <m:t>8.780×</m:t>
        </m:r>
        <m:sSup>
          <m:e>
            <m:r>
              <m:t>10</m:t>
            </m:r>
          </m:e>
          <m:sup>
            <m:r>
              <m:t>−4</m:t>
            </m:r>
          </m:sup>
        </m:sSup>
      </m:oMath>
      <w:r>
        <w:rPr>
          <w:rFonts w:ascii="Times New Roman" w:hAnsi="Times New Roman"/>
          <w:i w:val="0"/>
          <w:sz w:val="20"/>
        </w:rPr>
        <w:t xml:space="preserve"> with an initial condition discrepancy of </w:t>
      </w:r>
      <m:oMath>
        <m:r>
          <m:t>9.811×</m:t>
        </m:r>
        <m:sSup>
          <m:e>
            <m:r>
              <m:t>10</m:t>
            </m:r>
          </m:e>
          <m:sup>
            <m:r>
              <m:t>−6</m:t>
            </m:r>
          </m:sup>
        </m:sSup>
      </m:oMath>
      <w:r>
        <w:rPr>
          <w:rFonts w:ascii="Times New Roman" w:hAnsi="Times New Roman"/>
          <w:i w:val="0"/>
          <w:sz w:val="20"/>
        </w:rPr>
        <w:t xml:space="preserve">, while the integrated HK-PCG causal graph converges to a final loss of </w:t>
      </w:r>
      <m:oMath>
        <m:r>
          <m:t>0.3603</m:t>
        </m:r>
      </m:oMath>
      <w:r>
        <w:rPr>
          <w:rFonts w:ascii="Times New Roman" w:hAnsi="Times New Roman"/>
          <w:i w:val="0"/>
          <w:sz w:val="20"/>
        </w:rPr>
        <w:t xml:space="preserve"> and enforces the relativistic Klein-Gordon constraint with a mean field residual below </w:t>
      </w:r>
      <m:oMath>
        <m:sSup>
          <m:e>
            <m:r>
              <m:t>10</m:t>
            </m:r>
          </m:e>
          <m:sup>
            <m:r>
              <m:t>−3</m:t>
            </m:r>
          </m:sup>
        </m:sSup>
      </m:oMath>
      <w:r>
        <w:rPr>
          <w:rFonts w:ascii="Times New Roman" w:hAnsi="Times New Roman"/>
          <w:i w:val="0"/>
          <w:sz w:val="20"/>
        </w:rPr>
        <w:t>. These results offer empirical confirmation that classical relativistic spacetime and the cosmological arrow of time can emerge holographically from discrete quantum operator growth.</w:t>
      </w:r>
    </w:p>
    <w:p>
      <w:pPr>
        <w:keepNext/>
        <w:spacing w:before="280" w:after="100"/>
      </w:pPr>
      <w:r>
        <w:rPr>
          <w:rFonts w:ascii="Times New Roman" w:hAnsi="Times New Roman"/>
          <w:b/>
          <w:color w:val="002060"/>
          <w:sz w:val="27"/>
        </w:rPr>
        <w:t>1. Introduction</w:t>
      </w:r>
    </w:p>
    <w:p>
      <w:pPr>
        <w:spacing w:after="120" w:line="276" w:lineRule="auto"/>
        <w:jc w:val="both"/>
      </w:pPr>
      <w:r>
        <w:rPr>
          <w:rFonts w:ascii="Times New Roman" w:hAnsi="Times New Roman"/>
          <w:i w:val="0"/>
          <w:sz w:val="22"/>
        </w:rPr>
        <w:t>The foundational architecture of contemporary theoretical physics rests upon a profound conceptual divide between quantum mechanics and general relativity. While microscopic quantum dynamics are traditionally formulated on a static, fixed background metric and exhibit strict time-reversal symmetry under unitary evolution, macroscopic gravitational phenomena require a dynamic, pseudo-Riemannian manifold governed by the Einstein field equations, wherein the cosmological arrow of time is empirically irreversible. Reconciling this dichotomy necessitates addressing two fundamental questions: first, how a monotonic arrow of time emerges from underlying quantum degrees of freedom, and second, how a smooth, continuous spacetime manifold arises from discrete quantum information.</w:t>
      </w:r>
    </w:p>
    <w:p>
      <w:pPr>
        <w:spacing w:after="120" w:line="276" w:lineRule="auto"/>
        <w:jc w:val="both"/>
      </w:pPr>
      <w:r>
        <w:rPr>
          <w:rFonts w:ascii="Times New Roman" w:hAnsi="Times New Roman"/>
          <w:i w:val="0"/>
          <w:sz w:val="22"/>
        </w:rPr>
        <w:t>In recent years, the universal operator growth hypothesis and Krylov complexity have emerged as powerful mathematical instruments for characterizing quantum chaos, information scrambling, and holographic bulk geometry. Under the Lanczos recursion algorithm, local quantum operators expand across an orthogonal Krylov Hilbert space, where the growth of Lanczos hopping coefficients governs the speed of information delocalization. In chaotic quantum systems, this growth is bounded by a maximal linear velocity, providing a microscopic description of operator dispersion that parallels string-theoretic bounds on quantum chaos. Nevertheless, in closed, finite-dimensional quantum systems, Poincaré recurrence inevitably restores quantum coherence over sufficiently long timescales, preventing the emergence of a permanent, unidirectional arrow of time. To overcome this limitation, the microscopic system must be formalized as an open quantum system whose irreversible dissipation into environmental degrees of freedom induces a strictly monotonic expansion in operator space.</w:t>
      </w:r>
    </w:p>
    <w:p>
      <w:pPr>
        <w:spacing w:after="120" w:line="276" w:lineRule="auto"/>
        <w:jc w:val="both"/>
      </w:pPr>
      <w:r>
        <w:rPr>
          <w:rFonts w:ascii="Times New Roman" w:hAnsi="Times New Roman"/>
          <w:i w:val="0"/>
          <w:sz w:val="22"/>
        </w:rPr>
        <w:t>Concurrently, causal set theory posits that the fundamental structure of spacetime is not a smooth continuum, but rather a locally finite, discrete partially ordered set of spacetime events governed by Lorentz-invariant causal precedence. While Poisson sprinkling generates discrete event distributions that preserve macroscopic Lorentz invariance in expectation, reconstructing a differentiable metric field and enforcing relativistic field equations on such disordered graphs poses severe analytical challenges. Traditional discrete differential calculus on random lattices suffers from discretization anomalies, gauge non-invariance, and numerical instabilities.</w:t>
      </w:r>
    </w:p>
    <w:p>
      <w:pPr>
        <w:spacing w:after="120" w:line="276" w:lineRule="auto"/>
        <w:jc w:val="both"/>
      </w:pPr>
      <w:r>
        <w:rPr>
          <w:rFonts w:ascii="Times New Roman" w:hAnsi="Times New Roman"/>
          <w:i w:val="0"/>
          <w:sz w:val="22"/>
        </w:rPr>
        <w:t>To resolve these interconnected challenges, this research introduces the Holographic Krylov-PINN (HK-PCG) synthesis framework. HK-PCG bridges microscopic quantum dissipation and macroscopic continuum physics by integrating open quantum spin chains, Lanczos operator dynamics, directed causal graph neural networks, and physics-informed automatic differentiation into an end-to-end computational pipeline.</w:t>
      </w:r>
    </w:p>
    <w:p>
      <w:pPr>
        <w:spacing w:after="120" w:line="276" w:lineRule="auto"/>
        <w:jc w:val="both"/>
      </w:pPr>
      <w:r>
        <w:rPr>
          <w:rFonts w:ascii="Times New Roman" w:hAnsi="Times New Roman"/>
          <w:i w:val="0"/>
          <w:sz w:val="22"/>
        </w:rPr>
        <w:t>To contextualize the architectural integration of this multi-stage theoretical paradigm, Figure 1 delineates the end-to-end computational pipeline of the HK-PCG framework, spanning from microscopic quantum spin dissipation to emergent continuum field reconstruction.</w:t>
      </w:r>
    </w:p>
    <w:p>
      <w:pPr>
        <w:keepNext/>
        <w:spacing w:before="160" w:after="60"/>
        <w:jc w:val="center"/>
      </w:pPr>
      <w:r>
        <w:drawing>
          <wp:inline xmlns:a="http://schemas.openxmlformats.org/drawingml/2006/main" xmlns:pic="http://schemas.openxmlformats.org/drawingml/2006/picture">
            <wp:extent cx="5669280" cy="2194956"/>
            <wp:docPr id="1" name="Picture 1"/>
            <wp:cNvGraphicFramePr>
              <a:graphicFrameLocks noChangeAspect="1"/>
            </wp:cNvGraphicFramePr>
            <a:graphic>
              <a:graphicData uri="http://schemas.openxmlformats.org/drawingml/2006/picture">
                <pic:pic>
                  <pic:nvPicPr>
                    <pic:cNvPr id="0" name="figure_1_system_architecture.png"/>
                    <pic:cNvPicPr/>
                  </pic:nvPicPr>
                  <pic:blipFill>
                    <a:blip r:embed="rId9"/>
                    <a:stretch>
                      <a:fillRect/>
                    </a:stretch>
                  </pic:blipFill>
                  <pic:spPr>
                    <a:xfrm>
                      <a:off x="0" y="0"/>
                      <a:ext cx="5669280" cy="2194956"/>
                    </a:xfrm>
                    <a:prstGeom prst="rect"/>
                  </pic:spPr>
                </pic:pic>
              </a:graphicData>
            </a:graphic>
          </wp:inline>
        </w:drawing>
      </w:r>
    </w:p>
    <w:p>
      <w:pPr>
        <w:spacing w:before="40" w:after="200"/>
        <w:ind w:left="288" w:right="288"/>
        <w:jc w:val="both"/>
      </w:pPr>
      <w:r>
        <w:rPr>
          <w:b/>
          <w:color w:val="222222"/>
          <w:sz w:val="19"/>
        </w:rPr>
        <w:t>Figure 1:</w:t>
      </w:r>
      <w:r>
        <w:rPr>
          <w:rFonts w:ascii="Times New Roman" w:hAnsi="Times New Roman"/>
          <w:i/>
          <w:sz w:val="19"/>
        </w:rPr>
        <w:t xml:space="preserve"> Comprehensive end-to-end system architecture of the HK-PCG synthesis framework, illustrating the four foundational stages: (1) Microscopic Quantum Microstate formulation on a spin lattice, (2) Krylov Complexity and Lanczos operator growth evaluation yielding the emergent arrow of time vector, (3) Discrete Causal Set generation via Poisson sprinkling and lightcone modulation, and (4) Hybrid GNN-PINN differentiable manifold synthesis enforcing relativistic field equations.</w:t>
      </w:r>
    </w:p>
    <w:p>
      <w:pPr>
        <w:spacing w:after="120" w:line="276" w:lineRule="auto"/>
        <w:jc w:val="both"/>
      </w:pPr>
      <w:r>
        <w:rPr>
          <w:rFonts w:ascii="Times New Roman" w:hAnsi="Times New Roman"/>
          <w:i w:val="0"/>
          <w:sz w:val="22"/>
        </w:rPr>
        <w:t xml:space="preserve">As depicted in Figure 1, the HK-PCG architecture establishes an unbroken chain of physical causality across distinct scales of reality. Stage 1 formalizes the microscopic quantum microstate via an </w:t>
      </w:r>
      <m:oMath>
        <m:r>
          <m:t>N</m:t>
        </m:r>
      </m:oMath>
      <w:r>
        <w:rPr>
          <w:rFonts w:ascii="Times New Roman" w:hAnsi="Times New Roman"/>
          <w:i w:val="0"/>
          <w:sz w:val="22"/>
        </w:rPr>
        <w:t>-qubit spin lattice described by a non-integrable Hamiltonian and a Lindbladian super-operator, ensuring non-unitary dissipation. Stage 2 executes the Lanczos recursion on operator observables to evaluate the spread of the Krylov wavepacket, extracting a strictly positive temporal derivative that defines the emergent arrow of time vector. In Stage 3, this vector directly modulates the edge adjacency weights of a discrete causal set composed of 800 Poisson-sprinkled events, breaking time-reflection symmetry across lightcone intervals. Finally, Stage 4 utilizes a hybrid Graph Neural Network and Physics-Informed Neural Network to project the discrete graph states into a continuous scalar field while penalizing violations of the relativistic Klein-Gordon differential equation through backpropagation. Through this sequential coupling, the framework provides an explicit computational mechanism for the emergence of classical relativistic spacetime from quantum information.</w:t>
      </w:r>
    </w:p>
    <w:p>
      <w:pPr>
        <w:keepNext/>
        <w:spacing w:before="280" w:after="100"/>
      </w:pPr>
      <w:r>
        <w:rPr>
          <w:rFonts w:ascii="Times New Roman" w:hAnsi="Times New Roman"/>
          <w:b/>
          <w:color w:val="002060"/>
          <w:sz w:val="27"/>
        </w:rPr>
        <w:t>2. Mathematical Formalization and Synthesis Methodology</w:t>
      </w:r>
    </w:p>
    <w:p>
      <w:pPr>
        <w:spacing w:after="120" w:line="276" w:lineRule="auto"/>
        <w:jc w:val="both"/>
      </w:pPr>
      <w:r>
        <w:rPr>
          <w:rFonts w:ascii="Times New Roman" w:hAnsi="Times New Roman"/>
          <w:i w:val="0"/>
          <w:sz w:val="22"/>
        </w:rPr>
        <w:t>The formalization of the HK-PCG framework requires a rigorous mathematical bridge connecting non-equilibrium quantum statistical mechanics, operator-algebraic complexity, discrete causal topology, and continuous field theories. The overall research methodology follows a strict multi-level verification pipeline with iterative optimization loops and physical validation criteria.</w:t>
      </w:r>
    </w:p>
    <w:p>
      <w:pPr>
        <w:spacing w:after="120" w:line="276" w:lineRule="auto"/>
        <w:jc w:val="both"/>
      </w:pPr>
      <w:r>
        <w:rPr>
          <w:rFonts w:ascii="Times New Roman" w:hAnsi="Times New Roman"/>
          <w:i w:val="0"/>
          <w:sz w:val="22"/>
        </w:rPr>
        <w:t>To illustrate the decision-making protocol, iterative optimization checkpoints, and multi-stage execution pipeline governing this research, Figure 2 displays the formal thirteen-level research methodology workflow in pure monochrome publication standard.</w:t>
      </w:r>
    </w:p>
    <w:p>
      <w:pPr>
        <w:keepNext/>
        <w:spacing w:before="160" w:after="60"/>
        <w:jc w:val="center"/>
      </w:pPr>
      <w:r>
        <w:drawing>
          <wp:inline xmlns:a="http://schemas.openxmlformats.org/drawingml/2006/main" xmlns:pic="http://schemas.openxmlformats.org/drawingml/2006/picture">
            <wp:extent cx="4754880" cy="6799990"/>
            <wp:docPr id="2" name="Picture 2"/>
            <wp:cNvGraphicFramePr>
              <a:graphicFrameLocks noChangeAspect="1"/>
            </wp:cNvGraphicFramePr>
            <a:graphic>
              <a:graphicData uri="http://schemas.openxmlformats.org/drawingml/2006/picture">
                <pic:pic>
                  <pic:nvPicPr>
                    <pic:cNvPr id="0" name="figure_research_workflow_bw.png"/>
                    <pic:cNvPicPr/>
                  </pic:nvPicPr>
                  <pic:blipFill>
                    <a:blip r:embed="rId10"/>
                    <a:stretch>
                      <a:fillRect/>
                    </a:stretch>
                  </pic:blipFill>
                  <pic:spPr>
                    <a:xfrm>
                      <a:off x="0" y="0"/>
                      <a:ext cx="4754880" cy="6799990"/>
                    </a:xfrm>
                    <a:prstGeom prst="rect"/>
                  </pic:spPr>
                </pic:pic>
              </a:graphicData>
            </a:graphic>
          </wp:inline>
        </w:drawing>
      </w:r>
    </w:p>
    <w:p>
      <w:pPr>
        <w:spacing w:before="40" w:after="200"/>
        <w:ind w:left="288" w:right="288"/>
        <w:jc w:val="both"/>
      </w:pPr>
      <w:r>
        <w:rPr>
          <w:b/>
          <w:color w:val="222222"/>
          <w:sz w:val="19"/>
        </w:rPr>
        <w:t>Figure 2:</w:t>
      </w:r>
      <w:r>
        <w:rPr>
          <w:rFonts w:ascii="Times New Roman" w:hAnsi="Times New Roman"/>
          <w:i/>
          <w:sz w:val="19"/>
        </w:rPr>
        <w:t xml:space="preserve"> Formal thirteen-level research methodology workflow diagram of the HK-PCG framework, delineating the sequential progression from lattice Hamiltonian initialization, Lanczos chaos evaluation, monotonic entropy validation, dual lightcone metric partitioning, and GNN-PINN physical field convergence, to terminal holographic bulk equilibrium.</w:t>
      </w:r>
    </w:p>
    <w:p>
      <w:pPr>
        <w:spacing w:after="120" w:line="276" w:lineRule="auto"/>
        <w:jc w:val="both"/>
      </w:pPr>
      <w:r>
        <w:rPr>
          <w:rFonts w:ascii="Times New Roman" w:hAnsi="Times New Roman"/>
          <w:i w:val="0"/>
          <w:sz w:val="22"/>
        </w:rPr>
        <w:t xml:space="preserve">The operational workflow displayed in Figure 2 demonstrates how theoretical consistency is preserved throughout each phase of computation. The execution sequence begins with the specification of the quantum spin Hamiltonian and Liouvillian super-operator, passing through a primary decision diamond that audits universal operator growth against integrable saturation. If non-chaotic dynamics are detected, the system branches into parameter re-tuning; otherwise, it proceeds to evaluate Krylov complexity and confirm the strict monotonicity of entropy production. The workflow subsequently forks into dual parallel evaluators that compute the analytic relativistic lightcone metric and the Krylov modulation vector simultaneously before synthesizing the directed causal set graph. At the field convergence diamond, if the differential PDE residual exceeds the prescribed tolerance of </w:t>
      </w:r>
      <m:oMath>
        <m:sSup>
          <m:e>
            <m:r>
              <m:t>10</m:t>
            </m:r>
          </m:e>
          <m:sup>
            <m:r>
              <m:t>−3</m:t>
            </m:r>
          </m:sup>
        </m:sSup>
      </m:oMath>
      <w:r>
        <w:rPr>
          <w:rFonts w:ascii="Times New Roman" w:hAnsi="Times New Roman"/>
          <w:i w:val="0"/>
          <w:sz w:val="22"/>
        </w:rPr>
        <w:t>, gradients are backpropagated to refine the GNN message-passing weights and cosine annealing schedule in an iterative optimization loopback. Only when the physical field satisfies both the relativistic Klein-Gordon equation and global holographic bulk duality does the framework terminate at physical equilibrium.</w:t>
      </w:r>
    </w:p>
    <w:p>
      <w:pPr>
        <w:spacing w:after="120" w:line="276" w:lineRule="auto"/>
        <w:jc w:val="both"/>
      </w:pPr>
      <w:r>
        <w:rPr>
          <w:rFonts w:ascii="Times New Roman" w:hAnsi="Times New Roman"/>
          <w:i w:val="0"/>
          <w:sz w:val="22"/>
        </w:rPr>
        <w:t>To quantify the specific numerical and physical parameters governing every stage of this pipeline, Table 1 summarizes the experimental configuration and simulation hyperparameters established across the computational suite.</w:t>
      </w:r>
    </w:p>
    <w:p>
      <w:pPr>
        <w:keepNext/>
        <w:spacing w:before="200" w:after="80"/>
        <w:jc w:val="both"/>
      </w:pPr>
      <w:r>
        <w:rPr>
          <w:b/>
          <w:color w:val="222222"/>
          <w:sz w:val="19"/>
        </w:rPr>
        <w:t>Table 1:</w:t>
      </w:r>
      <w:r>
        <w:rPr>
          <w:rFonts w:ascii="Times New Roman" w:hAnsi="Times New Roman"/>
          <w:i/>
          <w:sz w:val="19"/>
        </w:rPr>
        <w:t xml:space="preserve"> Physical simulation parameters, architectural specifications, and computational configurations established across the HK-PCG research pipeline.</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2257"/>
        <w:gridCol w:w="2257"/>
        <w:gridCol w:w="2257"/>
        <w:gridCol w:w="2257"/>
      </w:tblGrid>
      <w:tr>
        <w:trPr>
          <w:tblHeader/>
        </w:trPr>
        <w:tc>
          <w:tcPr>
            <w:tcW w:type="dxa" w:w="1872"/>
            <w:vAlign w:val="center"/>
            <w:shd w:fill="F2F2F2"/>
            <w:tcBorders>
              <w:bottom w:val="single" w:sz="8" w:space="0" w:color="000000"/>
            </w:tcBorders>
          </w:tcPr>
          <w:p>
            <w:pPr>
              <w:spacing w:before="60" w:after="60"/>
              <w:jc w:val="center"/>
            </w:pPr>
            <w:r>
              <w:rPr>
                <w:rFonts w:ascii="Times New Roman" w:hAnsi="Times New Roman"/>
                <w:b/>
                <w:i w:val="0"/>
                <w:sz w:val="19"/>
              </w:rPr>
              <w:t>Pipeline Module</w:t>
            </w:r>
          </w:p>
        </w:tc>
        <w:tc>
          <w:tcPr>
            <w:tcW w:type="dxa" w:w="2592"/>
            <w:vAlign w:val="center"/>
            <w:shd w:fill="F2F2F2"/>
            <w:tcBorders>
              <w:bottom w:val="single" w:sz="8" w:space="0" w:color="000000"/>
            </w:tcBorders>
          </w:tcPr>
          <w:p>
            <w:pPr>
              <w:spacing w:before="60" w:after="60"/>
              <w:jc w:val="center"/>
            </w:pPr>
            <w:r>
              <w:rPr>
                <w:rFonts w:ascii="Times New Roman" w:hAnsi="Times New Roman"/>
                <w:b/>
                <w:i w:val="0"/>
                <w:sz w:val="19"/>
              </w:rPr>
              <w:t>Physical Parameter / Metric</w:t>
            </w:r>
          </w:p>
        </w:tc>
        <w:tc>
          <w:tcPr>
            <w:tcW w:type="dxa" w:w="1584"/>
            <w:vAlign w:val="center"/>
            <w:shd w:fill="F2F2F2"/>
            <w:tcBorders>
              <w:bottom w:val="single" w:sz="8" w:space="0" w:color="000000"/>
            </w:tcBorders>
          </w:tcPr>
          <w:p>
            <w:pPr>
              <w:spacing w:before="60" w:after="60"/>
              <w:jc w:val="center"/>
            </w:pPr>
            <w:r>
              <w:rPr>
                <w:rFonts w:ascii="Times New Roman" w:hAnsi="Times New Roman"/>
                <w:b/>
                <w:i w:val="0"/>
                <w:sz w:val="19"/>
              </w:rPr>
              <w:t>Parameter Value</w:t>
            </w:r>
          </w:p>
        </w:tc>
        <w:tc>
          <w:tcPr>
            <w:tcW w:type="dxa" w:w="2880"/>
            <w:vAlign w:val="center"/>
            <w:shd w:fill="F2F2F2"/>
            <w:tcBorders>
              <w:bottom w:val="single" w:sz="8" w:space="0" w:color="000000"/>
            </w:tcBorders>
          </w:tcPr>
          <w:p>
            <w:pPr>
              <w:spacing w:before="60" w:after="60"/>
              <w:jc w:val="center"/>
            </w:pPr>
            <w:r>
              <w:rPr>
                <w:rFonts w:ascii="Times New Roman" w:hAnsi="Times New Roman"/>
                <w:b/>
                <w:i w:val="0"/>
                <w:sz w:val="19"/>
              </w:rPr>
              <w:t>Analytical Definition / Purpose</w:t>
            </w:r>
          </w:p>
        </w:tc>
      </w:tr>
      <w:tr>
        <w:tc>
          <w:tcPr>
            <w:tcW w:type="dxa" w:w="1872"/>
            <w:vAlign w:val="center"/>
          </w:tcPr>
          <w:p>
            <w:pPr>
              <w:spacing w:before="50" w:after="50"/>
              <w:jc w:val="left"/>
            </w:pPr>
            <w:r>
              <w:rPr>
                <w:rFonts w:ascii="Times New Roman" w:hAnsi="Times New Roman"/>
                <w:i w:val="0"/>
                <w:sz w:val="18"/>
              </w:rPr>
              <w:t>Quantum Lattice</w:t>
            </w:r>
          </w:p>
        </w:tc>
        <w:tc>
          <w:tcPr>
            <w:tcW w:type="dxa" w:w="2592"/>
            <w:vAlign w:val="center"/>
          </w:tcPr>
          <w:p>
            <w:pPr>
              <w:spacing w:before="50" w:after="50"/>
              <w:jc w:val="left"/>
            </w:pPr>
            <w:r>
              <w:rPr>
                <w:rFonts w:ascii="Times New Roman" w:hAnsi="Times New Roman"/>
                <w:i w:val="0"/>
                <w:sz w:val="18"/>
              </w:rPr>
              <w:t>Spin Chain Length (</w:t>
            </w:r>
            <m:oMath>
              <m:r>
                <m:t>L</m:t>
              </m:r>
            </m:oMath>
            <w:r>
              <w:rPr>
                <w:rFonts w:ascii="Times New Roman" w:hAnsi="Times New Roman"/>
                <w:i w:val="0"/>
                <w:sz w:val="18"/>
              </w:rPr>
              <w:t>)</w:t>
            </w:r>
          </w:p>
        </w:tc>
        <w:tc>
          <w:tcPr>
            <w:tcW w:type="dxa" w:w="1584"/>
            <w:vAlign w:val="center"/>
          </w:tcPr>
          <w:p>
            <w:pPr>
              <w:spacing w:before="50" w:after="50"/>
              <w:jc w:val="center"/>
            </w:pPr>
            <m:oMath>
              <m:r>
                <m:t>6</m:t>
              </m:r>
            </m:oMath>
            <w:r>
              <w:rPr>
                <w:rFonts w:ascii="Times New Roman" w:hAnsi="Times New Roman"/>
                <w:i w:val="0"/>
                <w:sz w:val="18"/>
              </w:rPr>
              <w:t xml:space="preserve"> spins</w:t>
            </w:r>
          </w:p>
        </w:tc>
        <w:tc>
          <w:tcPr>
            <w:tcW w:type="dxa" w:w="2880"/>
            <w:vAlign w:val="center"/>
          </w:tcPr>
          <w:p>
            <w:pPr>
              <w:spacing w:before="50" w:after="50"/>
              <w:jc w:val="left"/>
            </w:pPr>
            <w:r>
              <w:rPr>
                <w:rFonts w:ascii="Times New Roman" w:hAnsi="Times New Roman"/>
                <w:i w:val="0"/>
                <w:sz w:val="18"/>
              </w:rPr>
              <w:t>Microscopic one-dimensional quantum Heisenberg spin lattice</w:t>
            </w:r>
          </w:p>
        </w:tc>
      </w:tr>
      <w:tr>
        <w:tc>
          <w:tcPr>
            <w:tcW w:type="dxa" w:w="1872"/>
            <w:vAlign w:val="center"/>
          </w:tcPr>
          <w:p>
            <w:pPr>
              <w:spacing w:before="50" w:after="50"/>
              <w:jc w:val="left"/>
            </w:pPr>
          </w:p>
        </w:tc>
        <w:tc>
          <w:tcPr>
            <w:tcW w:type="dxa" w:w="2592"/>
            <w:vAlign w:val="center"/>
          </w:tcPr>
          <w:p>
            <w:pPr>
              <w:spacing w:before="50" w:after="50"/>
              <w:jc w:val="left"/>
            </w:pPr>
            <w:r>
              <w:rPr>
                <w:rFonts w:ascii="Times New Roman" w:hAnsi="Times New Roman"/>
                <w:i w:val="0"/>
                <w:sz w:val="18"/>
              </w:rPr>
              <w:t>Hilbert Space Dimension (</w:t>
            </w:r>
            <m:oMath>
              <m:r>
                <m:rPr>
                  <m:sty m:val="p"/>
                </m:rPr>
                <m:t>dim</m:t>
              </m:r>
              <m:r>
                <m:t>ℋ</m:t>
              </m:r>
            </m:oMath>
            <w:r>
              <w:rPr>
                <w:rFonts w:ascii="Times New Roman" w:hAnsi="Times New Roman"/>
                <w:i w:val="0"/>
                <w:sz w:val="18"/>
              </w:rPr>
              <w:t>)</w:t>
            </w:r>
          </w:p>
        </w:tc>
        <w:tc>
          <w:tcPr>
            <w:tcW w:type="dxa" w:w="1584"/>
            <w:vAlign w:val="center"/>
          </w:tcPr>
          <w:p>
            <w:pPr>
              <w:spacing w:before="50" w:after="50"/>
              <w:jc w:val="center"/>
            </w:pPr>
            <m:oMath>
              <m:sSup>
                <m:e>
                  <m:r>
                    <m:t>2</m:t>
                  </m:r>
                </m:e>
                <m:sup>
                  <m:r>
                    <m:t>6</m:t>
                  </m:r>
                </m:sup>
              </m:sSup>
              <m:r>
                <m:t>=64</m:t>
              </m:r>
            </m:oMath>
          </w:p>
        </w:tc>
        <w:tc>
          <w:tcPr>
            <w:tcW w:type="dxa" w:w="2880"/>
            <w:vAlign w:val="center"/>
          </w:tcPr>
          <w:p>
            <w:pPr>
              <w:spacing w:before="50" w:after="50"/>
              <w:jc w:val="left"/>
            </w:pPr>
            <w:r>
              <w:rPr>
                <w:rFonts w:ascii="Times New Roman" w:hAnsi="Times New Roman"/>
                <w:i w:val="0"/>
                <w:sz w:val="18"/>
              </w:rPr>
              <w:t>Total microstate capacity of the quantum spin system</w:t>
            </w:r>
          </w:p>
        </w:tc>
      </w:tr>
      <w:tr>
        <w:tc>
          <w:tcPr>
            <w:tcW w:type="dxa" w:w="1872"/>
            <w:vAlign w:val="center"/>
          </w:tcPr>
          <w:p>
            <w:pPr>
              <w:spacing w:before="50" w:after="50"/>
              <w:jc w:val="left"/>
            </w:pPr>
          </w:p>
        </w:tc>
        <w:tc>
          <w:tcPr>
            <w:tcW w:type="dxa" w:w="2592"/>
            <w:vAlign w:val="center"/>
          </w:tcPr>
          <w:p>
            <w:pPr>
              <w:spacing w:before="50" w:after="50"/>
              <w:jc w:val="left"/>
            </w:pPr>
            <w:r>
              <w:rPr>
                <w:rFonts w:ascii="Times New Roman" w:hAnsi="Times New Roman"/>
                <w:i w:val="0"/>
                <w:sz w:val="18"/>
              </w:rPr>
              <w:t>Operator Space Dimension (</w:t>
            </w:r>
            <m:oMath>
              <m:r>
                <m:rPr>
                  <m:sty m:val="p"/>
                </m:rPr>
                <m:t>dim</m:t>
              </m:r>
              <m:r>
                <m:t>𝒦</m:t>
              </m:r>
            </m:oMath>
            <w:r>
              <w:rPr>
                <w:rFonts w:ascii="Times New Roman" w:hAnsi="Times New Roman"/>
                <w:i w:val="0"/>
                <w:sz w:val="18"/>
              </w:rPr>
              <w:t>)</w:t>
            </w:r>
          </w:p>
        </w:tc>
        <w:tc>
          <w:tcPr>
            <w:tcW w:type="dxa" w:w="1584"/>
            <w:vAlign w:val="center"/>
          </w:tcPr>
          <w:p>
            <w:pPr>
              <w:spacing w:before="50" w:after="50"/>
              <w:jc w:val="center"/>
            </w:pPr>
            <m:oMath>
              <m:sSup>
                <m:e>
                  <m:r>
                    <m:t>64</m:t>
                  </m:r>
                </m:e>
                <m:sup>
                  <m:r>
                    <m:t>2</m:t>
                  </m:r>
                </m:sup>
              </m:sSup>
              <m:r>
                <m:t>=4096</m:t>
              </m:r>
            </m:oMath>
          </w:p>
        </w:tc>
        <w:tc>
          <w:tcPr>
            <w:tcW w:type="dxa" w:w="2880"/>
            <w:vAlign w:val="center"/>
          </w:tcPr>
          <w:p>
            <w:pPr>
              <w:spacing w:before="50" w:after="50"/>
              <w:jc w:val="left"/>
            </w:pPr>
            <w:r>
              <w:rPr>
                <w:rFonts w:ascii="Times New Roman" w:hAnsi="Times New Roman"/>
                <w:i w:val="0"/>
                <w:sz w:val="18"/>
              </w:rPr>
              <w:t>Liouville-Fock Hilbert space dimension for observable evolution</w:t>
            </w:r>
          </w:p>
        </w:tc>
      </w:tr>
      <w:tr>
        <w:tc>
          <w:tcPr>
            <w:tcW w:type="dxa" w:w="1872"/>
            <w:vAlign w:val="center"/>
          </w:tcPr>
          <w:p>
            <w:pPr>
              <w:spacing w:before="50" w:after="50"/>
              <w:jc w:val="left"/>
            </w:pPr>
          </w:p>
        </w:tc>
        <w:tc>
          <w:tcPr>
            <w:tcW w:type="dxa" w:w="2592"/>
            <w:vAlign w:val="center"/>
          </w:tcPr>
          <w:p>
            <w:pPr>
              <w:spacing w:before="50" w:after="50"/>
              <w:jc w:val="left"/>
            </w:pPr>
            <w:r>
              <w:rPr>
                <w:rFonts w:ascii="Times New Roman" w:hAnsi="Times New Roman"/>
                <w:i w:val="0"/>
                <w:sz w:val="18"/>
              </w:rPr>
              <w:t>Nearest-Neighbor Exchange (</w:t>
            </w:r>
            <m:oMath>
              <m:r>
                <m:t>J</m:t>
              </m:r>
            </m:oMath>
            <w:r>
              <w:rPr>
                <w:rFonts w:ascii="Times New Roman" w:hAnsi="Times New Roman"/>
                <w:i w:val="0"/>
                <w:sz w:val="18"/>
              </w:rPr>
              <w:t>)</w:t>
            </w:r>
          </w:p>
        </w:tc>
        <w:tc>
          <w:tcPr>
            <w:tcW w:type="dxa" w:w="1584"/>
            <w:vAlign w:val="center"/>
          </w:tcPr>
          <w:p>
            <w:pPr>
              <w:spacing w:before="50" w:after="50"/>
              <w:jc w:val="center"/>
            </w:pPr>
            <m:oMath>
              <m:r>
                <m:t>1.0</m:t>
              </m:r>
            </m:oMath>
          </w:p>
        </w:tc>
        <w:tc>
          <w:tcPr>
            <w:tcW w:type="dxa" w:w="2880"/>
            <w:vAlign w:val="center"/>
          </w:tcPr>
          <w:p>
            <w:pPr>
              <w:spacing w:before="50" w:after="50"/>
              <w:jc w:val="left"/>
            </w:pPr>
            <w:r>
              <w:rPr>
                <w:rFonts w:ascii="Times New Roman" w:hAnsi="Times New Roman"/>
                <w:i w:val="0"/>
                <w:sz w:val="18"/>
              </w:rPr>
              <w:t>Longitudinal spin-spin coupling constant in natural units</w:t>
            </w:r>
          </w:p>
        </w:tc>
      </w:tr>
      <w:tr>
        <w:tc>
          <w:tcPr>
            <w:tcW w:type="dxa" w:w="1872"/>
            <w:vAlign w:val="center"/>
          </w:tcPr>
          <w:p>
            <w:pPr>
              <w:spacing w:before="50" w:after="50"/>
              <w:jc w:val="left"/>
            </w:pPr>
          </w:p>
        </w:tc>
        <w:tc>
          <w:tcPr>
            <w:tcW w:type="dxa" w:w="2592"/>
            <w:vAlign w:val="center"/>
          </w:tcPr>
          <w:p>
            <w:pPr>
              <w:spacing w:before="50" w:after="50"/>
              <w:jc w:val="left"/>
            </w:pPr>
            <w:r>
              <w:rPr>
                <w:rFonts w:ascii="Times New Roman" w:hAnsi="Times New Roman"/>
                <w:i w:val="0"/>
                <w:sz w:val="18"/>
              </w:rPr>
              <w:t>Transverse Magnetic Field (</w:t>
            </w:r>
            <m:oMath>
              <m:sSub>
                <m:e>
                  <m:r>
                    <m:t>h</m:t>
                  </m:r>
                </m:e>
                <m:sub>
                  <m:r>
                    <m:t>x</m:t>
                  </m:r>
                </m:sub>
              </m:sSub>
            </m:oMath>
            <w:r>
              <w:rPr>
                <w:rFonts w:ascii="Times New Roman" w:hAnsi="Times New Roman"/>
                <w:i w:val="0"/>
                <w:sz w:val="18"/>
              </w:rPr>
              <w:t>)</w:t>
            </w:r>
          </w:p>
        </w:tc>
        <w:tc>
          <w:tcPr>
            <w:tcW w:type="dxa" w:w="1584"/>
            <w:vAlign w:val="center"/>
          </w:tcPr>
          <w:p>
            <w:pPr>
              <w:spacing w:before="50" w:after="50"/>
              <w:jc w:val="center"/>
            </w:pPr>
            <m:oMath>
              <m:r>
                <m:t>1.05</m:t>
              </m:r>
            </m:oMath>
          </w:p>
        </w:tc>
        <w:tc>
          <w:tcPr>
            <w:tcW w:type="dxa" w:w="2880"/>
            <w:vAlign w:val="center"/>
          </w:tcPr>
          <w:p>
            <w:pPr>
              <w:spacing w:before="50" w:after="50"/>
              <w:jc w:val="left"/>
            </w:pPr>
            <w:r>
              <w:rPr>
                <w:rFonts w:ascii="Times New Roman" w:hAnsi="Times New Roman"/>
                <w:i w:val="0"/>
                <w:sz w:val="18"/>
              </w:rPr>
              <w:t>Drives non-integrable quantum chaos and operator delocalization</w:t>
            </w:r>
          </w:p>
        </w:tc>
      </w:tr>
      <w:tr>
        <w:tc>
          <w:tcPr>
            <w:tcW w:type="dxa" w:w="1872"/>
            <w:vAlign w:val="center"/>
          </w:tcPr>
          <w:p>
            <w:pPr>
              <w:spacing w:before="50" w:after="50"/>
              <w:jc w:val="left"/>
            </w:pPr>
          </w:p>
        </w:tc>
        <w:tc>
          <w:tcPr>
            <w:tcW w:type="dxa" w:w="2592"/>
            <w:vAlign w:val="center"/>
          </w:tcPr>
          <w:p>
            <w:pPr>
              <w:spacing w:before="50" w:after="50"/>
              <w:jc w:val="left"/>
            </w:pPr>
            <w:r>
              <w:rPr>
                <w:rFonts w:ascii="Times New Roman" w:hAnsi="Times New Roman"/>
                <w:i w:val="0"/>
                <w:sz w:val="18"/>
              </w:rPr>
              <w:t>Longitudinal Defect Field (</w:t>
            </w:r>
            <m:oMath>
              <m:sSub>
                <m:e>
                  <m:r>
                    <m:t>h</m:t>
                  </m:r>
                </m:e>
                <m:sub>
                  <m:r>
                    <m:t>z</m:t>
                  </m:r>
                </m:sub>
              </m:sSub>
            </m:oMath>
            <w:r>
              <w:rPr>
                <w:rFonts w:ascii="Times New Roman" w:hAnsi="Times New Roman"/>
                <w:i w:val="0"/>
                <w:sz w:val="18"/>
              </w:rPr>
              <w:t>)</w:t>
            </w:r>
          </w:p>
        </w:tc>
        <w:tc>
          <w:tcPr>
            <w:tcW w:type="dxa" w:w="1584"/>
            <w:vAlign w:val="center"/>
          </w:tcPr>
          <w:p>
            <w:pPr>
              <w:spacing w:before="50" w:after="50"/>
              <w:jc w:val="center"/>
            </w:pPr>
            <m:oMath>
              <m:r>
                <m:t>0.50</m:t>
              </m:r>
            </m:oMath>
          </w:p>
        </w:tc>
        <w:tc>
          <w:tcPr>
            <w:tcW w:type="dxa" w:w="2880"/>
            <w:vAlign w:val="center"/>
          </w:tcPr>
          <w:p>
            <w:pPr>
              <w:spacing w:before="50" w:after="50"/>
              <w:jc w:val="left"/>
            </w:pPr>
            <w:r>
              <w:rPr>
                <w:rFonts w:ascii="Times New Roman" w:hAnsi="Times New Roman"/>
                <w:i w:val="0"/>
                <w:sz w:val="18"/>
              </w:rPr>
              <w:t>Breaks integrability and eliminates remnant parity symmetries</w:t>
            </w:r>
          </w:p>
        </w:tc>
      </w:tr>
      <w:tr>
        <w:tc>
          <w:tcPr>
            <w:tcW w:type="dxa" w:w="1872"/>
            <w:vAlign w:val="center"/>
          </w:tcPr>
          <w:p>
            <w:pPr>
              <w:spacing w:before="50" w:after="50"/>
              <w:jc w:val="left"/>
            </w:pPr>
          </w:p>
        </w:tc>
        <w:tc>
          <w:tcPr>
            <w:tcW w:type="dxa" w:w="2592"/>
            <w:vAlign w:val="center"/>
          </w:tcPr>
          <w:p>
            <w:pPr>
              <w:spacing w:before="50" w:after="50"/>
              <w:jc w:val="left"/>
            </w:pPr>
            <w:r>
              <w:rPr>
                <w:rFonts w:ascii="Times New Roman" w:hAnsi="Times New Roman"/>
                <w:i w:val="0"/>
                <w:sz w:val="18"/>
              </w:rPr>
              <w:t>Lindblad Dissipation Rate (</w:t>
            </w:r>
            <m:oMath>
              <m:r>
                <m:t>γ</m:t>
              </m:r>
            </m:oMath>
            <w:r>
              <w:rPr>
                <w:rFonts w:ascii="Times New Roman" w:hAnsi="Times New Roman"/>
                <w:i w:val="0"/>
                <w:sz w:val="18"/>
              </w:rPr>
              <w:t>)</w:t>
            </w:r>
          </w:p>
        </w:tc>
        <w:tc>
          <w:tcPr>
            <w:tcW w:type="dxa" w:w="1584"/>
            <w:vAlign w:val="center"/>
          </w:tcPr>
          <w:p>
            <w:pPr>
              <w:spacing w:before="50" w:after="50"/>
              <w:jc w:val="center"/>
            </w:pPr>
            <m:oMath>
              <m:r>
                <m:t>0.05</m:t>
              </m:r>
            </m:oMath>
          </w:p>
        </w:tc>
        <w:tc>
          <w:tcPr>
            <w:tcW w:type="dxa" w:w="2880"/>
            <w:vAlign w:val="center"/>
          </w:tcPr>
          <w:p>
            <w:pPr>
              <w:spacing w:before="50" w:after="50"/>
              <w:jc w:val="left"/>
            </w:pPr>
            <w:r>
              <w:rPr>
                <w:rFonts w:ascii="Times New Roman" w:hAnsi="Times New Roman"/>
                <w:i w:val="0"/>
                <w:sz w:val="18"/>
              </w:rPr>
              <w:t>Coupling constant to environmental dephasing bath</w:t>
            </w:r>
          </w:p>
        </w:tc>
      </w:tr>
      <w:tr>
        <w:tc>
          <w:tcPr>
            <w:tcW w:type="dxa" w:w="1872"/>
            <w:vAlign w:val="center"/>
          </w:tcPr>
          <w:p>
            <w:pPr>
              <w:spacing w:before="50" w:after="50"/>
              <w:jc w:val="left"/>
            </w:pPr>
            <w:r>
              <w:rPr>
                <w:rFonts w:ascii="Times New Roman" w:hAnsi="Times New Roman"/>
                <w:i w:val="0"/>
                <w:sz w:val="18"/>
              </w:rPr>
              <w:t>Krylov Engine</w:t>
            </w:r>
          </w:p>
        </w:tc>
        <w:tc>
          <w:tcPr>
            <w:tcW w:type="dxa" w:w="2592"/>
            <w:vAlign w:val="center"/>
          </w:tcPr>
          <w:p>
            <w:pPr>
              <w:spacing w:before="50" w:after="50"/>
              <w:jc w:val="left"/>
            </w:pPr>
            <w:r>
              <w:rPr>
                <w:rFonts w:ascii="Times New Roman" w:hAnsi="Times New Roman"/>
                <w:i w:val="0"/>
                <w:sz w:val="18"/>
              </w:rPr>
              <w:t>Time Discretization Grid (</w:t>
            </w:r>
            <m:oMath>
              <m:r>
                <m:t>Δt</m:t>
              </m:r>
            </m:oMath>
            <w:r>
              <w:rPr>
                <w:rFonts w:ascii="Times New Roman" w:hAnsi="Times New Roman"/>
                <w:i w:val="0"/>
                <w:sz w:val="18"/>
              </w:rPr>
              <w:t>)</w:t>
            </w:r>
          </w:p>
        </w:tc>
        <w:tc>
          <w:tcPr>
            <w:tcW w:type="dxa" w:w="1584"/>
            <w:vAlign w:val="center"/>
          </w:tcPr>
          <w:p>
            <w:pPr>
              <w:spacing w:before="50" w:after="50"/>
              <w:jc w:val="center"/>
            </w:pPr>
            <m:oMath>
              <m:r>
                <m:t>0.0268</m:t>
              </m:r>
            </m:oMath>
          </w:p>
        </w:tc>
        <w:tc>
          <w:tcPr>
            <w:tcW w:type="dxa" w:w="2880"/>
            <w:vAlign w:val="center"/>
          </w:tcPr>
          <w:p>
            <w:pPr>
              <w:spacing w:before="50" w:after="50"/>
              <w:jc w:val="left"/>
            </w:pPr>
            <w:r>
              <w:rPr>
                <w:rFonts w:ascii="Times New Roman" w:hAnsi="Times New Roman"/>
                <w:i w:val="0"/>
                <w:sz w:val="18"/>
              </w:rPr>
              <w:t>Temporal resolution for numerical matrix exponential evolution</w:t>
            </w:r>
          </w:p>
        </w:tc>
      </w:tr>
      <w:tr>
        <w:tc>
          <w:tcPr>
            <w:tcW w:type="dxa" w:w="1872"/>
            <w:vAlign w:val="center"/>
          </w:tcPr>
          <w:p>
            <w:pPr>
              <w:spacing w:before="50" w:after="50"/>
              <w:jc w:val="left"/>
            </w:pPr>
          </w:p>
        </w:tc>
        <w:tc>
          <w:tcPr>
            <w:tcW w:type="dxa" w:w="2592"/>
            <w:vAlign w:val="center"/>
          </w:tcPr>
          <w:p>
            <w:pPr>
              <w:spacing w:before="50" w:after="50"/>
              <w:jc w:val="left"/>
            </w:pPr>
            <w:r>
              <w:rPr>
                <w:rFonts w:ascii="Times New Roman" w:hAnsi="Times New Roman"/>
                <w:i w:val="0"/>
                <w:sz w:val="18"/>
              </w:rPr>
              <w:t>Maximum Evolution Horizon (</w:t>
            </w:r>
            <m:oMath>
              <m:r>
                <m:t>T</m:t>
              </m:r>
            </m:oMath>
            <w:r>
              <w:rPr>
                <w:rFonts w:ascii="Times New Roman" w:hAnsi="Times New Roman"/>
                <w:i w:val="0"/>
                <w:sz w:val="18"/>
              </w:rPr>
              <w:t>)</w:t>
            </w:r>
          </w:p>
        </w:tc>
        <w:tc>
          <w:tcPr>
            <w:tcW w:type="dxa" w:w="1584"/>
            <w:vAlign w:val="center"/>
          </w:tcPr>
          <w:p>
            <w:pPr>
              <w:spacing w:before="50" w:after="50"/>
              <w:jc w:val="center"/>
            </w:pPr>
            <m:oMath>
              <m:r>
                <m:t>8.0</m:t>
              </m:r>
            </m:oMath>
          </w:p>
        </w:tc>
        <w:tc>
          <w:tcPr>
            <w:tcW w:type="dxa" w:w="2880"/>
            <w:vAlign w:val="center"/>
          </w:tcPr>
          <w:p>
            <w:pPr>
              <w:spacing w:before="50" w:after="50"/>
              <w:jc w:val="left"/>
            </w:pPr>
            <w:r>
              <w:rPr>
                <w:rFonts w:ascii="Times New Roman" w:hAnsi="Times New Roman"/>
                <w:i w:val="0"/>
                <w:sz w:val="18"/>
              </w:rPr>
              <w:t>Time horizon ensuring saturation beyond the scrambling time</w:t>
            </w:r>
          </w:p>
        </w:tc>
      </w:tr>
      <w:tr>
        <w:tc>
          <w:tcPr>
            <w:tcW w:type="dxa" w:w="1872"/>
            <w:vAlign w:val="center"/>
          </w:tcPr>
          <w:p>
            <w:pPr>
              <w:spacing w:before="50" w:after="50"/>
              <w:jc w:val="left"/>
            </w:pPr>
          </w:p>
        </w:tc>
        <w:tc>
          <w:tcPr>
            <w:tcW w:type="dxa" w:w="2592"/>
            <w:vAlign w:val="center"/>
          </w:tcPr>
          <w:p>
            <w:pPr>
              <w:spacing w:before="50" w:after="50"/>
              <w:jc w:val="left"/>
            </w:pPr>
            <w:r>
              <w:rPr>
                <w:rFonts w:ascii="Times New Roman" w:hAnsi="Times New Roman"/>
                <w:i w:val="0"/>
                <w:sz w:val="18"/>
              </w:rPr>
              <w:t>Lanczos Basis Dimension (</w:t>
            </w:r>
            <m:oMath>
              <m:sSub>
                <m:e>
                  <m:r>
                    <m:t>K</m:t>
                  </m:r>
                </m:e>
                <m:sub>
                  <m:r>
                    <m:t>max</m:t>
                  </m:r>
                </m:sub>
              </m:sSub>
            </m:oMath>
            <w:r>
              <w:rPr>
                <w:rFonts w:ascii="Times New Roman" w:hAnsi="Times New Roman"/>
                <w:i w:val="0"/>
                <w:sz w:val="18"/>
              </w:rPr>
              <w:t>)</w:t>
            </w:r>
          </w:p>
        </w:tc>
        <w:tc>
          <w:tcPr>
            <w:tcW w:type="dxa" w:w="1584"/>
            <w:vAlign w:val="center"/>
          </w:tcPr>
          <w:p>
            <w:pPr>
              <w:spacing w:before="50" w:after="50"/>
              <w:jc w:val="center"/>
            </w:pPr>
            <m:oMath>
              <m:r>
                <m:t>150</m:t>
              </m:r>
            </m:oMath>
            <w:r>
              <w:rPr>
                <w:rFonts w:ascii="Times New Roman" w:hAnsi="Times New Roman"/>
                <w:i w:val="0"/>
                <w:sz w:val="18"/>
              </w:rPr>
              <w:t xml:space="preserve"> iterations</w:t>
            </w:r>
          </w:p>
        </w:tc>
        <w:tc>
          <w:tcPr>
            <w:tcW w:type="dxa" w:w="2880"/>
            <w:vAlign w:val="center"/>
          </w:tcPr>
          <w:p>
            <w:pPr>
              <w:spacing w:before="50" w:after="50"/>
              <w:jc w:val="left"/>
            </w:pPr>
            <w:r>
              <w:rPr>
                <w:rFonts w:ascii="Times New Roman" w:hAnsi="Times New Roman"/>
                <w:i w:val="0"/>
                <w:sz w:val="18"/>
              </w:rPr>
              <w:t>Tridiagonalization depth for operator wavepacket tracking</w:t>
            </w:r>
          </w:p>
        </w:tc>
      </w:tr>
      <w:tr>
        <w:tc>
          <w:tcPr>
            <w:tcW w:type="dxa" w:w="1872"/>
            <w:vAlign w:val="center"/>
          </w:tcPr>
          <w:p>
            <w:pPr>
              <w:spacing w:before="50" w:after="50"/>
              <w:jc w:val="left"/>
            </w:pPr>
            <w:r>
              <w:rPr>
                <w:rFonts w:ascii="Times New Roman" w:hAnsi="Times New Roman"/>
                <w:i w:val="0"/>
                <w:sz w:val="18"/>
              </w:rPr>
              <w:t>Discrete Causal Set</w:t>
            </w:r>
          </w:p>
        </w:tc>
        <w:tc>
          <w:tcPr>
            <w:tcW w:type="dxa" w:w="2592"/>
            <w:vAlign w:val="center"/>
          </w:tcPr>
          <w:p>
            <w:pPr>
              <w:spacing w:before="50" w:after="50"/>
              <w:jc w:val="left"/>
            </w:pPr>
            <w:r>
              <w:rPr>
                <w:rFonts w:ascii="Times New Roman" w:hAnsi="Times New Roman"/>
                <w:i w:val="0"/>
                <w:sz w:val="18"/>
              </w:rPr>
              <w:t>Poisson Sprinkling Density (</w:t>
            </w:r>
            <m:oMath>
              <m:r>
                <m:t>N</m:t>
              </m:r>
            </m:oMath>
            <w:r>
              <w:rPr>
                <w:rFonts w:ascii="Times New Roman" w:hAnsi="Times New Roman"/>
                <w:i w:val="0"/>
                <w:sz w:val="18"/>
              </w:rPr>
              <w:t>)</w:t>
            </w:r>
          </w:p>
        </w:tc>
        <w:tc>
          <w:tcPr>
            <w:tcW w:type="dxa" w:w="1584"/>
            <w:vAlign w:val="center"/>
          </w:tcPr>
          <w:p>
            <w:pPr>
              <w:spacing w:before="50" w:after="50"/>
              <w:jc w:val="center"/>
            </w:pPr>
            <m:oMath>
              <m:r>
                <m:t>800</m:t>
              </m:r>
            </m:oMath>
            <w:r>
              <w:rPr>
                <w:rFonts w:ascii="Times New Roman" w:hAnsi="Times New Roman"/>
                <w:i w:val="0"/>
                <w:sz w:val="18"/>
              </w:rPr>
              <w:t xml:space="preserve"> events</w:t>
            </w:r>
          </w:p>
        </w:tc>
        <w:tc>
          <w:tcPr>
            <w:tcW w:type="dxa" w:w="2880"/>
            <w:vAlign w:val="center"/>
          </w:tcPr>
          <w:p>
            <w:pPr>
              <w:spacing w:before="50" w:after="50"/>
              <w:jc w:val="left"/>
            </w:pPr>
            <w:r>
              <w:rPr>
                <w:rFonts w:ascii="Times New Roman" w:hAnsi="Times New Roman"/>
                <w:i w:val="0"/>
                <w:sz w:val="18"/>
              </w:rPr>
              <w:t xml:space="preserve">Discrete spacetime volume events randomly distributed in </w:t>
            </w:r>
            <m:oMath>
              <m:r>
                <m:t>1+1</m:t>
              </m:r>
            </m:oMath>
            <w:r>
              <w:rPr>
                <w:rFonts w:ascii="Times New Roman" w:hAnsi="Times New Roman"/>
                <w:i w:val="0"/>
                <w:sz w:val="18"/>
              </w:rPr>
              <w:t>D</w:t>
            </w:r>
          </w:p>
        </w:tc>
      </w:tr>
      <w:tr>
        <w:tc>
          <w:tcPr>
            <w:tcW w:type="dxa" w:w="1872"/>
            <w:vAlign w:val="center"/>
          </w:tcPr>
          <w:p>
            <w:pPr>
              <w:spacing w:before="50" w:after="50"/>
              <w:jc w:val="left"/>
            </w:pPr>
          </w:p>
        </w:tc>
        <w:tc>
          <w:tcPr>
            <w:tcW w:type="dxa" w:w="2592"/>
            <w:vAlign w:val="center"/>
          </w:tcPr>
          <w:p>
            <w:pPr>
              <w:spacing w:before="50" w:after="50"/>
              <w:jc w:val="left"/>
            </w:pPr>
            <w:r>
              <w:rPr>
                <w:rFonts w:ascii="Times New Roman" w:hAnsi="Times New Roman"/>
                <w:i w:val="0"/>
                <w:sz w:val="18"/>
              </w:rPr>
              <w:t>Spatial Coordinate Extent (</w:t>
            </w:r>
            <m:oMath>
              <m:r>
                <m:t>x</m:t>
              </m:r>
            </m:oMath>
            <w:r>
              <w:rPr>
                <w:rFonts w:ascii="Times New Roman" w:hAnsi="Times New Roman"/>
                <w:i w:val="0"/>
                <w:sz w:val="18"/>
              </w:rPr>
              <w:t>)</w:t>
            </w:r>
          </w:p>
        </w:tc>
        <w:tc>
          <w:tcPr>
            <w:tcW w:type="dxa" w:w="1584"/>
            <w:vAlign w:val="center"/>
          </w:tcPr>
          <w:p>
            <w:pPr>
              <w:spacing w:before="50" w:after="50"/>
              <w:jc w:val="center"/>
            </w:pPr>
            <m:oMath>
              <m:d>
                <m:dPr>
                  <m:begChr m:val="["/>
                  <m:sepChr m:val=""/>
                  <m:endChr m:val="]"/>
                </m:dPr>
                <m:e>
                  <m:r>
                    <m:t>−</m:t>
                  </m:r>
                  <m:r>
                    <m:t>4.0</m:t>
                  </m:r>
                  <m:r>
                    <m:t>,</m:t>
                  </m:r>
                  <m:r>
                    <m:t>+</m:t>
                  </m:r>
                  <m:r>
                    <m:t>4.0</m:t>
                  </m:r>
                </m:e>
              </m:d>
            </m:oMath>
          </w:p>
        </w:tc>
        <w:tc>
          <w:tcPr>
            <w:tcW w:type="dxa" w:w="2880"/>
            <w:vAlign w:val="center"/>
          </w:tcPr>
          <w:p>
            <w:pPr>
              <w:spacing w:before="50" w:after="50"/>
              <w:jc w:val="left"/>
            </w:pPr>
            <w:r>
              <w:rPr>
                <w:rFonts w:ascii="Times New Roman" w:hAnsi="Times New Roman"/>
                <w:i w:val="0"/>
                <w:sz w:val="18"/>
              </w:rPr>
              <w:t>Spatial Cauchy hypersurface bounds</w:t>
            </w:r>
          </w:p>
        </w:tc>
      </w:tr>
      <w:tr>
        <w:tc>
          <w:tcPr>
            <w:tcW w:type="dxa" w:w="1872"/>
            <w:vAlign w:val="center"/>
          </w:tcPr>
          <w:p>
            <w:pPr>
              <w:spacing w:before="50" w:after="50"/>
              <w:jc w:val="left"/>
            </w:pPr>
          </w:p>
        </w:tc>
        <w:tc>
          <w:tcPr>
            <w:tcW w:type="dxa" w:w="2592"/>
            <w:vAlign w:val="center"/>
          </w:tcPr>
          <w:p>
            <w:pPr>
              <w:spacing w:before="50" w:after="50"/>
              <w:jc w:val="left"/>
            </w:pPr>
            <w:r>
              <w:rPr>
                <w:rFonts w:ascii="Times New Roman" w:hAnsi="Times New Roman"/>
                <w:i w:val="0"/>
                <w:sz w:val="18"/>
              </w:rPr>
              <w:t>Temporal Coordinate Extent (</w:t>
            </w:r>
            <m:oMath>
              <m:r>
                <m:t>t</m:t>
              </m:r>
            </m:oMath>
            <w:r>
              <w:rPr>
                <w:rFonts w:ascii="Times New Roman" w:hAnsi="Times New Roman"/>
                <w:i w:val="0"/>
                <w:sz w:val="18"/>
              </w:rPr>
              <w:t>)</w:t>
            </w:r>
          </w:p>
        </w:tc>
        <w:tc>
          <w:tcPr>
            <w:tcW w:type="dxa" w:w="1584"/>
            <w:vAlign w:val="center"/>
          </w:tcPr>
          <w:p>
            <w:pPr>
              <w:spacing w:before="50" w:after="50"/>
              <w:jc w:val="center"/>
            </w:pPr>
            <m:oMath>
              <m:d>
                <m:dPr>
                  <m:begChr m:val="["/>
                  <m:sepChr m:val=""/>
                  <m:endChr m:val="]"/>
                </m:dPr>
                <m:e>
                  <m:r>
                    <m:t>0.0</m:t>
                  </m:r>
                  <m:r>
                    <m:t>,</m:t>
                  </m:r>
                  <m:r>
                    <m:t>+</m:t>
                  </m:r>
                  <m:r>
                    <m:t>4.0</m:t>
                  </m:r>
                </m:e>
              </m:d>
            </m:oMath>
          </w:p>
        </w:tc>
        <w:tc>
          <w:tcPr>
            <w:tcW w:type="dxa" w:w="2880"/>
            <w:vAlign w:val="center"/>
          </w:tcPr>
          <w:p>
            <w:pPr>
              <w:spacing w:before="50" w:after="50"/>
              <w:jc w:val="left"/>
            </w:pPr>
            <w:r>
              <w:rPr>
                <w:rFonts w:ascii="Times New Roman" w:hAnsi="Times New Roman"/>
                <w:i w:val="0"/>
                <w:sz w:val="18"/>
              </w:rPr>
              <w:t>Global hyperbolic time evolution interval</w:t>
            </w:r>
          </w:p>
        </w:tc>
      </w:tr>
      <w:tr>
        <w:tc>
          <w:tcPr>
            <w:tcW w:type="dxa" w:w="1872"/>
            <w:vAlign w:val="center"/>
          </w:tcPr>
          <w:p>
            <w:pPr>
              <w:spacing w:before="50" w:after="50"/>
              <w:jc w:val="left"/>
            </w:pPr>
          </w:p>
        </w:tc>
        <w:tc>
          <w:tcPr>
            <w:tcW w:type="dxa" w:w="2592"/>
            <w:vAlign w:val="center"/>
          </w:tcPr>
          <w:p>
            <w:pPr>
              <w:spacing w:before="50" w:after="50"/>
              <w:jc w:val="left"/>
            </w:pPr>
            <w:r>
              <w:rPr>
                <w:rFonts w:ascii="Times New Roman" w:hAnsi="Times New Roman"/>
                <w:i w:val="0"/>
                <w:sz w:val="18"/>
              </w:rPr>
              <w:t>Directed Causal Edges (</w:t>
            </w:r>
            <m:oMath>
              <m:r>
                <m:t>E</m:t>
              </m:r>
            </m:oMath>
            <w:r>
              <w:rPr>
                <w:rFonts w:ascii="Times New Roman" w:hAnsi="Times New Roman"/>
                <w:i w:val="0"/>
                <w:sz w:val="18"/>
              </w:rPr>
              <w:t>)</w:t>
            </w:r>
          </w:p>
        </w:tc>
        <w:tc>
          <w:tcPr>
            <w:tcW w:type="dxa" w:w="1584"/>
            <w:vAlign w:val="center"/>
          </w:tcPr>
          <w:p>
            <w:pPr>
              <w:spacing w:before="50" w:after="50"/>
              <w:jc w:val="center"/>
            </w:pPr>
            <m:oMath>
              <m:r>
                <m:t>91,489</m:t>
              </m:r>
            </m:oMath>
            <w:r>
              <w:rPr>
                <w:rFonts w:ascii="Times New Roman" w:hAnsi="Times New Roman"/>
                <w:i w:val="0"/>
                <w:sz w:val="18"/>
              </w:rPr>
              <w:t xml:space="preserve"> links</w:t>
            </w:r>
          </w:p>
        </w:tc>
        <w:tc>
          <w:tcPr>
            <w:tcW w:type="dxa" w:w="2880"/>
            <w:vAlign w:val="center"/>
          </w:tcPr>
          <w:p>
            <w:pPr>
              <w:spacing w:before="50" w:after="50"/>
              <w:jc w:val="left"/>
            </w:pPr>
            <w:r>
              <w:rPr>
                <w:rFonts w:ascii="Times New Roman" w:hAnsi="Times New Roman"/>
                <w:i w:val="0"/>
                <w:sz w:val="18"/>
              </w:rPr>
              <w:t xml:space="preserve">Timelike connections satisfying </w:t>
            </w:r>
            <m:oMath>
              <m:r>
                <m:t>Δt&gt;0</m:t>
              </m:r>
            </m:oMath>
            <w:r>
              <w:rPr>
                <w:rFonts w:ascii="Times New Roman" w:hAnsi="Times New Roman"/>
                <w:i w:val="0"/>
                <w:sz w:val="18"/>
              </w:rPr>
              <w:t xml:space="preserve"> and </w:t>
            </w:r>
            <m:oMath>
              <m:r>
                <m:t>Δ</m:t>
              </m:r>
              <m:sSup>
                <m:e>
                  <m:r>
                    <m:t>s</m:t>
                  </m:r>
                </m:e>
                <m:sup>
                  <m:r>
                    <m:t>2</m:t>
                  </m:r>
                </m:sup>
              </m:sSup>
              <m:r>
                <m:t>&gt;0</m:t>
              </m:r>
            </m:oMath>
          </w:p>
        </w:tc>
      </w:tr>
      <w:tr>
        <w:tc>
          <w:tcPr>
            <w:tcW w:type="dxa" w:w="1872"/>
            <w:vAlign w:val="center"/>
          </w:tcPr>
          <w:p>
            <w:pPr>
              <w:spacing w:before="50" w:after="50"/>
              <w:jc w:val="left"/>
            </w:pPr>
            <w:r>
              <w:rPr>
                <w:rFonts w:ascii="Times New Roman" w:hAnsi="Times New Roman"/>
                <w:i w:val="0"/>
                <w:sz w:val="18"/>
              </w:rPr>
              <w:t>GNN-PINN Model</w:t>
            </w:r>
          </w:p>
        </w:tc>
        <w:tc>
          <w:tcPr>
            <w:tcW w:type="dxa" w:w="2592"/>
            <w:vAlign w:val="center"/>
          </w:tcPr>
          <w:p>
            <w:pPr>
              <w:spacing w:before="50" w:after="50"/>
              <w:jc w:val="left"/>
            </w:pPr>
            <w:r>
              <w:rPr>
                <w:rFonts w:ascii="Times New Roman" w:hAnsi="Times New Roman"/>
                <w:i w:val="0"/>
                <w:sz w:val="18"/>
              </w:rPr>
              <w:t>Hidden Layer Dimensions</w:t>
            </w:r>
          </w:p>
        </w:tc>
        <w:tc>
          <w:tcPr>
            <w:tcW w:type="dxa" w:w="1584"/>
            <w:vAlign w:val="center"/>
          </w:tcPr>
          <w:p>
            <w:pPr>
              <w:spacing w:before="50" w:after="50"/>
              <w:jc w:val="center"/>
            </w:pPr>
            <m:oMath>
              <m:d>
                <m:dPr>
                  <m:begChr m:val="["/>
                  <m:sepChr m:val=","/>
                  <m:endChr m:val="]"/>
                </m:dPr>
                <m:e>
                  <m:r>
                    <m:t>64</m:t>
                  </m:r>
                </m:e>
                <m:e>
                  <m:r>
                    <m:t>64</m:t>
                  </m:r>
                </m:e>
                <m:e>
                  <m:r>
                    <m:t>64</m:t>
                  </m:r>
                </m:e>
              </m:d>
            </m:oMath>
          </w:p>
        </w:tc>
        <w:tc>
          <w:tcPr>
            <w:tcW w:type="dxa" w:w="2880"/>
            <w:vAlign w:val="center"/>
          </w:tcPr>
          <w:p>
            <w:pPr>
              <w:spacing w:before="50" w:after="50"/>
              <w:jc w:val="left"/>
            </w:pPr>
            <w:r>
              <w:rPr>
                <w:rFonts w:ascii="Times New Roman" w:hAnsi="Times New Roman"/>
                <w:i w:val="0"/>
                <w:sz w:val="18"/>
              </w:rPr>
              <w:t>Multi-layer perceptron feature representation capacity</w:t>
            </w:r>
          </w:p>
        </w:tc>
      </w:tr>
      <w:tr>
        <w:tc>
          <w:tcPr>
            <w:tcW w:type="dxa" w:w="1872"/>
            <w:vAlign w:val="center"/>
          </w:tcPr>
          <w:p>
            <w:pPr>
              <w:spacing w:before="50" w:after="50"/>
              <w:jc w:val="left"/>
            </w:pPr>
          </w:p>
        </w:tc>
        <w:tc>
          <w:tcPr>
            <w:tcW w:type="dxa" w:w="2592"/>
            <w:vAlign w:val="center"/>
          </w:tcPr>
          <w:p>
            <w:pPr>
              <w:spacing w:before="50" w:after="50"/>
              <w:jc w:val="left"/>
            </w:pPr>
            <w:r>
              <w:rPr>
                <w:rFonts w:ascii="Times New Roman" w:hAnsi="Times New Roman"/>
                <w:i w:val="0"/>
                <w:sz w:val="18"/>
              </w:rPr>
              <w:t>Activation Function</w:t>
            </w:r>
          </w:p>
        </w:tc>
        <w:tc>
          <w:tcPr>
            <w:tcW w:type="dxa" w:w="1584"/>
            <w:vAlign w:val="center"/>
          </w:tcPr>
          <w:p>
            <w:pPr>
              <w:spacing w:before="50" w:after="50"/>
              <w:jc w:val="center"/>
            </w:pPr>
            <w:r>
              <w:rPr>
                <w:rFonts w:ascii="Times New Roman" w:hAnsi="Times New Roman"/>
                <w:i w:val="0"/>
                <w:sz w:val="18"/>
              </w:rPr>
              <w:t>tanh(z)</w:t>
            </w:r>
          </w:p>
        </w:tc>
        <w:tc>
          <w:tcPr>
            <w:tcW w:type="dxa" w:w="2880"/>
            <w:vAlign w:val="center"/>
          </w:tcPr>
          <w:p>
            <w:pPr>
              <w:spacing w:before="50" w:after="50"/>
              <w:jc w:val="left"/>
            </w:pPr>
            <w:r>
              <w:rPr>
                <w:rFonts w:ascii="Times New Roman" w:hAnsi="Times New Roman"/>
                <w:i w:val="0"/>
                <w:sz w:val="18"/>
              </w:rPr>
              <w:t>Infinitely differentiable activation for second-order Autograd</w:t>
            </w:r>
          </w:p>
        </w:tc>
      </w:tr>
      <w:tr>
        <w:tc>
          <w:tcPr>
            <w:tcW w:type="dxa" w:w="1872"/>
            <w:vAlign w:val="center"/>
          </w:tcPr>
          <w:p>
            <w:pPr>
              <w:spacing w:before="50" w:after="50"/>
              <w:jc w:val="left"/>
            </w:pPr>
          </w:p>
        </w:tc>
        <w:tc>
          <w:tcPr>
            <w:tcW w:type="dxa" w:w="2592"/>
            <w:vAlign w:val="center"/>
          </w:tcPr>
          <w:p>
            <w:pPr>
              <w:spacing w:before="50" w:after="50"/>
              <w:jc w:val="left"/>
            </w:pPr>
            <w:r>
              <w:rPr>
                <w:rFonts w:ascii="Times New Roman" w:hAnsi="Times New Roman"/>
                <w:i w:val="0"/>
                <w:sz w:val="18"/>
              </w:rPr>
              <w:t>Collocation Domain Points (</w:t>
            </w:r>
            <m:oMath>
              <m:sSub>
                <m:e>
                  <m:r>
                    <m:t>N</m:t>
                  </m:r>
                </m:e>
                <m:sub>
                  <m:r>
                    <m:t>d</m:t>
                  </m:r>
                </m:sub>
              </m:sSub>
            </m:oMath>
            <w:r>
              <w:rPr>
                <w:rFonts w:ascii="Times New Roman" w:hAnsi="Times New Roman"/>
                <w:i w:val="0"/>
                <w:sz w:val="18"/>
              </w:rPr>
              <w:t>)</w:t>
            </w:r>
          </w:p>
        </w:tc>
        <w:tc>
          <w:tcPr>
            <w:tcW w:type="dxa" w:w="1584"/>
            <w:vAlign w:val="center"/>
          </w:tcPr>
          <w:p>
            <w:pPr>
              <w:spacing w:before="50" w:after="50"/>
              <w:jc w:val="center"/>
            </w:pPr>
            <m:oMath>
              <m:r>
                <m:t>10,000</m:t>
              </m:r>
            </m:oMath>
            <w:r>
              <w:rPr>
                <w:rFonts w:ascii="Times New Roman" w:hAnsi="Times New Roman"/>
                <w:i w:val="0"/>
                <w:sz w:val="18"/>
              </w:rPr>
              <w:t xml:space="preserve"> points</w:t>
            </w:r>
          </w:p>
        </w:tc>
        <w:tc>
          <w:tcPr>
            <w:tcW w:type="dxa" w:w="2880"/>
            <w:vAlign w:val="center"/>
          </w:tcPr>
          <w:p>
            <w:pPr>
              <w:spacing w:before="50" w:after="50"/>
              <w:jc w:val="left"/>
            </w:pPr>
            <w:r>
              <w:rPr>
                <w:rFonts w:ascii="Times New Roman" w:hAnsi="Times New Roman"/>
                <w:i w:val="0"/>
                <w:sz w:val="18"/>
              </w:rPr>
              <w:t>Interior coordinates enforcing differential PDE residual</w:t>
            </w:r>
          </w:p>
        </w:tc>
      </w:tr>
      <w:tr>
        <w:tc>
          <w:tcPr>
            <w:tcW w:type="dxa" w:w="1872"/>
            <w:vAlign w:val="center"/>
          </w:tcPr>
          <w:p>
            <w:pPr>
              <w:spacing w:before="50" w:after="50"/>
              <w:jc w:val="left"/>
            </w:pPr>
          </w:p>
        </w:tc>
        <w:tc>
          <w:tcPr>
            <w:tcW w:type="dxa" w:w="2592"/>
            <w:vAlign w:val="center"/>
          </w:tcPr>
          <w:p>
            <w:pPr>
              <w:spacing w:before="50" w:after="50"/>
              <w:jc w:val="left"/>
            </w:pPr>
            <w:r>
              <w:rPr>
                <w:rFonts w:ascii="Times New Roman" w:hAnsi="Times New Roman"/>
                <w:i w:val="0"/>
                <w:sz w:val="18"/>
              </w:rPr>
              <w:t>Initial / Boundary Collocations</w:t>
            </w:r>
          </w:p>
        </w:tc>
        <w:tc>
          <w:tcPr>
            <w:tcW w:type="dxa" w:w="1584"/>
            <w:vAlign w:val="center"/>
          </w:tcPr>
          <w:p>
            <w:pPr>
              <w:spacing w:before="50" w:after="50"/>
              <w:jc w:val="center"/>
            </w:pPr>
            <m:oMath>
              <m:r>
                <m:t>1,000/1,000</m:t>
              </m:r>
            </m:oMath>
          </w:p>
        </w:tc>
        <w:tc>
          <w:tcPr>
            <w:tcW w:type="dxa" w:w="2880"/>
            <w:vAlign w:val="center"/>
          </w:tcPr>
          <w:p>
            <w:pPr>
              <w:spacing w:before="50" w:after="50"/>
              <w:jc w:val="left"/>
            </w:pPr>
            <w:r>
              <w:rPr>
                <w:rFonts w:ascii="Times New Roman" w:hAnsi="Times New Roman"/>
                <w:i w:val="0"/>
                <w:sz w:val="18"/>
              </w:rPr>
              <w:t>Coordinates enforcing Cauchy boundary and initial conditions</w:t>
            </w:r>
          </w:p>
        </w:tc>
      </w:tr>
      <w:tr>
        <w:tc>
          <w:tcPr>
            <w:tcW w:type="dxa" w:w="1872"/>
            <w:vAlign w:val="center"/>
          </w:tcPr>
          <w:p>
            <w:pPr>
              <w:spacing w:before="50" w:after="50"/>
              <w:jc w:val="left"/>
            </w:pPr>
          </w:p>
        </w:tc>
        <w:tc>
          <w:tcPr>
            <w:tcW w:type="dxa" w:w="2592"/>
            <w:vAlign w:val="center"/>
          </w:tcPr>
          <w:p>
            <w:pPr>
              <w:spacing w:before="50" w:after="50"/>
              <w:jc w:val="left"/>
            </w:pPr>
            <w:r>
              <w:rPr>
                <w:rFonts w:ascii="Times New Roman" w:hAnsi="Times New Roman"/>
                <w:i w:val="0"/>
                <w:sz w:val="18"/>
              </w:rPr>
              <w:t>Optimizer &amp; Scheduler</w:t>
            </w:r>
          </w:p>
        </w:tc>
        <w:tc>
          <w:tcPr>
            <w:tcW w:type="dxa" w:w="1584"/>
            <w:vAlign w:val="center"/>
          </w:tcPr>
          <w:p>
            <w:pPr>
              <w:spacing w:before="50" w:after="50"/>
              <w:jc w:val="center"/>
            </w:pPr>
            <w:r>
              <w:rPr>
                <w:rFonts w:ascii="Times New Roman" w:hAnsi="Times New Roman"/>
                <w:i w:val="0"/>
                <w:sz w:val="18"/>
              </w:rPr>
              <w:t>Adam + Cosine</w:t>
            </w:r>
          </w:p>
        </w:tc>
        <w:tc>
          <w:tcPr>
            <w:tcW w:type="dxa" w:w="2880"/>
            <w:vAlign w:val="center"/>
          </w:tcPr>
          <w:p>
            <w:pPr>
              <w:spacing w:before="50" w:after="50"/>
              <w:jc w:val="left"/>
            </w:pPr>
            <w:r>
              <w:rPr>
                <w:rFonts w:ascii="Times New Roman" w:hAnsi="Times New Roman"/>
                <w:i w:val="0"/>
                <w:sz w:val="18"/>
              </w:rPr>
              <w:t xml:space="preserve">Initial rate </w:t>
            </w:r>
            <m:oMath>
              <m:r>
                <m:t>1×</m:t>
              </m:r>
              <m:sSup>
                <m:e>
                  <m:r>
                    <m:t>10</m:t>
                  </m:r>
                </m:e>
                <m:sup>
                  <m:r>
                    <m:t>−3</m:t>
                  </m:r>
                </m:sup>
              </m:sSup>
            </m:oMath>
            <w:r>
              <w:rPr>
                <w:rFonts w:ascii="Times New Roman" w:hAnsi="Times New Roman"/>
                <w:i w:val="0"/>
                <w:sz w:val="18"/>
              </w:rPr>
              <w:t xml:space="preserve">, decaying to </w:t>
            </w:r>
            <m:oMath>
              <m:r>
                <m:t>1×</m:t>
              </m:r>
              <m:sSup>
                <m:e>
                  <m:r>
                    <m:t>10</m:t>
                  </m:r>
                </m:e>
                <m:sup>
                  <m:r>
                    <m:t>−5</m:t>
                  </m:r>
                </m:sup>
              </m:sSup>
            </m:oMath>
            <w:r>
              <w:rPr>
                <w:rFonts w:ascii="Times New Roman" w:hAnsi="Times New Roman"/>
                <w:i w:val="0"/>
                <w:sz w:val="18"/>
              </w:rPr>
              <w:t xml:space="preserve"> over training</w:t>
            </w:r>
          </w:p>
        </w:tc>
      </w:tr>
      <w:tr>
        <w:tc>
          <w:tcPr>
            <w:tcW w:type="dxa" w:w="1872"/>
            <w:vAlign w:val="center"/>
          </w:tcPr>
          <w:p>
            <w:pPr>
              <w:spacing w:before="50" w:after="50"/>
              <w:jc w:val="left"/>
            </w:pPr>
          </w:p>
        </w:tc>
        <w:tc>
          <w:tcPr>
            <w:tcW w:type="dxa" w:w="2592"/>
            <w:vAlign w:val="center"/>
          </w:tcPr>
          <w:p>
            <w:pPr>
              <w:spacing w:before="50" w:after="50"/>
              <w:jc w:val="left"/>
            </w:pPr>
            <w:r>
              <w:rPr>
                <w:rFonts w:ascii="Times New Roman" w:hAnsi="Times New Roman"/>
                <w:i w:val="0"/>
                <w:sz w:val="18"/>
              </w:rPr>
              <w:t>Compute Infrastructure</w:t>
            </w:r>
          </w:p>
        </w:tc>
        <w:tc>
          <w:tcPr>
            <w:tcW w:type="dxa" w:w="1584"/>
            <w:vAlign w:val="center"/>
          </w:tcPr>
          <w:p>
            <w:pPr>
              <w:spacing w:before="50" w:after="50"/>
              <w:jc w:val="center"/>
            </w:pPr>
            <w:r>
              <w:rPr>
                <w:rFonts w:ascii="Times New Roman" w:hAnsi="Times New Roman"/>
                <w:i w:val="0"/>
                <w:sz w:val="18"/>
              </w:rPr>
              <w:t>NVIDIA L40S</w:t>
            </w:r>
          </w:p>
        </w:tc>
        <w:tc>
          <w:tcPr>
            <w:tcW w:type="dxa" w:w="2880"/>
            <w:vAlign w:val="center"/>
          </w:tcPr>
          <w:p>
            <w:pPr>
              <w:spacing w:before="50" w:after="50"/>
              <w:jc w:val="left"/>
            </w:pPr>
            <w:r>
              <w:rPr>
                <w:rFonts w:ascii="Times New Roman" w:hAnsi="Times New Roman"/>
                <w:i w:val="0"/>
                <w:sz w:val="18"/>
              </w:rPr>
              <w:t>Dedicated enterprise GPU with 48 GB GDDR6 ECC memory</w:t>
            </w:r>
          </w:p>
        </w:tc>
      </w:tr>
    </w:tbl>
    <w:p>
      <w:pPr>
        <w:spacing w:before="0" w:after="120"/>
      </w:pPr>
    </w:p>
    <w:p>
      <w:pPr>
        <w:spacing w:after="120" w:line="276" w:lineRule="auto"/>
        <w:jc w:val="both"/>
      </w:pPr>
      <w:r>
        <w:rPr>
          <w:rFonts w:ascii="Times New Roman" w:hAnsi="Times New Roman"/>
          <w:i w:val="0"/>
          <w:sz w:val="22"/>
        </w:rPr>
        <w:t xml:space="preserve">As compiled in Table 1, the simulation parameters are deliberately scaled to maintain mathematical fidelity while permitting exhaustive verification on enterprise compute hardware. The microscopic spin chain with </w:t>
      </w:r>
      <m:oMath>
        <m:r>
          <m:t>L=6</m:t>
        </m:r>
      </m:oMath>
      <w:r>
        <w:rPr>
          <w:rFonts w:ascii="Times New Roman" w:hAnsi="Times New Roman"/>
          <w:i w:val="0"/>
          <w:sz w:val="22"/>
        </w:rPr>
        <w:t xml:space="preserve"> sites yields an operator Hilbert space of dimension 4096, which is sufficiently large to observe linear Lanczos growth up to high basis indices while avoiding severe numerical roundoff in the Gram-Schmidt orthogonalization steps. Similarly, the selection of 800 Poisson events generates 91,489 directed causal links, yielding an average node degree of approximately 114 that ensures dense coverage of the forward lightcone without precipitating GPU out-of-memory errors during dense matrix multiplications.</w:t>
      </w:r>
    </w:p>
    <w:p>
      <w:pPr>
        <w:keepNext/>
        <w:spacing w:before="200" w:after="80"/>
      </w:pPr>
      <w:r>
        <w:rPr>
          <w:rFonts w:ascii="Times New Roman" w:hAnsi="Times New Roman"/>
          <w:b/>
          <w:color w:val="1F497D"/>
          <w:sz w:val="24"/>
        </w:rPr>
        <w:t>2.1 Microscopic Quantum Lattice and Liouvillian Dissipative Dynamics</w:t>
      </w:r>
    </w:p>
    <w:p>
      <w:pPr>
        <w:spacing w:after="120" w:line="276" w:lineRule="auto"/>
        <w:jc w:val="both"/>
      </w:pPr>
      <w:r>
        <w:rPr>
          <w:rFonts w:ascii="Times New Roman" w:hAnsi="Times New Roman"/>
          <w:i w:val="0"/>
          <w:sz w:val="22"/>
        </w:rPr>
        <w:t>The quantum microstate is initialized on a one-dimensional spin-</w:t>
      </w:r>
      <m:oMath>
        <m:f>
          <m:fPr>
            <m:type m:val="lin"/>
          </m:fPr>
          <m:num>
            <m:r>
              <m:t>1</m:t>
            </m:r>
          </m:num>
          <m:den>
            <m:r>
              <m:t>2</m:t>
            </m:r>
          </m:den>
        </m:f>
      </m:oMath>
      <w:r>
        <w:rPr>
          <w:rFonts w:ascii="Times New Roman" w:hAnsi="Times New Roman"/>
          <w:i w:val="0"/>
          <w:sz w:val="22"/>
        </w:rPr>
        <w:t xml:space="preserve"> lattice of length </w:t>
      </w:r>
      <m:oMath>
        <m:r>
          <m:t>L</m:t>
        </m:r>
      </m:oMath>
      <w:r>
        <w:rPr>
          <w:rFonts w:ascii="Times New Roman" w:hAnsi="Times New Roman"/>
          <w:i w:val="0"/>
          <w:sz w:val="22"/>
        </w:rPr>
        <w:t xml:space="preserve"> governed by the mixed-field ferromagnetic Ising Hamiltonian:</w:t>
      </w:r>
    </w:p>
    <w:p>
      <w:pPr>
        <w:spacing w:before="100" w:after="100" w:line="240" w:lineRule="auto"/>
        <w:jc w:val="both"/>
        <w:tabs>
          <w:tab w:val="center" w:pos="4514"/>
          <w:tab w:val="right" w:pos="9028"/>
        </w:tabs>
      </w:pPr>
      <w:r>
        <w:tab/>
      </w:r>
      <m:oMath>
        <m:r>
          <m:t>H=−J</m:t>
        </m:r>
        <m:nary>
          <m:naryPr>
            <m:chr m:val="∑"/>
            <m:limLoc m:val="subSup"/>
            <m:grow m:val="1"/>
            <m:subHide m:val="off"/>
            <m:supHide m:val="off"/>
          </m:naryPr>
          <m:sub>
            <m:r>
              <m:t>i=1</m:t>
            </m:r>
          </m:sub>
          <m:sup>
            <m:r>
              <m:t>L−1</m:t>
            </m:r>
          </m:sup>
          <m:e>
            <m:sSubSup>
              <m:e>
                <m:r>
                  <m:t>σ</m:t>
                </m:r>
              </m:e>
              <m:sub>
                <m:r>
                  <m:t>i</m:t>
                </m:r>
              </m:sub>
              <m:sup>
                <m:r>
                  <m:t>z</m:t>
                </m:r>
              </m:sup>
            </m:sSubSup>
          </m:e>
        </m:nary>
        <m:sSubSup>
          <m:e>
            <m:r>
              <m:t>σ</m:t>
            </m:r>
          </m:e>
          <m:sub>
            <m:r>
              <m:t>i+1</m:t>
            </m:r>
          </m:sub>
          <m:sup>
            <m:r>
              <m:t>z</m:t>
            </m:r>
          </m:sup>
        </m:sSubSup>
        <m:r>
          <m:t>−</m:t>
        </m:r>
        <m:sSub>
          <m:e>
            <m:r>
              <m:t>h</m:t>
            </m:r>
          </m:e>
          <m:sub>
            <m:r>
              <m:t>x</m:t>
            </m:r>
          </m:sub>
        </m:sSub>
        <m:nary>
          <m:naryPr>
            <m:chr m:val="∑"/>
            <m:limLoc m:val="subSup"/>
            <m:grow m:val="1"/>
            <m:subHide m:val="off"/>
            <m:supHide m:val="off"/>
          </m:naryPr>
          <m:sub>
            <m:r>
              <m:t>i=1</m:t>
            </m:r>
          </m:sub>
          <m:sup>
            <m:r>
              <m:t>L</m:t>
            </m:r>
          </m:sup>
          <m:e>
            <m:sSubSup>
              <m:e>
                <m:r>
                  <m:t>σ</m:t>
                </m:r>
              </m:e>
              <m:sub>
                <m:r>
                  <m:t>i</m:t>
                </m:r>
              </m:sub>
              <m:sup>
                <m:r>
                  <m:t>x</m:t>
                </m:r>
              </m:sup>
            </m:sSubSup>
          </m:e>
        </m:nary>
        <m:r>
          <m:t>−</m:t>
        </m:r>
        <m:sSub>
          <m:e>
            <m:r>
              <m:t>h</m:t>
            </m:r>
          </m:e>
          <m:sub>
            <m:r>
              <m:t>z</m:t>
            </m:r>
          </m:sub>
        </m:sSub>
        <m:nary>
          <m:naryPr>
            <m:chr m:val="∑"/>
            <m:limLoc m:val="subSup"/>
            <m:grow m:val="1"/>
            <m:subHide m:val="off"/>
            <m:supHide m:val="off"/>
          </m:naryPr>
          <m:sub>
            <m:r>
              <m:t>i=1</m:t>
            </m:r>
          </m:sub>
          <m:sup>
            <m:r>
              <m:t>L</m:t>
            </m:r>
          </m:sup>
          <m:e>
            <m:sSubSup>
              <m:e>
                <m:r>
                  <m:t>σ</m:t>
                </m:r>
              </m:e>
              <m:sub>
                <m:r>
                  <m:t>i</m:t>
                </m:r>
              </m:sub>
              <m:sup>
                <m:r>
                  <m:t>z</m:t>
                </m:r>
              </m:sup>
            </m:sSubSup>
          </m:e>
        </m:nary>
      </m:oMath>
      <w:r>
        <w:rPr>
          <w:rFonts w:ascii="Times New Roman" w:hAnsi="Times New Roman"/>
          <w:b w:val="0"/>
          <w:sz w:val="22"/>
        </w:rPr>
        <w:tab/>
        <w:t>(1)</w:t>
      </w:r>
    </w:p>
    <w:p>
      <w:pPr>
        <w:spacing w:after="120" w:line="276" w:lineRule="auto"/>
        <w:jc w:val="both"/>
      </w:pPr>
      <w:r>
        <w:rPr>
          <w:rFonts w:ascii="Times New Roman" w:hAnsi="Times New Roman"/>
          <w:i w:val="0"/>
          <w:sz w:val="22"/>
        </w:rPr>
        <w:t xml:space="preserve">where </w:t>
      </w:r>
      <m:oMath>
        <m:sSubSup>
          <m:e>
            <m:r>
              <m:t>σ</m:t>
            </m:r>
          </m:e>
          <m:sub>
            <m:r>
              <m:t>i</m:t>
            </m:r>
          </m:sub>
          <m:sup>
            <m:r>
              <m:t>x,y,z</m:t>
            </m:r>
          </m:sup>
        </m:sSubSup>
      </m:oMath>
      <w:r>
        <w:rPr>
          <w:rFonts w:ascii="Times New Roman" w:hAnsi="Times New Roman"/>
          <w:i w:val="0"/>
          <w:sz w:val="22"/>
        </w:rPr>
        <w:t xml:space="preserve"> denote the standard Pauli spin operators acting on site </w:t>
      </w:r>
      <m:oMath>
        <m:r>
          <m:t>i</m:t>
        </m:r>
      </m:oMath>
      <w:r>
        <w:rPr>
          <w:rFonts w:ascii="Times New Roman" w:hAnsi="Times New Roman"/>
          <w:i w:val="0"/>
          <w:sz w:val="22"/>
        </w:rPr>
        <w:t xml:space="preserve">. When </w:t>
      </w:r>
      <m:oMath>
        <m:sSub>
          <m:e>
            <m:r>
              <m:t>h</m:t>
            </m:r>
          </m:e>
          <m:sub>
            <m:r>
              <m:t>z</m:t>
            </m:r>
          </m:sub>
        </m:sSub>
        <m:r>
          <m:t>=0</m:t>
        </m:r>
      </m:oMath>
      <w:r>
        <w:rPr>
          <w:rFonts w:ascii="Times New Roman" w:hAnsi="Times New Roman"/>
          <w:i w:val="0"/>
          <w:sz w:val="22"/>
        </w:rPr>
        <w:t xml:space="preserve">, the system reduces to the transverse-field Ising model, which is analytically integrable via the Jordan-Wigner transformation. Setting </w:t>
      </w:r>
      <m:oMath>
        <m:r>
          <m:t>J=1.0</m:t>
        </m:r>
      </m:oMath>
      <w:r>
        <w:rPr>
          <w:rFonts w:ascii="Times New Roman" w:hAnsi="Times New Roman"/>
          <w:i w:val="0"/>
          <w:sz w:val="22"/>
        </w:rPr>
        <w:t xml:space="preserve">, </w:t>
      </w:r>
      <m:oMath>
        <m:sSub>
          <m:e>
            <m:r>
              <m:t>h</m:t>
            </m:r>
          </m:e>
          <m:sub>
            <m:r>
              <m:t>x</m:t>
            </m:r>
          </m:sub>
        </m:sSub>
        <m:r>
          <m:t>=1.05</m:t>
        </m:r>
      </m:oMath>
      <w:r>
        <w:rPr>
          <w:rFonts w:ascii="Times New Roman" w:hAnsi="Times New Roman"/>
          <w:i w:val="0"/>
          <w:sz w:val="22"/>
        </w:rPr>
        <w:t xml:space="preserve">, and </w:t>
      </w:r>
      <m:oMath>
        <m:sSub>
          <m:e>
            <m:r>
              <m:t>h</m:t>
            </m:r>
          </m:e>
          <m:sub>
            <m:r>
              <m:t>z</m:t>
            </m:r>
          </m:sub>
        </m:sSub>
        <m:r>
          <m:t>=0.50</m:t>
        </m:r>
      </m:oMath>
      <w:r>
        <w:rPr>
          <w:rFonts w:ascii="Times New Roman" w:hAnsi="Times New Roman"/>
          <w:i w:val="0"/>
          <w:sz w:val="22"/>
        </w:rPr>
        <w:t xml:space="preserve"> introduces non-integrable quantum chaos, which thermalizes local observables and initiates universal operator growth.</w:t>
      </w:r>
    </w:p>
    <w:p>
      <w:pPr>
        <w:spacing w:after="120" w:line="276" w:lineRule="auto"/>
        <w:jc w:val="both"/>
      </w:pPr>
      <w:r>
        <w:rPr>
          <w:rFonts w:ascii="Times New Roman" w:hAnsi="Times New Roman"/>
          <w:i w:val="0"/>
          <w:sz w:val="22"/>
        </w:rPr>
        <w:t xml:space="preserve">To break time-reversal symmetry and establish an irreversible physical arrow of time, the spin chain is coupled to a Markovian environment. The time evolution of an observable </w:t>
      </w:r>
      <m:oMath>
        <m:r>
          <m:t>O(t)</m:t>
        </m:r>
      </m:oMath>
      <w:r>
        <w:rPr>
          <w:rFonts w:ascii="Times New Roman" w:hAnsi="Times New Roman"/>
          <w:i w:val="0"/>
          <w:sz w:val="22"/>
        </w:rPr>
        <w:t xml:space="preserve"> in the Heisenberg picture is governed by the adjoint Lindblad master equation:</w:t>
      </w:r>
    </w:p>
    <w:p>
      <w:pPr>
        <w:spacing w:before="100" w:after="100" w:line="240" w:lineRule="auto"/>
        <w:jc w:val="both"/>
        <w:tabs>
          <w:tab w:val="center" w:pos="4514"/>
          <w:tab w:val="right" w:pos="9028"/>
        </w:tabs>
      </w:pPr>
      <w:r>
        <w:tab/>
      </w:r>
      <m:oMath>
        <m:f>
          <m:fPr>
            <m:type m:val="bar"/>
          </m:fPr>
          <m:num>
            <m:r>
              <m:t>dO</m:t>
            </m:r>
          </m:num>
          <m:den>
            <m:r>
              <m:t>dt</m:t>
            </m:r>
          </m:den>
        </m:f>
        <m:r>
          <m:t>=ℒ(O)=i[H,O]+</m:t>
        </m:r>
        <m:nary>
          <m:naryPr>
            <m:chr m:val="∑"/>
            <m:limLoc m:val="subSup"/>
            <m:grow m:val="1"/>
            <m:subHide m:val="off"/>
            <m:supHide m:val="on"/>
          </m:naryPr>
          <m:sub>
            <m:r>
              <m:t>k</m:t>
            </m:r>
          </m:sub>
          <m:sup/>
          <m:e>
            <m:sSub>
              <m:e>
                <m:r>
                  <m:t>γ</m:t>
                </m:r>
              </m:e>
              <m:sub>
                <m:r>
                  <m:t>k</m:t>
                </m:r>
              </m:sub>
            </m:sSub>
          </m:e>
        </m:nary>
        <m:r>
          <m:t>(</m:t>
        </m:r>
        <m:sSubSup>
          <m:e>
            <m:r>
              <m:t>L</m:t>
            </m:r>
          </m:e>
          <m:sub>
            <m:r>
              <m:t>k</m:t>
            </m:r>
          </m:sub>
          <m:sup>
            <m:r>
              <m:t>†</m:t>
            </m:r>
          </m:sup>
        </m:sSubSup>
        <m:r>
          <m:t>O</m:t>
        </m:r>
        <m:sSub>
          <m:e>
            <m:r>
              <m:t>L</m:t>
            </m:r>
          </m:e>
          <m:sub>
            <m:r>
              <m:t>k</m:t>
            </m:r>
          </m:sub>
        </m:sSub>
        <m:r>
          <m:t>−</m:t>
        </m:r>
        <m:f>
          <m:fPr>
            <m:type m:val="bar"/>
          </m:fPr>
          <m:num>
            <m:r>
              <m:t>1</m:t>
            </m:r>
          </m:num>
          <m:den>
            <m:r>
              <m:t>2</m:t>
            </m:r>
          </m:den>
        </m:f>
        <m:r>
          <m:t>{</m:t>
        </m:r>
        <m:sSubSup>
          <m:e>
            <m:r>
              <m:t>L</m:t>
            </m:r>
          </m:e>
          <m:sub>
            <m:r>
              <m:t>k</m:t>
            </m:r>
          </m:sub>
          <m:sup>
            <m:r>
              <m:t>†</m:t>
            </m:r>
          </m:sup>
        </m:sSubSup>
        <m:sSub>
          <m:e>
            <m:r>
              <m:t>L</m:t>
            </m:r>
          </m:e>
          <m:sub>
            <m:r>
              <m:t>k</m:t>
            </m:r>
          </m:sub>
        </m:sSub>
        <m:r>
          <m:t>,O})</m:t>
        </m:r>
      </m:oMath>
      <w:r>
        <w:rPr>
          <w:rFonts w:ascii="Times New Roman" w:hAnsi="Times New Roman"/>
          <w:b w:val="0"/>
          <w:sz w:val="22"/>
        </w:rPr>
        <w:tab/>
        <w:t>(2)</w:t>
      </w:r>
    </w:p>
    <w:p>
      <w:pPr>
        <w:spacing w:after="120" w:line="276" w:lineRule="auto"/>
        <w:jc w:val="both"/>
      </w:pPr>
      <w:r>
        <w:rPr>
          <w:rFonts w:ascii="Times New Roman" w:hAnsi="Times New Roman"/>
          <w:i w:val="0"/>
          <w:sz w:val="22"/>
        </w:rPr>
        <w:t xml:space="preserve">where </w:t>
      </w:r>
      <m:oMath>
        <m:r>
          <m:t>ℒ</m:t>
        </m:r>
      </m:oMath>
      <w:r>
        <w:rPr>
          <w:rFonts w:ascii="Times New Roman" w:hAnsi="Times New Roman"/>
          <w:i w:val="0"/>
          <w:sz w:val="22"/>
        </w:rPr>
        <w:t xml:space="preserve"> represents the Liouvillian super-operator, </w:t>
      </w:r>
      <m:oMath>
        <m:sSub>
          <m:e>
            <m:r>
              <m:t>γ</m:t>
            </m:r>
          </m:e>
          <m:sub>
            <m:r>
              <m:t>k</m:t>
            </m:r>
          </m:sub>
        </m:sSub>
      </m:oMath>
      <w:r>
        <w:rPr>
          <w:rFonts w:ascii="Times New Roman" w:hAnsi="Times New Roman"/>
          <w:i w:val="0"/>
          <w:sz w:val="22"/>
        </w:rPr>
        <w:t xml:space="preserve"> denotes the dissipation coupling strength, and </w:t>
      </w:r>
      <m:oMath>
        <m:sSub>
          <m:e>
            <m:r>
              <m:t>L</m:t>
            </m:r>
          </m:e>
          <m:sub>
            <m:r>
              <m:t>k</m:t>
            </m:r>
          </m:sub>
        </m:sSub>
        <m:r>
          <m:t>=</m:t>
        </m:r>
        <m:sSubSup>
          <m:e>
            <m:r>
              <m:t>σ</m:t>
            </m:r>
          </m:e>
          <m:sub>
            <m:r>
              <m:t>k</m:t>
            </m:r>
          </m:sub>
          <m:sup>
            <m:r>
              <m:t>z</m:t>
            </m:r>
          </m:sup>
        </m:sSubSup>
      </m:oMath>
      <w:r>
        <w:rPr>
          <w:rFonts w:ascii="Times New Roman" w:hAnsi="Times New Roman"/>
          <w:i w:val="0"/>
          <w:sz w:val="22"/>
        </w:rPr>
        <w:t xml:space="preserve"> are local dephasing jump operators. The super-operator </w:t>
      </w:r>
      <m:oMath>
        <m:r>
          <m:t>ℒ</m:t>
        </m:r>
      </m:oMath>
      <w:r>
        <w:rPr>
          <w:rFonts w:ascii="Times New Roman" w:hAnsi="Times New Roman"/>
          <w:i w:val="0"/>
          <w:sz w:val="22"/>
        </w:rPr>
        <w:t xml:space="preserve"> acts as a non-Hermitian generator of motion on the operator Hilbert space </w:t>
      </w:r>
      <m:oMath>
        <m:r>
          <m:t>𝒦</m:t>
        </m:r>
      </m:oMath>
      <w:r>
        <w:rPr>
          <w:rFonts w:ascii="Times New Roman" w:hAnsi="Times New Roman"/>
          <w:i w:val="0"/>
          <w:sz w:val="22"/>
        </w:rPr>
        <w:t>, ensuring that backward time propagation is mathematically non-unitary and non-invertible.</w:t>
      </w:r>
    </w:p>
    <w:p>
      <w:pPr>
        <w:keepNext/>
        <w:spacing w:before="200" w:after="80"/>
      </w:pPr>
      <w:r>
        <w:rPr>
          <w:rFonts w:ascii="Times New Roman" w:hAnsi="Times New Roman"/>
          <w:b/>
          <w:color w:val="1F497D"/>
          <w:sz w:val="24"/>
        </w:rPr>
        <w:t>2.2 Krylov Complexity and Operator Spread</w:t>
      </w:r>
    </w:p>
    <w:p>
      <w:pPr>
        <w:spacing w:after="120" w:line="276" w:lineRule="auto"/>
        <w:jc w:val="both"/>
      </w:pPr>
      <w:r>
        <w:rPr>
          <w:rFonts w:ascii="Times New Roman" w:hAnsi="Times New Roman"/>
          <w:i w:val="0"/>
          <w:sz w:val="22"/>
        </w:rPr>
        <w:t xml:space="preserve">To track the delocalization of quantum information, we equip the operator space </w:t>
      </w:r>
      <m:oMath>
        <m:r>
          <m:t>𝒦</m:t>
        </m:r>
      </m:oMath>
      <w:r>
        <w:rPr>
          <w:rFonts w:ascii="Times New Roman" w:hAnsi="Times New Roman"/>
          <w:i w:val="0"/>
          <w:sz w:val="22"/>
        </w:rPr>
        <w:t xml:space="preserve"> with the Frobenius-Hilbert-Schmidt inner product:</w:t>
      </w:r>
    </w:p>
    <w:p>
      <w:pPr>
        <w:spacing w:before="100" w:after="100" w:line="240" w:lineRule="auto"/>
        <w:jc w:val="both"/>
        <w:tabs>
          <w:tab w:val="center" w:pos="4514"/>
          <w:tab w:val="right" w:pos="9028"/>
        </w:tabs>
      </w:pPr>
      <w:r>
        <w:tab/>
      </w:r>
      <m:oMath>
        <m:d>
          <m:dPr>
            <m:sepChr m:val=""/>
          </m:dPr>
          <m:e>
            <m:r>
              <m:t>A</m:t>
            </m:r>
            <m:r>
              <m:t>,</m:t>
            </m:r>
            <m:r>
              <m:t>B</m:t>
            </m:r>
            <m:r>
              <m:t>)</m:t>
            </m:r>
            <m:r>
              <m:t>=</m:t>
            </m:r>
            <m:f>
              <m:fPr>
                <m:type m:val="bar"/>
              </m:fPr>
              <m:num>
                <m:r>
                  <m:t>1</m:t>
                </m:r>
              </m:num>
              <m:den>
                <m:r>
                  <m:rPr>
                    <m:sty m:val="p"/>
                  </m:rPr>
                  <m:t>dim</m:t>
                </m:r>
                <m:r>
                  <m:t>ℋ</m:t>
                </m:r>
              </m:den>
            </m:f>
            <m:r>
              <m:t>Tr</m:t>
            </m:r>
            <m:r>
              <m:t>(</m:t>
            </m:r>
            <m:sSup>
              <m:e>
                <m:r>
                  <m:t>A</m:t>
                </m:r>
              </m:e>
              <m:sup>
                <m:r>
                  <m:t>†</m:t>
                </m:r>
              </m:sup>
            </m:sSup>
            <m:r>
              <m:t>B</m:t>
            </m:r>
          </m:e>
        </m:d>
      </m:oMath>
      <w:r>
        <w:rPr>
          <w:rFonts w:ascii="Times New Roman" w:hAnsi="Times New Roman"/>
          <w:b w:val="0"/>
          <w:sz w:val="22"/>
        </w:rPr>
        <w:tab/>
        <w:t>(3)</w:t>
      </w:r>
    </w:p>
    <w:p>
      <w:pPr>
        <w:spacing w:after="120" w:line="276" w:lineRule="auto"/>
        <w:jc w:val="both"/>
      </w:pPr>
      <w:r>
        <w:rPr>
          <w:rFonts w:ascii="Times New Roman" w:hAnsi="Times New Roman"/>
          <w:i w:val="0"/>
          <w:sz w:val="22"/>
        </w:rPr>
        <w:t xml:space="preserve">Beginning with an initial localized seed operator </w:t>
      </w:r>
      <m:oMath>
        <m:sSub>
          <m:e>
            <m:r>
              <m:t>O</m:t>
            </m:r>
          </m:e>
          <m:sub>
            <m:r>
              <m:t>0</m:t>
            </m:r>
          </m:sub>
        </m:sSub>
        <m:r>
          <m:t>=</m:t>
        </m:r>
        <m:sSubSup>
          <m:e>
            <m:r>
              <m:t>σ</m:t>
            </m:r>
          </m:e>
          <m:sub>
            <m:r>
              <m:t>1</m:t>
            </m:r>
          </m:sub>
          <m:sup>
            <m:r>
              <m:t>z</m:t>
            </m:r>
          </m:sup>
        </m:sSubSup>
        <m:r>
          <m:t>/</m:t>
        </m:r>
        <m:rad>
          <m:radPr>
            <m:degHide m:val="on"/>
          </m:radPr>
          <m:deg/>
          <m:e>
            <m:r>
              <m:rPr>
                <m:sty m:val="p"/>
              </m:rPr>
              <m:t>dim</m:t>
            </m:r>
            <m:r>
              <m:t>ℋ</m:t>
            </m:r>
          </m:e>
        </m:rad>
      </m:oMath>
      <w:r>
        <w:rPr>
          <w:rFonts w:ascii="Times New Roman" w:hAnsi="Times New Roman"/>
          <w:i w:val="0"/>
          <w:sz w:val="22"/>
        </w:rPr>
        <w:t xml:space="preserve">, higher-order nested commutators under the Liouvillian generate the Krylov subspace </w:t>
      </w:r>
      <m:oMath>
        <m:sSub>
          <m:e>
            <m:r>
              <m:t>𝒦</m:t>
            </m:r>
          </m:e>
          <m:sub>
            <m:r>
              <m:t>M</m:t>
            </m:r>
          </m:sub>
        </m:sSub>
        <m:r>
          <m:t>=span{</m:t>
        </m:r>
        <m:sSub>
          <m:e>
            <m:r>
              <m:t>O</m:t>
            </m:r>
          </m:e>
          <m:sub>
            <m:r>
              <m:t>0</m:t>
            </m:r>
          </m:sub>
        </m:sSub>
        <m:r>
          <m:t>,ℒ(</m:t>
        </m:r>
        <m:sSub>
          <m:e>
            <m:r>
              <m:t>O</m:t>
            </m:r>
          </m:e>
          <m:sub>
            <m:r>
              <m:t>0</m:t>
            </m:r>
          </m:sub>
        </m:sSub>
        <m:r>
          <m:t>),</m:t>
        </m:r>
        <m:sSup>
          <m:e>
            <m:r>
              <m:t>ℒ</m:t>
            </m:r>
          </m:e>
          <m:sup>
            <m:r>
              <m:t>2</m:t>
            </m:r>
          </m:sup>
        </m:sSup>
        <m:r>
          <m:t>(</m:t>
        </m:r>
        <m:sSub>
          <m:e>
            <m:r>
              <m:t>O</m:t>
            </m:r>
          </m:e>
          <m:sub>
            <m:r>
              <m:t>0</m:t>
            </m:r>
          </m:sub>
        </m:sSub>
        <m:r>
          <m:t>),…,</m:t>
        </m:r>
        <m:sSup>
          <m:e>
            <m:r>
              <m:t>ℒ</m:t>
            </m:r>
          </m:e>
          <m:sup>
            <m:r>
              <m:t>M−1</m:t>
            </m:r>
          </m:sup>
        </m:sSup>
        <m:r>
          <m:t>(</m:t>
        </m:r>
        <m:sSub>
          <m:e>
            <m:r>
              <m:t>O</m:t>
            </m:r>
          </m:e>
          <m:sub>
            <m:r>
              <m:t>0</m:t>
            </m:r>
          </m:sub>
        </m:sSub>
        <m:r>
          <m:t>)}</m:t>
        </m:r>
      </m:oMath>
      <w:r>
        <w:rPr>
          <w:rFonts w:ascii="Times New Roman" w:hAnsi="Times New Roman"/>
          <w:i w:val="0"/>
          <w:sz w:val="22"/>
        </w:rPr>
        <w:t xml:space="preserve">. The Lanczos recursion algorithm constructs an orthonormal operator basis </w:t>
      </w:r>
      <m:oMath>
        <m:d>
          <m:dPr>
            <m:begChr m:val="{"/>
            <m:sepChr m:val=""/>
            <m:endChr m:val="}"/>
          </m:dPr>
          <m:e>
            <m:r>
              <m:t>|</m:t>
            </m:r>
            <m:sSub>
              <m:e>
                <m:r>
                  <m:t>O</m:t>
                </m:r>
              </m:e>
              <m:sub>
                <m:r>
                  <m:t>n</m:t>
                </m:r>
              </m:sub>
            </m:sSub>
            <m:r>
              <m:t>)</m:t>
            </m:r>
          </m:e>
        </m:d>
      </m:oMath>
      <w:r>
        <w:rPr>
          <w:rFonts w:ascii="Times New Roman" w:hAnsi="Times New Roman"/>
          <w:i w:val="0"/>
          <w:sz w:val="22"/>
        </w:rPr>
        <w:t xml:space="preserve"> via the iterative relations:</w:t>
      </w:r>
    </w:p>
    <w:p>
      <w:pPr>
        <w:spacing w:before="100" w:after="100" w:line="240" w:lineRule="auto"/>
        <w:jc w:val="both"/>
        <w:tabs>
          <w:tab w:val="center" w:pos="4514"/>
          <w:tab w:val="right" w:pos="9028"/>
        </w:tabs>
      </w:pPr>
      <w:r>
        <w:tab/>
      </w:r>
      <m:oMath>
        <m:sSub>
          <m:e>
            <m:r>
              <m:t>A</m:t>
            </m:r>
          </m:e>
          <m:sub>
            <m:r>
              <m:t>n+1</m:t>
            </m:r>
          </m:sub>
        </m:sSub>
        <m:r>
          <m:t>=ℒ|</m:t>
        </m:r>
        <m:sSub>
          <m:e>
            <m:r>
              <m:t>O</m:t>
            </m:r>
          </m:e>
          <m:sub>
            <m:r>
              <m:t>n</m:t>
            </m:r>
          </m:sub>
        </m:sSub>
        <m:r>
          <m:t>⟩−</m:t>
        </m:r>
        <m:sSub>
          <m:e>
            <m:r>
              <m:t>a</m:t>
            </m:r>
          </m:e>
          <m:sub>
            <m:r>
              <m:t>n</m:t>
            </m:r>
          </m:sub>
        </m:sSub>
        <m:r>
          <m:t>|</m:t>
        </m:r>
        <m:sSub>
          <m:e>
            <m:r>
              <m:t>O</m:t>
            </m:r>
          </m:e>
          <m:sub>
            <m:r>
              <m:t>n</m:t>
            </m:r>
          </m:sub>
        </m:sSub>
        <m:r>
          <m:t>⟩−</m:t>
        </m:r>
        <m:sSub>
          <m:e>
            <m:r>
              <m:t>b</m:t>
            </m:r>
          </m:e>
          <m:sub>
            <m:r>
              <m:t>n</m:t>
            </m:r>
          </m:sub>
        </m:sSub>
        <m:r>
          <m:t>|</m:t>
        </m:r>
        <m:sSub>
          <m:e>
            <m:r>
              <m:t>O</m:t>
            </m:r>
          </m:e>
          <m:sub>
            <m:r>
              <m:t>n−1</m:t>
            </m:r>
          </m:sub>
        </m:sSub>
        <m:r>
          <m:t>⟩</m:t>
        </m:r>
      </m:oMath>
      <w:r>
        <w:rPr>
          <w:rFonts w:ascii="Times New Roman" w:hAnsi="Times New Roman"/>
          <w:b w:val="0"/>
          <w:sz w:val="22"/>
        </w:rPr>
        <w:tab/>
        <w:t>(4)</w:t>
      </w:r>
    </w:p>
    <w:p>
      <w:pPr>
        <w:spacing w:before="100" w:after="100" w:line="240" w:lineRule="auto"/>
        <w:jc w:val="both"/>
        <w:tabs>
          <w:tab w:val="center" w:pos="4514"/>
          <w:tab w:val="right" w:pos="9028"/>
        </w:tabs>
      </w:pPr>
      <w:r>
        <w:tab/>
      </w:r>
      <m:oMath>
        <m:sSub>
          <m:e>
            <m:r>
              <m:t>b</m:t>
            </m:r>
          </m:e>
          <m:sub>
            <m:r>
              <m:t>n+1</m:t>
            </m:r>
          </m:sub>
        </m:sSub>
        <m:r>
          <m:t>=‖</m:t>
        </m:r>
        <m:sSub>
          <m:e>
            <m:r>
              <m:t>A</m:t>
            </m:r>
          </m:e>
          <m:sub>
            <m:r>
              <m:t>n+1</m:t>
            </m:r>
          </m:sub>
        </m:sSub>
        <m:r>
          <m:t>‖,</m:t>
        </m:r>
        <m:r>
          <m:t>|</m:t>
        </m:r>
        <m:sSub>
          <m:e>
            <m:r>
              <m:t>O</m:t>
            </m:r>
          </m:e>
          <m:sub>
            <m:r>
              <m:t>n+1</m:t>
            </m:r>
          </m:sub>
        </m:sSub>
        <m:r>
          <m:t>⟩=</m:t>
        </m:r>
        <m:f>
          <m:fPr>
            <m:type m:val="bar"/>
          </m:fPr>
          <m:num>
            <m:sSub>
              <m:e>
                <m:r>
                  <m:t>A</m:t>
                </m:r>
              </m:e>
              <m:sub>
                <m:r>
                  <m:t>n+1</m:t>
                </m:r>
              </m:sub>
            </m:sSub>
          </m:num>
          <m:den>
            <m:sSub>
              <m:e>
                <m:r>
                  <m:t>b</m:t>
                </m:r>
              </m:e>
              <m:sub>
                <m:r>
                  <m:t>n+1</m:t>
                </m:r>
              </m:sub>
            </m:sSub>
          </m:den>
        </m:f>
      </m:oMath>
      <w:r>
        <w:rPr>
          <w:rFonts w:ascii="Times New Roman" w:hAnsi="Times New Roman"/>
          <w:b w:val="0"/>
          <w:sz w:val="22"/>
        </w:rPr>
        <w:tab/>
        <w:t>(5)</w:t>
      </w:r>
    </w:p>
    <w:p>
      <w:pPr>
        <w:spacing w:after="120" w:line="276" w:lineRule="auto"/>
        <w:jc w:val="both"/>
      </w:pPr>
      <w:r>
        <w:rPr>
          <w:rFonts w:ascii="Times New Roman" w:hAnsi="Times New Roman"/>
          <w:i w:val="0"/>
          <w:sz w:val="22"/>
        </w:rPr>
        <w:t xml:space="preserve">where </w:t>
      </w:r>
      <m:oMath>
        <m:sSub>
          <m:e>
            <m:r>
              <m:t>a</m:t>
            </m:r>
          </m:e>
          <m:sub>
            <m:r>
              <m:t>n</m:t>
            </m:r>
          </m:sub>
        </m:sSub>
        <m:r>
          <m:t>=(</m:t>
        </m:r>
        <m:sSub>
          <m:e>
            <m:r>
              <m:t>O</m:t>
            </m:r>
          </m:e>
          <m:sub>
            <m:r>
              <m:t>n</m:t>
            </m:r>
          </m:sub>
        </m:sSub>
        <m:r>
          <m:t>|ℒ|</m:t>
        </m:r>
        <m:sSub>
          <m:e>
            <m:r>
              <m:t>O</m:t>
            </m:r>
          </m:e>
          <m:sub>
            <m:r>
              <m:t>n</m:t>
            </m:r>
          </m:sub>
        </m:sSub>
        <m:r>
          <m:t>)</m:t>
        </m:r>
      </m:oMath>
      <w:r>
        <w:rPr>
          <w:rFonts w:ascii="Times New Roman" w:hAnsi="Times New Roman"/>
          <w:i w:val="0"/>
          <w:sz w:val="22"/>
        </w:rPr>
        <w:t xml:space="preserve"> and </w:t>
      </w:r>
      <m:oMath>
        <m:sSub>
          <m:e>
            <m:r>
              <m:t>b</m:t>
            </m:r>
          </m:e>
          <m:sub>
            <m:r>
              <m:t>n</m:t>
            </m:r>
          </m:sub>
        </m:sSub>
      </m:oMath>
      <w:r>
        <w:rPr>
          <w:rFonts w:ascii="Times New Roman" w:hAnsi="Times New Roman"/>
          <w:i w:val="0"/>
          <w:sz w:val="22"/>
        </w:rPr>
        <w:t xml:space="preserve"> represent the Lanczos hopping coefficients, with initial conditions </w:t>
      </w:r>
      <m:oMath>
        <m:sSub>
          <m:e>
            <m:r>
              <m:t>b</m:t>
            </m:r>
          </m:e>
          <m:sub>
            <m:r>
              <m:t>0</m:t>
            </m:r>
          </m:sub>
        </m:sSub>
        <m:r>
          <m:t>=0</m:t>
        </m:r>
      </m:oMath>
      <w:r>
        <w:rPr>
          <w:rFonts w:ascii="Times New Roman" w:hAnsi="Times New Roman"/>
          <w:i w:val="0"/>
          <w:sz w:val="22"/>
        </w:rPr>
        <w:t xml:space="preserve"> and </w:t>
      </w:r>
      <m:oMath>
        <m:r>
          <m:t>|</m:t>
        </m:r>
        <m:sSub>
          <m:e>
            <m:r>
              <m:t>O</m:t>
            </m:r>
          </m:e>
          <m:sub>
            <m:r>
              <m:t>−1</m:t>
            </m:r>
          </m:sub>
        </m:sSub>
        <m:r>
          <m:t>)=0</m:t>
        </m:r>
      </m:oMath>
      <w:r>
        <w:rPr>
          <w:rFonts w:ascii="Times New Roman" w:hAnsi="Times New Roman"/>
          <w:i w:val="0"/>
          <w:sz w:val="22"/>
        </w:rPr>
        <w:t>. In this tridiagonal basis, the time-evolved operator expands as a coherent wavepacket:</w:t>
      </w:r>
    </w:p>
    <w:p>
      <w:pPr>
        <w:spacing w:before="100" w:after="100" w:line="240" w:lineRule="auto"/>
        <w:jc w:val="both"/>
        <w:tabs>
          <w:tab w:val="center" w:pos="4514"/>
          <w:tab w:val="right" w:pos="9028"/>
        </w:tabs>
      </w:pPr>
      <w:r>
        <w:tab/>
      </w:r>
      <m:oMath>
        <m:r>
          <m:t>|O(t)⟩=</m:t>
        </m:r>
        <m:nary>
          <m:naryPr>
            <m:chr m:val="∑"/>
            <m:limLoc m:val="subSup"/>
            <m:grow m:val="1"/>
            <m:subHide m:val="off"/>
            <m:supHide m:val="off"/>
          </m:naryPr>
          <m:sub>
            <m:r>
              <m:t>n=0</m:t>
            </m:r>
          </m:sub>
          <m:sup>
            <m:r>
              <m:t>M−1</m:t>
            </m:r>
          </m:sup>
          <m:e>
            <m:sSup>
              <m:e>
                <m:r>
                  <m:t>i</m:t>
                </m:r>
              </m:e>
              <m:sup>
                <m:r>
                  <m:t>n</m:t>
                </m:r>
              </m:sup>
            </m:sSup>
          </m:e>
        </m:nary>
        <m:sSub>
          <m:e>
            <m:r>
              <m:t>ϕ</m:t>
            </m:r>
          </m:e>
          <m:sub>
            <m:r>
              <m:t>n</m:t>
            </m:r>
          </m:sub>
        </m:sSub>
        <m:r>
          <m:t>(t)|</m:t>
        </m:r>
        <m:sSub>
          <m:e>
            <m:r>
              <m:t>O</m:t>
            </m:r>
          </m:e>
          <m:sub>
            <m:r>
              <m:t>n</m:t>
            </m:r>
          </m:sub>
        </m:sSub>
        <m:r>
          <m:t>⟩</m:t>
        </m:r>
      </m:oMath>
      <w:r>
        <w:rPr>
          <w:rFonts w:ascii="Times New Roman" w:hAnsi="Times New Roman"/>
          <w:b w:val="0"/>
          <w:sz w:val="22"/>
        </w:rPr>
        <w:tab/>
        <w:t>(6)</w:t>
      </w:r>
    </w:p>
    <w:p>
      <w:pPr>
        <w:spacing w:after="120" w:line="276" w:lineRule="auto"/>
        <w:jc w:val="both"/>
      </w:pPr>
      <w:r>
        <w:rPr>
          <w:rFonts w:ascii="Times New Roman" w:hAnsi="Times New Roman"/>
          <w:i w:val="0"/>
          <w:sz w:val="22"/>
        </w:rPr>
        <w:t xml:space="preserve">The instantaneous distribution of the operator across Krylov basis states is governed by the probability amplitudes </w:t>
      </w:r>
      <m:oMath>
        <m:sSub>
          <m:e>
            <m:r>
              <m:t>p</m:t>
            </m:r>
          </m:e>
          <m:sub>
            <m:r>
              <m:t>n</m:t>
            </m:r>
          </m:sub>
        </m:sSub>
        <m:r>
          <m:t>(t)=|</m:t>
        </m:r>
        <m:sSub>
          <m:e>
            <m:r>
              <m:t>ϕ</m:t>
            </m:r>
          </m:e>
          <m:sub>
            <m:r>
              <m:t>n</m:t>
            </m:r>
          </m:sub>
        </m:sSub>
        <m:r>
          <m:t>(t)</m:t>
        </m:r>
        <m:sSup>
          <m:e>
            <m:r>
              <m:t>|</m:t>
            </m:r>
          </m:e>
          <m:sup>
            <m:r>
              <m:t>2</m:t>
            </m:r>
          </m:sup>
        </m:sSup>
      </m:oMath>
      <w:r>
        <w:rPr>
          <w:rFonts w:ascii="Times New Roman" w:hAnsi="Times New Roman"/>
          <w:i w:val="0"/>
          <w:sz w:val="22"/>
        </w:rPr>
        <w:t xml:space="preserve">, satisfying the normalization condition </w:t>
      </w:r>
      <m:oMath>
        <m:nary>
          <m:naryPr>
            <m:chr m:val="∑"/>
            <m:limLoc m:val="subSup"/>
            <m:grow m:val="1"/>
            <m:subHide m:val="off"/>
            <m:supHide m:val="on"/>
          </m:naryPr>
          <m:sub>
            <m:r>
              <m:t>n</m:t>
            </m:r>
          </m:sub>
          <m:sup/>
          <m:e>
            <m:sSub>
              <m:e>
                <m:r>
                  <m:t>p</m:t>
                </m:r>
              </m:e>
              <m:sub>
                <m:r>
                  <m:t>n</m:t>
                </m:r>
              </m:sub>
            </m:sSub>
          </m:e>
        </m:nary>
        <m:r>
          <m:t>(t)=1</m:t>
        </m:r>
      </m:oMath>
      <w:r>
        <w:rPr>
          <w:rFonts w:ascii="Times New Roman" w:hAnsi="Times New Roman"/>
          <w:i w:val="0"/>
          <w:sz w:val="22"/>
        </w:rPr>
        <w:t xml:space="preserve">. From this distribution, the Krylov complexity </w:t>
      </w:r>
      <m:oMath>
        <m:r>
          <m:t>K(t)</m:t>
        </m:r>
      </m:oMath>
      <w:r>
        <w:rPr>
          <w:rFonts w:ascii="Times New Roman" w:hAnsi="Times New Roman"/>
          <w:i w:val="0"/>
          <w:sz w:val="22"/>
        </w:rPr>
        <w:t xml:space="preserve"> and Krylov operator entropy </w:t>
      </w:r>
      <m:oMath>
        <m:sSub>
          <m:e>
            <m:r>
              <m:t>S</m:t>
            </m:r>
          </m:e>
          <m:sub>
            <m:r>
              <m:t>K</m:t>
            </m:r>
          </m:sub>
        </m:sSub>
        <m:r>
          <m:t>(t)</m:t>
        </m:r>
      </m:oMath>
      <w:r>
        <w:rPr>
          <w:rFonts w:ascii="Times New Roman" w:hAnsi="Times New Roman"/>
          <w:i w:val="0"/>
          <w:sz w:val="22"/>
        </w:rPr>
        <w:t xml:space="preserve"> are formally defined as:</w:t>
      </w:r>
    </w:p>
    <w:p>
      <w:pPr>
        <w:spacing w:before="100" w:after="100" w:line="240" w:lineRule="auto"/>
        <w:jc w:val="both"/>
        <w:tabs>
          <w:tab w:val="center" w:pos="4514"/>
          <w:tab w:val="right" w:pos="9028"/>
        </w:tabs>
      </w:pPr>
      <w:r>
        <w:tab/>
      </w:r>
      <m:oMath>
        <m:r>
          <m:t>K(t)=</m:t>
        </m:r>
        <m:nary>
          <m:naryPr>
            <m:chr m:val="∑"/>
            <m:limLoc m:val="subSup"/>
            <m:grow m:val="1"/>
            <m:subHide m:val="off"/>
            <m:supHide m:val="off"/>
          </m:naryPr>
          <m:sub>
            <m:r>
              <m:t>n=0</m:t>
            </m:r>
          </m:sub>
          <m:sup>
            <m:r>
              <m:t>M−1</m:t>
            </m:r>
          </m:sup>
          <m:e>
            <m:r>
              <m:t>n</m:t>
            </m:r>
          </m:e>
        </m:nary>
        <m:sSub>
          <m:e>
            <m:r>
              <m:t>p</m:t>
            </m:r>
          </m:e>
          <m:sub>
            <m:r>
              <m:t>n</m:t>
            </m:r>
          </m:sub>
        </m:sSub>
        <m:r>
          <m:t>(t)</m:t>
        </m:r>
      </m:oMath>
      <w:r>
        <w:rPr>
          <w:rFonts w:ascii="Times New Roman" w:hAnsi="Times New Roman"/>
          <w:b w:val="0"/>
          <w:sz w:val="22"/>
        </w:rPr>
        <w:tab/>
        <w:t>(7)</w:t>
      </w:r>
    </w:p>
    <w:p>
      <w:pPr>
        <w:spacing w:before="100" w:after="100" w:line="240" w:lineRule="auto"/>
        <w:jc w:val="both"/>
        <w:tabs>
          <w:tab w:val="center" w:pos="4514"/>
          <w:tab w:val="right" w:pos="9028"/>
        </w:tabs>
      </w:pPr>
      <w:r>
        <w:tab/>
      </w:r>
      <m:oMath>
        <m:sSub>
          <m:e>
            <m:r>
              <m:t>S</m:t>
            </m:r>
          </m:e>
          <m:sub>
            <m:r>
              <m:t>K</m:t>
            </m:r>
          </m:sub>
        </m:sSub>
        <m:r>
          <m:t>(t)=−</m:t>
        </m:r>
        <m:nary>
          <m:naryPr>
            <m:chr m:val="∑"/>
            <m:limLoc m:val="subSup"/>
            <m:grow m:val="1"/>
            <m:subHide m:val="off"/>
            <m:supHide m:val="off"/>
          </m:naryPr>
          <m:sub>
            <m:r>
              <m:t>n=0</m:t>
            </m:r>
          </m:sub>
          <m:sup>
            <m:r>
              <m:t>M−1</m:t>
            </m:r>
          </m:sup>
          <m:e>
            <m:sSub>
              <m:e>
                <m:r>
                  <m:t>p</m:t>
                </m:r>
              </m:e>
              <m:sub>
                <m:r>
                  <m:t>n</m:t>
                </m:r>
              </m:sub>
            </m:sSub>
          </m:e>
        </m:nary>
        <m:r>
          <m:t>(t)</m:t>
        </m:r>
        <m:r>
          <m:rPr>
            <m:sty m:val="p"/>
          </m:rPr>
          <m:t>ln</m:t>
        </m:r>
        <m:sSub>
          <m:e>
            <m:r>
              <m:t>p</m:t>
            </m:r>
          </m:e>
          <m:sub>
            <m:r>
              <m:t>n</m:t>
            </m:r>
          </m:sub>
        </m:sSub>
        <m:r>
          <m:t>(t)</m:t>
        </m:r>
      </m:oMath>
      <w:r>
        <w:rPr>
          <w:rFonts w:ascii="Times New Roman" w:hAnsi="Times New Roman"/>
          <w:b w:val="0"/>
          <w:sz w:val="22"/>
        </w:rPr>
        <w:tab/>
        <w:t>(8)</w:t>
      </w:r>
    </w:p>
    <w:p>
      <w:pPr>
        <w:spacing w:after="120" w:line="276" w:lineRule="auto"/>
        <w:jc w:val="both"/>
      </w:pPr>
      <w:r>
        <w:rPr>
          <w:rFonts w:ascii="Times New Roman" w:hAnsi="Times New Roman"/>
          <w:i w:val="0"/>
          <w:sz w:val="22"/>
        </w:rPr>
        <w:t xml:space="preserve">In closed chaotic systems, the Lanczos coefficients grow linearly, </w:t>
      </w:r>
      <m:oMath>
        <m:sSub>
          <m:e>
            <m:r>
              <m:t>b</m:t>
            </m:r>
          </m:e>
          <m:sub>
            <m:r>
              <m:t>n</m:t>
            </m:r>
          </m:sub>
        </m:sSub>
        <m:r>
          <m:t>~αn</m:t>
        </m:r>
      </m:oMath>
      <w:r>
        <w:rPr>
          <w:rFonts w:ascii="Times New Roman" w:hAnsi="Times New Roman"/>
          <w:i w:val="0"/>
          <w:sz w:val="22"/>
        </w:rPr>
        <w:t xml:space="preserve">, up to an extensive saturation scale. However, in the presence of the Lindbladian dissipator </w:t>
      </w:r>
      <m:oMath>
        <m:r>
          <m:t>𝒟(O)</m:t>
        </m:r>
      </m:oMath>
      <w:r>
        <w:rPr>
          <w:rFonts w:ascii="Times New Roman" w:hAnsi="Times New Roman"/>
          <w:i w:val="0"/>
          <w:sz w:val="22"/>
        </w:rPr>
        <w:t>, the wavepacket experiences an asymmetric drift toward higher basis elements without recurrence. The time derivative of Krylov complexity defines the emergent arrow of time vector:</w:t>
      </w:r>
    </w:p>
    <w:p>
      <w:pPr>
        <w:spacing w:before="100" w:after="100" w:line="240" w:lineRule="auto"/>
        <w:jc w:val="both"/>
        <w:tabs>
          <w:tab w:val="center" w:pos="4514"/>
          <w:tab w:val="right" w:pos="9028"/>
        </w:tabs>
      </w:pPr>
      <w:r>
        <w:tab/>
      </w:r>
      <m:oMath>
        <m:sSub>
          <m:e>
            <m:limUpp>
              <m:e>
                <m:r>
                  <m:t>v</m:t>
                </m:r>
              </m:e>
              <m:lim>
                <m:r>
                  <m:t>→</m:t>
                </m:r>
              </m:lim>
            </m:limUpp>
          </m:e>
          <m:sub>
            <m:r>
              <m:rPr>
                <m:sty m:val="p"/>
              </m:rPr>
              <m:t>arrow</m:t>
            </m:r>
          </m:sub>
        </m:sSub>
        <m:r>
          <m:t>(t)=</m:t>
        </m:r>
        <m:f>
          <m:fPr>
            <m:type m:val="bar"/>
          </m:fPr>
          <m:num>
            <m:r>
              <m:t>dK(t)</m:t>
            </m:r>
          </m:num>
          <m:den>
            <m:r>
              <m:t>dt</m:t>
            </m:r>
          </m:den>
        </m:f>
        <m:sSub>
          <m:e>
            <m:acc>
              <m:accPr>
                <m:chr m:val="̂"/>
              </m:accPr>
              <m:e>
                <m:r>
                  <m:t>e</m:t>
                </m:r>
              </m:e>
            </m:acc>
          </m:e>
          <m:sub>
            <m:r>
              <m:t>t</m:t>
            </m:r>
          </m:sub>
        </m:sSub>
      </m:oMath>
      <w:r>
        <w:rPr>
          <w:rFonts w:ascii="Times New Roman" w:hAnsi="Times New Roman"/>
          <w:b w:val="0"/>
          <w:sz w:val="22"/>
        </w:rPr>
        <w:tab/>
        <w:t>(9)</w:t>
      </w:r>
    </w:p>
    <w:p>
      <w:pPr>
        <w:spacing w:after="120" w:line="276" w:lineRule="auto"/>
        <w:jc w:val="both"/>
      </w:pPr>
      <w:r>
        <w:rPr>
          <w:rFonts w:ascii="Times New Roman" w:hAnsi="Times New Roman"/>
          <w:i w:val="0"/>
          <w:sz w:val="22"/>
        </w:rPr>
        <w:t xml:space="preserve">where </w:t>
      </w:r>
      <m:oMath>
        <m:sSub>
          <m:e>
            <m:acc>
              <m:accPr>
                <m:chr m:val="̂"/>
              </m:accPr>
              <m:e>
                <m:r>
                  <m:t>e</m:t>
                </m:r>
              </m:e>
            </m:acc>
          </m:e>
          <m:sub>
            <m:r>
              <m:t>t</m:t>
            </m:r>
          </m:sub>
        </m:sSub>
      </m:oMath>
      <w:r>
        <w:rPr>
          <w:rFonts w:ascii="Times New Roman" w:hAnsi="Times New Roman"/>
          <w:i w:val="0"/>
          <w:sz w:val="22"/>
        </w:rPr>
        <w:t xml:space="preserve"> denotes the forward temporal unit vector. Strict positivity </w:t>
      </w:r>
      <m:oMath>
        <m:sSub>
          <m:e>
            <m:limUpp>
              <m:e>
                <m:r>
                  <m:t>v</m:t>
                </m:r>
              </m:e>
              <m:lim>
                <m:r>
                  <m:t>→</m:t>
                </m:r>
              </m:lim>
            </m:limUpp>
          </m:e>
          <m:sub>
            <m:r>
              <m:rPr>
                <m:sty m:val="p"/>
              </m:rPr>
              <m:t>arrow</m:t>
            </m:r>
          </m:sub>
        </m:sSub>
        <m:r>
          <m:t>(t)&gt;0</m:t>
        </m:r>
      </m:oMath>
      <w:r>
        <w:rPr>
          <w:rFonts w:ascii="Times New Roman" w:hAnsi="Times New Roman"/>
          <w:i w:val="0"/>
          <w:sz w:val="22"/>
        </w:rPr>
        <w:t xml:space="preserve"> serves as the mathematical criterion confirming that quantum information has scrambled irreversibly.</w:t>
      </w:r>
    </w:p>
    <w:p>
      <w:pPr>
        <w:keepNext/>
        <w:spacing w:before="200" w:after="80"/>
      </w:pPr>
      <w:r>
        <w:rPr>
          <w:rFonts w:ascii="Times New Roman" w:hAnsi="Times New Roman"/>
          <w:b/>
          <w:color w:val="1F497D"/>
          <w:sz w:val="24"/>
        </w:rPr>
        <w:t>2.3 Discrete Causal Set Theory and Lightcone Modulation</w:t>
      </w:r>
    </w:p>
    <w:p>
      <w:pPr>
        <w:spacing w:after="120" w:line="276" w:lineRule="auto"/>
        <w:jc w:val="both"/>
      </w:pPr>
      <w:r>
        <w:rPr>
          <w:rFonts w:ascii="Times New Roman" w:hAnsi="Times New Roman"/>
          <w:i w:val="0"/>
          <w:sz w:val="22"/>
        </w:rPr>
        <w:t xml:space="preserve">The transition from quantum operator dynamics to spacetime geometry is established through causal set theory. A causal set </w:t>
      </w:r>
      <m:oMath>
        <m:d>
          <m:dPr>
            <m:sepChr m:val=""/>
          </m:dPr>
          <m:e>
            <m:r>
              <m:t>𝒞</m:t>
            </m:r>
            <m:r>
              <m:t>,</m:t>
            </m:r>
            <m:r>
              <m:t>≺</m:t>
            </m:r>
          </m:e>
        </m:d>
      </m:oMath>
      <w:r>
        <w:rPr>
          <w:rFonts w:ascii="Times New Roman" w:hAnsi="Times New Roman"/>
          <w:i w:val="0"/>
          <w:sz w:val="22"/>
        </w:rPr>
        <w:t xml:space="preserve"> is a discrete manifold consisting of events related by a partial order that satisfies irreflexivity, transitivity, and local finiteness. Spacetime events </w:t>
      </w:r>
      <m:oMath>
        <m:sSub>
          <m:e>
            <m:r>
              <m:t>e</m:t>
            </m:r>
          </m:e>
          <m:sub>
            <m:r>
              <m:t>i</m:t>
            </m:r>
          </m:sub>
        </m:sSub>
        <m:r>
          <m:t>=(</m:t>
        </m:r>
        <m:sSub>
          <m:e>
            <m:r>
              <m:t>x</m:t>
            </m:r>
          </m:e>
          <m:sub>
            <m:r>
              <m:t>i</m:t>
            </m:r>
          </m:sub>
        </m:sSub>
        <m:r>
          <m:t>,</m:t>
        </m:r>
        <m:sSub>
          <m:e>
            <m:r>
              <m:t>t</m:t>
            </m:r>
          </m:e>
          <m:sub>
            <m:r>
              <m:t>i</m:t>
            </m:r>
          </m:sub>
        </m:sSub>
        <m:r>
          <m:t>)</m:t>
        </m:r>
      </m:oMath>
      <w:r>
        <w:rPr>
          <w:rFonts w:ascii="Times New Roman" w:hAnsi="Times New Roman"/>
          <w:i w:val="0"/>
          <w:sz w:val="22"/>
        </w:rPr>
        <w:t xml:space="preserve"> are generated in a </w:t>
      </w:r>
      <m:oMath>
        <m:r>
          <m:t>1+1</m:t>
        </m:r>
      </m:oMath>
      <w:r>
        <w:rPr>
          <w:rFonts w:ascii="Times New Roman" w:hAnsi="Times New Roman"/>
          <w:i w:val="0"/>
          <w:sz w:val="22"/>
        </w:rPr>
        <w:t xml:space="preserve">-dimensional domain </w:t>
      </w:r>
      <m:oMath>
        <m:r>
          <m:t>ℳ=[−</m:t>
        </m:r>
        <m:sSub>
          <m:e>
            <m:r>
              <m:t>L</m:t>
            </m:r>
          </m:e>
          <m:sub>
            <m:r>
              <m:t>x</m:t>
            </m:r>
          </m:sub>
        </m:sSub>
        <m:r>
          <m:t>,</m:t>
        </m:r>
        <m:sSub>
          <m:e>
            <m:r>
              <m:t>L</m:t>
            </m:r>
          </m:e>
          <m:sub>
            <m:r>
              <m:t>x</m:t>
            </m:r>
          </m:sub>
        </m:sSub>
        <m:r>
          <m:t>]imes[0,</m:t>
        </m:r>
        <m:sSub>
          <m:e>
            <m:r>
              <m:t>T</m:t>
            </m:r>
          </m:e>
          <m:sub>
            <m:r>
              <m:t>t</m:t>
            </m:r>
          </m:sub>
        </m:sSub>
        <m:r>
          <m:t>]</m:t>
        </m:r>
      </m:oMath>
      <w:r>
        <w:rPr>
          <w:rFonts w:ascii="Times New Roman" w:hAnsi="Times New Roman"/>
          <w:i w:val="0"/>
          <w:sz w:val="22"/>
        </w:rPr>
        <w:t xml:space="preserve"> via a Poisson sprinkling process with density </w:t>
      </w:r>
      <m:oMath>
        <m:r>
          <m:t>ho</m:t>
        </m:r>
      </m:oMath>
      <w:r>
        <w:rPr>
          <w:rFonts w:ascii="Times New Roman" w:hAnsi="Times New Roman"/>
          <w:i w:val="0"/>
          <w:sz w:val="22"/>
        </w:rPr>
        <w:t xml:space="preserve">, where the probability of finding </w:t>
      </w:r>
      <m:oMath>
        <m:r>
          <m:t>k</m:t>
        </m:r>
      </m:oMath>
      <w:r>
        <w:rPr>
          <w:rFonts w:ascii="Times New Roman" w:hAnsi="Times New Roman"/>
          <w:i w:val="0"/>
          <w:sz w:val="22"/>
        </w:rPr>
        <w:t xml:space="preserve"> events in volume </w:t>
      </w:r>
      <m:oMath>
        <m:r>
          <m:t>V</m:t>
        </m:r>
      </m:oMath>
      <w:r>
        <w:rPr>
          <w:rFonts w:ascii="Times New Roman" w:hAnsi="Times New Roman"/>
          <w:i w:val="0"/>
          <w:sz w:val="22"/>
        </w:rPr>
        <w:t xml:space="preserve"> is:</w:t>
      </w:r>
    </w:p>
    <w:p>
      <w:pPr>
        <w:spacing w:before="100" w:after="100" w:line="240" w:lineRule="auto"/>
        <w:jc w:val="both"/>
        <w:tabs>
          <w:tab w:val="center" w:pos="4514"/>
          <w:tab w:val="right" w:pos="9028"/>
        </w:tabs>
      </w:pPr>
      <w:r>
        <w:tab/>
      </w:r>
      <m:oMath>
        <m:r>
          <m:t>P(k)=</m:t>
        </m:r>
        <m:f>
          <m:fPr>
            <m:type m:val="bar"/>
          </m:fPr>
          <m:num>
            <m:sSup>
              <m:e>
                <m:d>
                  <m:dPr>
                    <m:sepChr m:val=""/>
                  </m:dPr>
                  <m:e>
                    <m:r>
                      <m:t>ρ</m:t>
                    </m:r>
                    <m:r>
                      <m:t>V</m:t>
                    </m:r>
                  </m:e>
                </m:d>
              </m:e>
              <m:sup>
                <m:r>
                  <m:t>k</m:t>
                </m:r>
              </m:sup>
            </m:sSup>
          </m:num>
          <m:den>
            <m:r>
              <m:t>k!</m:t>
            </m:r>
          </m:den>
        </m:f>
        <m:sSup>
          <m:e>
            <m:r>
              <m:t>e</m:t>
            </m:r>
          </m:e>
          <m:sup>
            <m:r>
              <m:t>−ρV</m:t>
            </m:r>
          </m:sup>
        </m:sSup>
      </m:oMath>
      <w:r>
        <w:rPr>
          <w:rFonts w:ascii="Times New Roman" w:hAnsi="Times New Roman"/>
          <w:b w:val="0"/>
          <w:sz w:val="22"/>
        </w:rPr>
        <w:tab/>
        <w:t>(10)</w:t>
      </w:r>
    </w:p>
    <w:p>
      <w:pPr>
        <w:spacing w:after="120" w:line="276" w:lineRule="auto"/>
        <w:jc w:val="both"/>
      </w:pPr>
      <w:r>
        <w:rPr>
          <w:rFonts w:ascii="Times New Roman" w:hAnsi="Times New Roman"/>
          <w:i w:val="0"/>
          <w:sz w:val="22"/>
        </w:rPr>
        <w:t xml:space="preserve">For any pair of sprinkled events </w:t>
      </w:r>
      <m:oMath>
        <m:sSub>
          <m:e>
            <m:r>
              <m:t>e</m:t>
            </m:r>
          </m:e>
          <m:sub>
            <m:r>
              <m:t>i</m:t>
            </m:r>
          </m:sub>
        </m:sSub>
        <m:r>
          <m:t>=(</m:t>
        </m:r>
        <m:sSub>
          <m:e>
            <m:r>
              <m:t>x</m:t>
            </m:r>
          </m:e>
          <m:sub>
            <m:r>
              <m:t>i</m:t>
            </m:r>
          </m:sub>
        </m:sSub>
        <m:r>
          <m:t>,</m:t>
        </m:r>
        <m:sSub>
          <m:e>
            <m:r>
              <m:t>t</m:t>
            </m:r>
          </m:e>
          <m:sub>
            <m:r>
              <m:t>i</m:t>
            </m:r>
          </m:sub>
        </m:sSub>
        <m:r>
          <m:t>)</m:t>
        </m:r>
      </m:oMath>
      <w:r>
        <w:rPr>
          <w:rFonts w:ascii="Times New Roman" w:hAnsi="Times New Roman"/>
          <w:i w:val="0"/>
          <w:sz w:val="22"/>
        </w:rPr>
        <w:t xml:space="preserve"> and </w:t>
      </w:r>
      <m:oMath>
        <m:sSub>
          <m:e>
            <m:r>
              <m:t>e</m:t>
            </m:r>
          </m:e>
          <m:sub>
            <m:r>
              <m:t>j</m:t>
            </m:r>
          </m:sub>
        </m:sSub>
        <m:r>
          <m:t>=(</m:t>
        </m:r>
        <m:sSub>
          <m:e>
            <m:r>
              <m:t>x</m:t>
            </m:r>
          </m:e>
          <m:sub>
            <m:r>
              <m:t>j</m:t>
            </m:r>
          </m:sub>
        </m:sSub>
        <m:r>
          <m:t>,</m:t>
        </m:r>
        <m:sSub>
          <m:e>
            <m:r>
              <m:t>t</m:t>
            </m:r>
          </m:e>
          <m:sub>
            <m:r>
              <m:t>j</m:t>
            </m:r>
          </m:sub>
        </m:sSub>
        <m:r>
          <m:t>)</m:t>
        </m:r>
      </m:oMath>
      <w:r>
        <w:rPr>
          <w:rFonts w:ascii="Times New Roman" w:hAnsi="Times New Roman"/>
          <w:i w:val="0"/>
          <w:sz w:val="22"/>
        </w:rPr>
        <w:t>, the relativistic Minkowski interval is:</w:t>
      </w:r>
    </w:p>
    <w:p>
      <w:pPr>
        <w:spacing w:before="100" w:after="100" w:line="240" w:lineRule="auto"/>
        <w:jc w:val="both"/>
        <w:tabs>
          <w:tab w:val="center" w:pos="4514"/>
          <w:tab w:val="right" w:pos="9028"/>
        </w:tabs>
      </w:pPr>
      <w:r>
        <w:tab/>
      </w:r>
      <m:oMath>
        <m:r>
          <m:t>Δ</m:t>
        </m:r>
        <m:sSubSup>
          <m:e>
            <m:r>
              <m:t>s</m:t>
            </m:r>
          </m:e>
          <m:sub>
            <m:r>
              <m:t>ij</m:t>
            </m:r>
          </m:sub>
          <m:sup>
            <m:r>
              <m:t>2</m:t>
            </m:r>
          </m:sup>
        </m:sSubSup>
        <m:r>
          <m:t>=(</m:t>
        </m:r>
        <m:sSub>
          <m:e>
            <m:r>
              <m:t>t</m:t>
            </m:r>
          </m:e>
          <m:sub>
            <m:r>
              <m:t>j</m:t>
            </m:r>
          </m:sub>
        </m:sSub>
        <m:r>
          <m:t>−</m:t>
        </m:r>
        <m:sSub>
          <m:e>
            <m:r>
              <m:t>t</m:t>
            </m:r>
          </m:e>
          <m:sub>
            <m:r>
              <m:t>i</m:t>
            </m:r>
          </m:sub>
        </m:sSub>
        <m:sSup>
          <m:e>
            <m:r>
              <m:t>)</m:t>
            </m:r>
          </m:e>
          <m:sup>
            <m:r>
              <m:t>2</m:t>
            </m:r>
          </m:sup>
        </m:sSup>
        <m:r>
          <m:t>−(</m:t>
        </m:r>
        <m:sSub>
          <m:e>
            <m:r>
              <m:t>x</m:t>
            </m:r>
          </m:e>
          <m:sub>
            <m:r>
              <m:t>j</m:t>
            </m:r>
          </m:sub>
        </m:sSub>
        <m:r>
          <m:t>−</m:t>
        </m:r>
        <m:sSub>
          <m:e>
            <m:r>
              <m:t>x</m:t>
            </m:r>
          </m:e>
          <m:sub>
            <m:r>
              <m:t>i</m:t>
            </m:r>
          </m:sub>
        </m:sSub>
        <m:sSup>
          <m:e>
            <m:r>
              <m:t>)</m:t>
            </m:r>
          </m:e>
          <m:sup>
            <m:r>
              <m:t>2</m:t>
            </m:r>
          </m:sup>
        </m:sSup>
      </m:oMath>
      <w:r>
        <w:rPr>
          <w:rFonts w:ascii="Times New Roman" w:hAnsi="Times New Roman"/>
          <w:b w:val="0"/>
          <w:sz w:val="22"/>
        </w:rPr>
        <w:tab/>
        <w:t>(11)</w:t>
      </w:r>
    </w:p>
    <w:p>
      <w:pPr>
        <w:spacing w:after="120" w:line="276" w:lineRule="auto"/>
        <w:jc w:val="both"/>
      </w:pPr>
      <w:r>
        <w:rPr>
          <w:rFonts w:ascii="Times New Roman" w:hAnsi="Times New Roman"/>
          <w:i w:val="0"/>
          <w:sz w:val="22"/>
        </w:rPr>
        <w:t xml:space="preserve">A directed causal edge </w:t>
      </w:r>
      <m:oMath>
        <m:sSub>
          <m:e>
            <m:r>
              <m:t>e</m:t>
            </m:r>
          </m:e>
          <m:sub>
            <m:r>
              <m:t>i</m:t>
            </m:r>
          </m:sub>
        </m:sSub>
        <m:r>
          <m:t>o</m:t>
        </m:r>
        <m:sSub>
          <m:e>
            <m:r>
              <m:t>e</m:t>
            </m:r>
          </m:e>
          <m:sub>
            <m:r>
              <m:t>j</m:t>
            </m:r>
          </m:sub>
        </m:sSub>
      </m:oMath>
      <w:r>
        <w:rPr>
          <w:rFonts w:ascii="Times New Roman" w:hAnsi="Times New Roman"/>
          <w:i w:val="0"/>
          <w:sz w:val="22"/>
        </w:rPr>
        <w:t xml:space="preserve"> is established if and only if the events satisfy the future lightcone condition: </w:t>
      </w:r>
      <m:oMath>
        <m:sSub>
          <m:e>
            <m:r>
              <m:t>C</m:t>
            </m:r>
          </m:e>
          <m:sub>
            <m:r>
              <m:t>ij</m:t>
            </m:r>
          </m:sub>
        </m:sSub>
        <m:r>
          <m:t>=1</m:t>
        </m:r>
      </m:oMath>
      <w:r>
        <w:rPr>
          <w:rFonts w:ascii="Times New Roman" w:hAnsi="Times New Roman"/>
          <w:i w:val="0"/>
          <w:sz w:val="22"/>
        </w:rPr>
        <w:t xml:space="preserve"> when </w:t>
      </w:r>
      <m:oMath>
        <m:sSub>
          <m:e>
            <m:r>
              <m:t>t</m:t>
            </m:r>
          </m:e>
          <m:sub>
            <m:r>
              <m:t>j</m:t>
            </m:r>
          </m:sub>
        </m:sSub>
        <m:r>
          <m:t>&gt;</m:t>
        </m:r>
        <m:sSub>
          <m:e>
            <m:r>
              <m:t>t</m:t>
            </m:r>
          </m:e>
          <m:sub>
            <m:r>
              <m:t>i</m:t>
            </m:r>
          </m:sub>
        </m:sSub>
      </m:oMath>
      <w:r>
        <w:rPr>
          <w:rFonts w:ascii="Times New Roman" w:hAnsi="Times New Roman"/>
          <w:i w:val="0"/>
          <w:sz w:val="22"/>
        </w:rPr>
        <w:t xml:space="preserve"> and </w:t>
      </w:r>
      <m:oMath>
        <m:r>
          <m:t>Δ</m:t>
        </m:r>
        <m:sSubSup>
          <m:e>
            <m:r>
              <m:t>s</m:t>
            </m:r>
          </m:e>
          <m:sub>
            <m:r>
              <m:t>ij</m:t>
            </m:r>
          </m:sub>
          <m:sup>
            <m:r>
              <m:t>2</m:t>
            </m:r>
          </m:sup>
        </m:sSubSup>
        <m:r>
          <m:t>&gt;0</m:t>
        </m:r>
      </m:oMath>
      <w:r>
        <w:rPr>
          <w:rFonts w:ascii="Times New Roman" w:hAnsi="Times New Roman"/>
          <w:i w:val="0"/>
          <w:sz w:val="22"/>
        </w:rPr>
        <w:t>, and zero otherwise. To break the temporal reflection symmetry inherent in static lightcones, the adjacency weights of the causal graph are modulated by the emergent Krylov arrow of time:</w:t>
      </w:r>
    </w:p>
    <w:p>
      <w:pPr>
        <w:spacing w:before="100" w:after="100" w:line="240" w:lineRule="auto"/>
        <w:jc w:val="both"/>
        <w:tabs>
          <w:tab w:val="center" w:pos="4514"/>
          <w:tab w:val="right" w:pos="9028"/>
        </w:tabs>
      </w:pPr>
      <w:r>
        <w:tab/>
      </w:r>
      <m:oMath>
        <m:sSub>
          <m:e>
            <m:r>
              <m:t>W</m:t>
            </m:r>
          </m:e>
          <m:sub>
            <m:r>
              <m:t>ij</m:t>
            </m:r>
          </m:sub>
        </m:sSub>
        <m:r>
          <m:t>=</m:t>
        </m:r>
        <m:sSub>
          <m:e>
            <m:r>
              <m:t>C</m:t>
            </m:r>
          </m:e>
          <m:sub>
            <m:r>
              <m:t>ij</m:t>
            </m:r>
          </m:sub>
        </m:sSub>
        <m:r>
          <m:t>[</m:t>
        </m:r>
        <m:f>
          <m:fPr>
            <m:type m:val="bar"/>
          </m:fPr>
          <m:num>
            <m:r>
              <m:t>1+β‖</m:t>
            </m:r>
            <m:sSub>
              <m:e>
                <m:limUpp>
                  <m:e>
                    <m:r>
                      <m:t>v</m:t>
                    </m:r>
                  </m:e>
                  <m:lim>
                    <m:r>
                      <m:t>→</m:t>
                    </m:r>
                  </m:lim>
                </m:limUpp>
              </m:e>
              <m:sub>
                <m:r>
                  <m:rPr>
                    <m:sty m:val="p"/>
                  </m:rPr>
                  <m:t>arrow</m:t>
                </m:r>
              </m:sub>
            </m:sSub>
            <m:r>
              <m:t>(</m:t>
            </m:r>
            <m:sSub>
              <m:e>
                <m:r>
                  <m:t>t</m:t>
                </m:r>
              </m:e>
              <m:sub>
                <m:r>
                  <m:t>i</m:t>
                </m:r>
              </m:sub>
            </m:sSub>
            <m:r>
              <m:t>)‖</m:t>
            </m:r>
          </m:num>
          <m:den>
            <m:r>
              <m:t>1+Δ</m:t>
            </m:r>
            <m:sSubSup>
              <m:e>
                <m:r>
                  <m:t>s</m:t>
                </m:r>
              </m:e>
              <m:sub>
                <m:r>
                  <m:t>ij</m:t>
                </m:r>
              </m:sub>
              <m:sup>
                <m:r>
                  <m:t>2</m:t>
                </m:r>
              </m:sup>
            </m:sSubSup>
          </m:den>
        </m:f>
        <m:r>
          <m:t>]</m:t>
        </m:r>
      </m:oMath>
      <w:r>
        <w:rPr>
          <w:rFonts w:ascii="Times New Roman" w:hAnsi="Times New Roman"/>
          <w:b w:val="0"/>
          <w:sz w:val="22"/>
        </w:rPr>
        <w:tab/>
        <w:t>(12)</w:t>
      </w:r>
    </w:p>
    <w:p>
      <w:pPr>
        <w:spacing w:after="120" w:line="276" w:lineRule="auto"/>
        <w:jc w:val="both"/>
      </w:pPr>
      <w:r>
        <w:rPr>
          <w:rFonts w:ascii="Times New Roman" w:hAnsi="Times New Roman"/>
          <w:i w:val="0"/>
          <w:sz w:val="22"/>
        </w:rPr>
        <w:t xml:space="preserve">where </w:t>
      </w:r>
      <m:oMath>
        <m:r>
          <m:t>β</m:t>
        </m:r>
      </m:oMath>
      <w:r>
        <w:rPr>
          <w:rFonts w:ascii="Times New Roman" w:hAnsi="Times New Roman"/>
          <w:i w:val="0"/>
          <w:sz w:val="22"/>
        </w:rPr>
        <w:t xml:space="preserve"> is a physical coupling constant and the denominator suppresses long-range non-local connections, ensuring that nearest-neighbor timelike links dominate graph message passing.</w:t>
      </w:r>
    </w:p>
    <w:p>
      <w:pPr>
        <w:keepNext/>
        <w:spacing w:before="200" w:after="80"/>
      </w:pPr>
      <w:r>
        <w:rPr>
          <w:rFonts w:ascii="Times New Roman" w:hAnsi="Times New Roman"/>
          <w:b/>
          <w:color w:val="1F497D"/>
          <w:sz w:val="24"/>
        </w:rPr>
        <w:t>2.4 Hybrid Causal Graph PINN Architecture and Differential Loss Engine</w:t>
      </w:r>
    </w:p>
    <w:p>
      <w:pPr>
        <w:spacing w:after="120" w:line="276" w:lineRule="auto"/>
        <w:jc w:val="both"/>
      </w:pPr>
      <w:r>
        <w:rPr>
          <w:rFonts w:ascii="Times New Roman" w:hAnsi="Times New Roman"/>
          <w:i w:val="0"/>
          <w:sz w:val="22"/>
        </w:rPr>
        <w:t xml:space="preserve">The continuous spacetime field </w:t>
      </w:r>
      <m:oMath>
        <m:r>
          <m:t>ϕ(x,t)</m:t>
        </m:r>
      </m:oMath>
      <w:r>
        <w:rPr>
          <w:rFonts w:ascii="Times New Roman" w:hAnsi="Times New Roman"/>
          <w:i w:val="0"/>
          <w:sz w:val="22"/>
        </w:rPr>
        <w:t xml:space="preserve"> is synthesized from the discrete causal set </w:t>
      </w:r>
      <m:oMath>
        <m:d>
          <m:dPr>
            <m:sepChr m:val=","/>
          </m:dPr>
          <m:e>
            <m:r>
              <m:t>𝒞</m:t>
            </m:r>
          </m:e>
          <m:e>
            <m:r>
              <m:t>W</m:t>
            </m:r>
          </m:e>
        </m:d>
      </m:oMath>
      <w:r>
        <w:rPr>
          <w:rFonts w:ascii="Times New Roman" w:hAnsi="Times New Roman"/>
          <w:i w:val="0"/>
          <w:sz w:val="22"/>
        </w:rPr>
        <w:t xml:space="preserve"> using a hybrid Graph Neural Network and Physics-Informed Neural Network (CausalGraphPINN). Each node </w:t>
      </w:r>
      <m:oMath>
        <m:r>
          <m:t>i</m:t>
        </m:r>
      </m:oMath>
      <w:r>
        <w:rPr>
          <w:rFonts w:ascii="Times New Roman" w:hAnsi="Times New Roman"/>
          <w:i w:val="0"/>
          <w:sz w:val="22"/>
        </w:rPr>
        <w:t xml:space="preserve"> is initialized with feature vector </w:t>
      </w:r>
      <m:oMath>
        <m:sSubSup>
          <m:e>
            <m:r>
              <m:t>h</m:t>
            </m:r>
          </m:e>
          <m:sub>
            <m:r>
              <m:t>i</m:t>
            </m:r>
          </m:sub>
          <m:sup>
            <m:d>
              <m:dPr>
                <m:sepChr m:val=""/>
              </m:dPr>
              <m:e>
                <m:r>
                  <m:t>0</m:t>
                </m:r>
              </m:e>
            </m:d>
          </m:sup>
        </m:sSubSup>
        <m:r>
          <m:t>=[</m:t>
        </m:r>
        <m:sSub>
          <m:e>
            <m:r>
              <m:t>x</m:t>
            </m:r>
          </m:e>
          <m:sub>
            <m:r>
              <m:t>i</m:t>
            </m:r>
          </m:sub>
        </m:sSub>
        <m:r>
          <m:t>,</m:t>
        </m:r>
        <m:sSub>
          <m:e>
            <m:r>
              <m:t>t</m:t>
            </m:r>
          </m:e>
          <m:sub>
            <m:r>
              <m:t>i</m:t>
            </m:r>
          </m:sub>
        </m:sSub>
        <m:r>
          <m:t>,‖</m:t>
        </m:r>
        <m:sSub>
          <m:e>
            <m:limUpp>
              <m:e>
                <m:r>
                  <m:t>v</m:t>
                </m:r>
              </m:e>
              <m:lim>
                <m:r>
                  <m:t>→</m:t>
                </m:r>
              </m:lim>
            </m:limUpp>
          </m:e>
          <m:sub>
            <m:r>
              <m:rPr>
                <m:sty m:val="p"/>
              </m:rPr>
              <m:t>arrow</m:t>
            </m:r>
          </m:sub>
        </m:sSub>
        <m:r>
          <m:t>(</m:t>
        </m:r>
        <m:sSub>
          <m:e>
            <m:r>
              <m:t>t</m:t>
            </m:r>
          </m:e>
          <m:sub>
            <m:r>
              <m:t>i</m:t>
            </m:r>
          </m:sub>
        </m:sSub>
        <m:r>
          <m:t>)‖</m:t>
        </m:r>
        <m:sSup>
          <m:e>
            <m:r>
              <m:t>]</m:t>
            </m:r>
          </m:e>
          <m:sup>
            <m:r>
              <m:t>T</m:t>
            </m:r>
          </m:sup>
        </m:sSup>
      </m:oMath>
      <w:r>
        <w:rPr>
          <w:rFonts w:ascii="Times New Roman" w:hAnsi="Times New Roman"/>
          <w:i w:val="0"/>
          <w:sz w:val="22"/>
        </w:rPr>
        <w:t xml:space="preserve">. The network parameters </w:t>
      </w:r>
      <m:oMath>
        <m:r>
          <m:t>θ</m:t>
        </m:r>
      </m:oMath>
      <w:r>
        <w:rPr>
          <w:rFonts w:ascii="Times New Roman" w:hAnsi="Times New Roman"/>
          <w:i w:val="0"/>
          <w:sz w:val="22"/>
        </w:rPr>
        <w:t xml:space="preserve"> are trained without external ground-truth field data by enforcing physical laws directly through PyTorch Autograd. The total optimization objective comprises four competing constraints:</w:t>
      </w:r>
    </w:p>
    <w:p>
      <w:pPr>
        <w:spacing w:before="100" w:after="100" w:line="240" w:lineRule="auto"/>
        <w:jc w:val="both"/>
        <w:tabs>
          <w:tab w:val="center" w:pos="4514"/>
          <w:tab w:val="right" w:pos="9028"/>
        </w:tabs>
      </w:pPr>
      <w:r>
        <w:tab/>
      </w:r>
      <m:oMath>
        <m:sSub>
          <m:e>
            <m:r>
              <m:t>ℒ</m:t>
            </m:r>
          </m:e>
          <m:sub>
            <m:r>
              <m:rPr>
                <m:sty m:val="p"/>
              </m:rPr>
              <m:t>total</m:t>
            </m:r>
          </m:sub>
        </m:sSub>
        <m:r>
          <m:t>(θ)=</m:t>
        </m:r>
        <m:sSub>
          <m:e>
            <m:r>
              <m:t>w</m:t>
            </m:r>
          </m:e>
          <m:sub>
            <m:r>
              <m:rPr>
                <m:sty m:val="p"/>
              </m:rPr>
              <m:t>pde</m:t>
            </m:r>
          </m:sub>
        </m:sSub>
        <m:sSub>
          <m:e>
            <m:r>
              <m:t>ℒ</m:t>
            </m:r>
          </m:e>
          <m:sub>
            <m:r>
              <m:rPr>
                <m:sty m:val="p"/>
              </m:rPr>
              <m:t>pde</m:t>
            </m:r>
          </m:sub>
        </m:sSub>
        <m:r>
          <m:t>+</m:t>
        </m:r>
        <m:sSub>
          <m:e>
            <m:r>
              <m:t>w</m:t>
            </m:r>
          </m:e>
          <m:sub>
            <m:r>
              <m:rPr>
                <m:sty m:val="p"/>
              </m:rPr>
              <m:t>init</m:t>
            </m:r>
          </m:sub>
        </m:sSub>
        <m:sSub>
          <m:e>
            <m:r>
              <m:t>ℒ</m:t>
            </m:r>
          </m:e>
          <m:sub>
            <m:r>
              <m:rPr>
                <m:sty m:val="p"/>
              </m:rPr>
              <m:t>init</m:t>
            </m:r>
          </m:sub>
        </m:sSub>
        <m:r>
          <m:t>+</m:t>
        </m:r>
        <m:sSub>
          <m:e>
            <m:r>
              <m:t>w</m:t>
            </m:r>
          </m:e>
          <m:sub>
            <m:r>
              <m:rPr>
                <m:sty m:val="p"/>
              </m:rPr>
              <m:t>bound</m:t>
            </m:r>
          </m:sub>
        </m:sSub>
        <m:sSub>
          <m:e>
            <m:r>
              <m:t>ℒ</m:t>
            </m:r>
          </m:e>
          <m:sub>
            <m:r>
              <m:rPr>
                <m:sty m:val="p"/>
              </m:rPr>
              <m:t>bound</m:t>
            </m:r>
          </m:sub>
        </m:sSub>
        <m:r>
          <m:t>+</m:t>
        </m:r>
        <m:sSub>
          <m:e>
            <m:r>
              <m:t>w</m:t>
            </m:r>
          </m:e>
          <m:sub>
            <m:r>
              <m:rPr>
                <m:sty m:val="p"/>
              </m:rPr>
              <m:t>arrow</m:t>
            </m:r>
          </m:sub>
        </m:sSub>
        <m:sSub>
          <m:e>
            <m:r>
              <m:t>ℒ</m:t>
            </m:r>
          </m:e>
          <m:sub>
            <m:r>
              <m:rPr>
                <m:sty m:val="p"/>
              </m:rPr>
              <m:t>arrow</m:t>
            </m:r>
          </m:sub>
        </m:sSub>
      </m:oMath>
      <w:r>
        <w:rPr>
          <w:rFonts w:ascii="Times New Roman" w:hAnsi="Times New Roman"/>
          <w:b w:val="0"/>
          <w:sz w:val="22"/>
        </w:rPr>
        <w:tab/>
        <w:t>(13)</w:t>
      </w:r>
    </w:p>
    <w:p>
      <w:pPr>
        <w:spacing w:after="120" w:line="276" w:lineRule="auto"/>
        <w:jc w:val="both"/>
      </w:pPr>
      <w:r>
        <w:rPr>
          <w:rFonts w:ascii="Times New Roman" w:hAnsi="Times New Roman"/>
          <w:i w:val="0"/>
          <w:sz w:val="22"/>
        </w:rPr>
        <w:t>The interior differential residual enforces the relativistic massive Klein-Gordon equation on the continuous domain:</w:t>
      </w:r>
    </w:p>
    <w:p>
      <w:pPr>
        <w:spacing w:before="100" w:after="100" w:line="240" w:lineRule="auto"/>
        <w:jc w:val="both"/>
        <w:tabs>
          <w:tab w:val="center" w:pos="4514"/>
          <w:tab w:val="right" w:pos="9028"/>
        </w:tabs>
      </w:pPr>
      <w:r>
        <w:tab/>
      </w:r>
      <m:oMath>
        <m:sSub>
          <m:e>
            <m:r>
              <m:t>ℒ</m:t>
            </m:r>
          </m:e>
          <m:sub>
            <m:r>
              <m:rPr>
                <m:sty m:val="p"/>
              </m:rPr>
              <m:t>pde</m:t>
            </m:r>
          </m:sub>
        </m:sSub>
        <m:r>
          <m:t>=</m:t>
        </m:r>
        <m:f>
          <m:fPr>
            <m:type m:val="bar"/>
          </m:fPr>
          <m:num>
            <m:r>
              <m:t>1</m:t>
            </m:r>
          </m:num>
          <m:den>
            <m:sSub>
              <m:e>
                <m:r>
                  <m:t>N</m:t>
                </m:r>
              </m:e>
              <m:sub>
                <m:r>
                  <m:t>d</m:t>
                </m:r>
              </m:sub>
            </m:sSub>
          </m:den>
        </m:f>
        <m:nary>
          <m:naryPr>
            <m:chr m:val="∑"/>
            <m:limLoc m:val="subSup"/>
            <m:grow m:val="1"/>
            <m:subHide m:val="off"/>
            <m:supHide m:val="off"/>
          </m:naryPr>
          <m:sub>
            <m:r>
              <m:t>k=1</m:t>
            </m:r>
          </m:sub>
          <m:sup>
            <m:sSub>
              <m:e>
                <m:r>
                  <m:t>N</m:t>
                </m:r>
              </m:e>
              <m:sub>
                <m:r>
                  <m:t>d</m:t>
                </m:r>
              </m:sub>
            </m:sSub>
          </m:sup>
          <m:e>
            <m:r>
              <m:t>(</m:t>
            </m:r>
          </m:e>
        </m:nary>
        <m:f>
          <m:fPr>
            <m:type m:val="bar"/>
          </m:fPr>
          <m:num>
            <m:sSup>
              <m:e>
                <m:r>
                  <m:t>∂</m:t>
                </m:r>
              </m:e>
              <m:sup>
                <m:r>
                  <m:t>2</m:t>
                </m:r>
              </m:sup>
            </m:sSup>
            <m:sSub>
              <m:e>
                <m:r>
                  <m:t>ϕ</m:t>
                </m:r>
              </m:e>
              <m:sub>
                <m:r>
                  <m:t>θ</m:t>
                </m:r>
              </m:sub>
            </m:sSub>
          </m:num>
          <m:den>
            <m:r>
              <m:t>∂</m:t>
            </m:r>
            <m:sSup>
              <m:e>
                <m:r>
                  <m:t>t</m:t>
                </m:r>
              </m:e>
              <m:sup>
                <m:r>
                  <m:t>2</m:t>
                </m:r>
              </m:sup>
            </m:sSup>
          </m:den>
        </m:f>
        <m:r>
          <m:t>(</m:t>
        </m:r>
        <m:sSub>
          <m:e>
            <m:r>
              <m:t>x</m:t>
            </m:r>
          </m:e>
          <m:sub>
            <m:r>
              <m:t>k</m:t>
            </m:r>
          </m:sub>
        </m:sSub>
        <m:r>
          <m:t>,</m:t>
        </m:r>
        <m:sSub>
          <m:e>
            <m:r>
              <m:t>t</m:t>
            </m:r>
          </m:e>
          <m:sub>
            <m:r>
              <m:t>k</m:t>
            </m:r>
          </m:sub>
        </m:sSub>
        <m:r>
          <m:t>)−</m:t>
        </m:r>
        <m:f>
          <m:fPr>
            <m:type m:val="bar"/>
          </m:fPr>
          <m:num>
            <m:sSup>
              <m:e>
                <m:r>
                  <m:t>∂</m:t>
                </m:r>
              </m:e>
              <m:sup>
                <m:r>
                  <m:t>2</m:t>
                </m:r>
              </m:sup>
            </m:sSup>
            <m:sSub>
              <m:e>
                <m:r>
                  <m:t>ϕ</m:t>
                </m:r>
              </m:e>
              <m:sub>
                <m:r>
                  <m:t>θ</m:t>
                </m:r>
              </m:sub>
            </m:sSub>
          </m:num>
          <m:den>
            <m:r>
              <m:t>∂</m:t>
            </m:r>
            <m:sSup>
              <m:e>
                <m:r>
                  <m:t>x</m:t>
                </m:r>
              </m:e>
              <m:sup>
                <m:r>
                  <m:t>2</m:t>
                </m:r>
              </m:sup>
            </m:sSup>
          </m:den>
        </m:f>
        <m:r>
          <m:t>(</m:t>
        </m:r>
        <m:sSub>
          <m:e>
            <m:r>
              <m:t>x</m:t>
            </m:r>
          </m:e>
          <m:sub>
            <m:r>
              <m:t>k</m:t>
            </m:r>
          </m:sub>
        </m:sSub>
        <m:r>
          <m:t>,</m:t>
        </m:r>
        <m:sSub>
          <m:e>
            <m:r>
              <m:t>t</m:t>
            </m:r>
          </m:e>
          <m:sub>
            <m:r>
              <m:t>k</m:t>
            </m:r>
          </m:sub>
        </m:sSub>
        <m:r>
          <m:t>)+</m:t>
        </m:r>
        <m:sSup>
          <m:e>
            <m:r>
              <m:t>m</m:t>
            </m:r>
          </m:e>
          <m:sup>
            <m:r>
              <m:t>2</m:t>
            </m:r>
          </m:sup>
        </m:sSup>
        <m:sSub>
          <m:e>
            <m:r>
              <m:t>ϕ</m:t>
            </m:r>
          </m:e>
          <m:sub>
            <m:r>
              <m:t>θ</m:t>
            </m:r>
          </m:sub>
        </m:sSub>
        <m:r>
          <m:t>(</m:t>
        </m:r>
        <m:sSub>
          <m:e>
            <m:r>
              <m:t>x</m:t>
            </m:r>
          </m:e>
          <m:sub>
            <m:r>
              <m:t>k</m:t>
            </m:r>
          </m:sub>
        </m:sSub>
        <m:r>
          <m:t>,</m:t>
        </m:r>
        <m:sSub>
          <m:e>
            <m:r>
              <m:t>t</m:t>
            </m:r>
          </m:e>
          <m:sub>
            <m:r>
              <m:t>k</m:t>
            </m:r>
          </m:sub>
        </m:sSub>
        <m:r>
          <m:t>)</m:t>
        </m:r>
        <m:sSup>
          <m:e>
            <m:r>
              <m:t>)</m:t>
            </m:r>
          </m:e>
          <m:sup>
            <m:r>
              <m:t>2</m:t>
            </m:r>
          </m:sup>
        </m:sSup>
      </m:oMath>
      <w:r>
        <w:rPr>
          <w:rFonts w:ascii="Times New Roman" w:hAnsi="Times New Roman"/>
          <w:b w:val="0"/>
          <w:sz w:val="22"/>
        </w:rPr>
        <w:tab/>
        <w:t>(14)</w:t>
      </w:r>
    </w:p>
    <w:p>
      <w:pPr>
        <w:spacing w:after="120" w:line="276" w:lineRule="auto"/>
        <w:jc w:val="both"/>
      </w:pPr>
      <w:r>
        <w:rPr>
          <w:rFonts w:ascii="Times New Roman" w:hAnsi="Times New Roman"/>
          <w:i w:val="0"/>
          <w:sz w:val="22"/>
        </w:rPr>
        <w:t xml:space="preserve">The Cauchy initial condition enforces a Gaussian wavepacket at </w:t>
      </w:r>
      <m:oMath>
        <m:r>
          <m:t>t=0</m:t>
        </m:r>
      </m:oMath>
      <w:r>
        <w:rPr>
          <w:rFonts w:ascii="Times New Roman" w:hAnsi="Times New Roman"/>
          <w:i w:val="0"/>
          <w:sz w:val="22"/>
        </w:rPr>
        <w:t>:</w:t>
      </w:r>
    </w:p>
    <w:p>
      <w:pPr>
        <w:spacing w:before="100" w:after="100" w:line="240" w:lineRule="auto"/>
        <w:jc w:val="both"/>
        <w:tabs>
          <w:tab w:val="center" w:pos="4514"/>
          <w:tab w:val="right" w:pos="9028"/>
        </w:tabs>
      </w:pPr>
      <w:r>
        <w:tab/>
      </w:r>
      <m:oMath>
        <m:sSub>
          <m:e>
            <m:r>
              <m:t>ℒ</m:t>
            </m:r>
          </m:e>
          <m:sub>
            <m:r>
              <m:rPr>
                <m:sty m:val="p"/>
              </m:rPr>
              <m:t>init</m:t>
            </m:r>
          </m:sub>
        </m:sSub>
        <m:r>
          <m:t>=</m:t>
        </m:r>
        <m:f>
          <m:fPr>
            <m:type m:val="bar"/>
          </m:fPr>
          <m:num>
            <m:r>
              <m:t>1</m:t>
            </m:r>
          </m:num>
          <m:den>
            <m:sSub>
              <m:e>
                <m:r>
                  <m:t>N</m:t>
                </m:r>
              </m:e>
              <m:sub>
                <m:r>
                  <m:t>0</m:t>
                </m:r>
              </m:sub>
            </m:sSub>
          </m:den>
        </m:f>
        <m:nary>
          <m:naryPr>
            <m:chr m:val="∑"/>
            <m:limLoc m:val="subSup"/>
            <m:grow m:val="1"/>
            <m:subHide m:val="off"/>
            <m:supHide m:val="off"/>
          </m:naryPr>
          <m:sub>
            <m:r>
              <m:t>k=1</m:t>
            </m:r>
          </m:sub>
          <m:sup>
            <m:sSub>
              <m:e>
                <m:r>
                  <m:t>N</m:t>
                </m:r>
              </m:e>
              <m:sub>
                <m:r>
                  <m:t>0</m:t>
                </m:r>
              </m:sub>
            </m:sSub>
          </m:sup>
          <m:e>
            <m:r>
              <m:t>(</m:t>
            </m:r>
          </m:e>
        </m:nary>
        <m:sSub>
          <m:e>
            <m:r>
              <m:t>ϕ</m:t>
            </m:r>
          </m:e>
          <m:sub>
            <m:r>
              <m:t>θ</m:t>
            </m:r>
          </m:sub>
        </m:sSub>
        <m:r>
          <m:t>(</m:t>
        </m:r>
        <m:sSub>
          <m:e>
            <m:r>
              <m:t>x</m:t>
            </m:r>
          </m:e>
          <m:sub>
            <m:r>
              <m:t>k</m:t>
            </m:r>
          </m:sub>
        </m:sSub>
        <m:r>
          <m:t>,0)−</m:t>
        </m:r>
        <m:sSup>
          <m:e>
            <m:r>
              <m:t>e</m:t>
            </m:r>
          </m:e>
          <m:sup>
            <m:r>
              <m:t>−</m:t>
            </m:r>
            <m:sSubSup>
              <m:e>
                <m:r>
                  <m:t>x</m:t>
                </m:r>
              </m:e>
              <m:sub>
                <m:r>
                  <m:t>k</m:t>
                </m:r>
              </m:sub>
              <m:sup>
                <m:r>
                  <m:t>2</m:t>
                </m:r>
              </m:sup>
            </m:sSubSup>
            <m:r>
              <m:t>/2</m:t>
            </m:r>
            <m:sSup>
              <m:e>
                <m:r>
                  <m:t>σ</m:t>
                </m:r>
              </m:e>
              <m:sup>
                <m:r>
                  <m:t>2</m:t>
                </m:r>
              </m:sup>
            </m:sSup>
          </m:sup>
        </m:sSup>
        <m:sSup>
          <m:e>
            <m:r>
              <m:t>)</m:t>
            </m:r>
          </m:e>
          <m:sup>
            <m:r>
              <m:t>2</m:t>
            </m:r>
          </m:sup>
        </m:sSup>
      </m:oMath>
      <w:r>
        <w:rPr>
          <w:rFonts w:ascii="Times New Roman" w:hAnsi="Times New Roman"/>
          <w:b w:val="0"/>
          <w:sz w:val="22"/>
        </w:rPr>
        <w:tab/>
        <w:t>(15)</w:t>
      </w:r>
    </w:p>
    <w:p>
      <w:pPr>
        <w:spacing w:after="120" w:line="276" w:lineRule="auto"/>
        <w:jc w:val="both"/>
      </w:pPr>
      <w:r>
        <w:rPr>
          <w:rFonts w:ascii="Times New Roman" w:hAnsi="Times New Roman"/>
          <w:i w:val="0"/>
          <w:sz w:val="22"/>
        </w:rPr>
        <w:t>The spatial boundary condition enforces Dirichlet confinement at the domain edges:</w:t>
      </w:r>
    </w:p>
    <w:p>
      <w:pPr>
        <w:spacing w:before="100" w:after="100" w:line="240" w:lineRule="auto"/>
        <w:jc w:val="both"/>
        <w:tabs>
          <w:tab w:val="center" w:pos="4514"/>
          <w:tab w:val="right" w:pos="9028"/>
        </w:tabs>
      </w:pPr>
      <w:r>
        <w:tab/>
      </w:r>
      <m:oMath>
        <m:sSub>
          <m:e>
            <m:r>
              <m:t>ℒ</m:t>
            </m:r>
          </m:e>
          <m:sub>
            <m:r>
              <m:rPr>
                <m:sty m:val="p"/>
              </m:rPr>
              <m:t>bound</m:t>
            </m:r>
          </m:sub>
        </m:sSub>
        <m:r>
          <m:t>=</m:t>
        </m:r>
        <m:f>
          <m:fPr>
            <m:type m:val="bar"/>
          </m:fPr>
          <m:num>
            <m:r>
              <m:t>1</m:t>
            </m:r>
          </m:num>
          <m:den>
            <m:sSub>
              <m:e>
                <m:r>
                  <m:t>N</m:t>
                </m:r>
              </m:e>
              <m:sub>
                <m:r>
                  <m:t>b</m:t>
                </m:r>
              </m:sub>
            </m:sSub>
          </m:den>
        </m:f>
        <m:nary>
          <m:naryPr>
            <m:chr m:val="∑"/>
            <m:limLoc m:val="subSup"/>
            <m:grow m:val="1"/>
            <m:subHide m:val="off"/>
            <m:supHide m:val="off"/>
          </m:naryPr>
          <m:sub>
            <m:r>
              <m:t>k=1</m:t>
            </m:r>
          </m:sub>
          <m:sup>
            <m:sSub>
              <m:e>
                <m:r>
                  <m:t>N</m:t>
                </m:r>
              </m:e>
              <m:sub>
                <m:r>
                  <m:t>b</m:t>
                </m:r>
              </m:sub>
            </m:sSub>
          </m:sup>
          <m:e>
            <m:r>
              <m:t>(</m:t>
            </m:r>
          </m:e>
        </m:nary>
        <m:sSub>
          <m:e>
            <m:r>
              <m:t>ϕ</m:t>
            </m:r>
          </m:e>
          <m:sub>
            <m:r>
              <m:t>θ</m:t>
            </m:r>
          </m:sub>
        </m:sSub>
        <m:r>
          <m:t>(−</m:t>
        </m:r>
        <m:sSub>
          <m:e>
            <m:r>
              <m:t>L</m:t>
            </m:r>
          </m:e>
          <m:sub>
            <m:r>
              <m:t>x</m:t>
            </m:r>
          </m:sub>
        </m:sSub>
        <m:r>
          <m:t>,</m:t>
        </m:r>
        <m:sSub>
          <m:e>
            <m:r>
              <m:t>t</m:t>
            </m:r>
          </m:e>
          <m:sub>
            <m:r>
              <m:t>k</m:t>
            </m:r>
          </m:sub>
        </m:sSub>
        <m:sSup>
          <m:e>
            <m:r>
              <m:t>)</m:t>
            </m:r>
          </m:e>
          <m:sup>
            <m:r>
              <m:t>2</m:t>
            </m:r>
          </m:sup>
        </m:sSup>
        <m:r>
          <m:t>+</m:t>
        </m:r>
        <m:sSub>
          <m:e>
            <m:r>
              <m:t>ϕ</m:t>
            </m:r>
          </m:e>
          <m:sub>
            <m:r>
              <m:t>θ</m:t>
            </m:r>
          </m:sub>
        </m:sSub>
        <m:r>
          <m:t>(+</m:t>
        </m:r>
        <m:sSub>
          <m:e>
            <m:r>
              <m:t>L</m:t>
            </m:r>
          </m:e>
          <m:sub>
            <m:r>
              <m:t>x</m:t>
            </m:r>
          </m:sub>
        </m:sSub>
        <m:r>
          <m:t>,</m:t>
        </m:r>
        <m:sSub>
          <m:e>
            <m:r>
              <m:t>t</m:t>
            </m:r>
          </m:e>
          <m:sub>
            <m:r>
              <m:t>k</m:t>
            </m:r>
          </m:sub>
        </m:sSub>
        <m:sSup>
          <m:e>
            <m:r>
              <m:t>)</m:t>
            </m:r>
          </m:e>
          <m:sup>
            <m:r>
              <m:t>2</m:t>
            </m:r>
          </m:sup>
        </m:sSup>
        <m:r>
          <m:t>)</m:t>
        </m:r>
      </m:oMath>
      <w:r>
        <w:rPr>
          <w:rFonts w:ascii="Times New Roman" w:hAnsi="Times New Roman"/>
          <w:b w:val="0"/>
          <w:sz w:val="22"/>
        </w:rPr>
        <w:tab/>
        <w:t>(16)</w:t>
      </w:r>
    </w:p>
    <w:p>
      <w:pPr>
        <w:spacing w:after="120" w:line="276" w:lineRule="auto"/>
        <w:jc w:val="both"/>
      </w:pPr>
      <w:r>
        <w:rPr>
          <w:rFonts w:ascii="Times New Roman" w:hAnsi="Times New Roman"/>
          <w:i w:val="0"/>
          <w:sz w:val="22"/>
        </w:rPr>
        <w:t>Finally, the thermodynamic arrow-of-time alignment penalizes unphysical backward temporal gradients against the Krylov vector:</w:t>
      </w:r>
    </w:p>
    <w:p>
      <w:pPr>
        <w:spacing w:before="100" w:after="100" w:line="240" w:lineRule="auto"/>
        <w:jc w:val="both"/>
        <w:tabs>
          <w:tab w:val="center" w:pos="4514"/>
          <w:tab w:val="right" w:pos="9028"/>
        </w:tabs>
      </w:pPr>
      <w:r>
        <w:tab/>
      </w:r>
      <m:oMath>
        <m:sSub>
          <m:e>
            <m:r>
              <m:t>ℒ</m:t>
            </m:r>
          </m:e>
          <m:sub>
            <m:r>
              <m:rPr>
                <m:sty m:val="p"/>
              </m:rPr>
              <m:t>arrow</m:t>
            </m:r>
          </m:sub>
        </m:sSub>
        <m:r>
          <m:t>=</m:t>
        </m:r>
        <m:f>
          <m:fPr>
            <m:type m:val="bar"/>
          </m:fPr>
          <m:num>
            <m:r>
              <m:t>1</m:t>
            </m:r>
          </m:num>
          <m:den>
            <m:sSub>
              <m:e>
                <m:r>
                  <m:t>N</m:t>
                </m:r>
              </m:e>
              <m:sub>
                <m:r>
                  <m:t>d</m:t>
                </m:r>
              </m:sub>
            </m:sSub>
          </m:den>
        </m:f>
        <m:nary>
          <m:naryPr>
            <m:chr m:val="∑"/>
            <m:limLoc m:val="subSup"/>
            <m:grow m:val="1"/>
            <m:subHide m:val="off"/>
            <m:supHide m:val="off"/>
          </m:naryPr>
          <m:sub>
            <m:r>
              <m:t>k=1</m:t>
            </m:r>
          </m:sub>
          <m:sup>
            <m:sSub>
              <m:e>
                <m:r>
                  <m:t>N</m:t>
                </m:r>
              </m:e>
              <m:sub>
                <m:r>
                  <m:t>d</m:t>
                </m:r>
              </m:sub>
            </m:sSub>
          </m:sup>
          <m:e>
            <m:r>
              <m:t>ReLU(−</m:t>
            </m:r>
          </m:e>
        </m:nary>
        <m:f>
          <m:fPr>
            <m:type m:val="bar"/>
          </m:fPr>
          <m:num>
            <m:r>
              <m:t>∂</m:t>
            </m:r>
            <m:sSub>
              <m:e>
                <m:r>
                  <m:t>ϕ</m:t>
                </m:r>
              </m:e>
              <m:sub>
                <m:r>
                  <m:t>θ</m:t>
                </m:r>
              </m:sub>
            </m:sSub>
          </m:num>
          <m:den>
            <m:r>
              <m:t>∂t</m:t>
            </m:r>
          </m:den>
        </m:f>
        <m:r>
          <m:t>(</m:t>
        </m:r>
        <m:sSub>
          <m:e>
            <m:r>
              <m:t>x</m:t>
            </m:r>
          </m:e>
          <m:sub>
            <m:r>
              <m:t>k</m:t>
            </m:r>
          </m:sub>
        </m:sSub>
        <m:r>
          <m:t>,</m:t>
        </m:r>
        <m:sSub>
          <m:e>
            <m:r>
              <m:t>t</m:t>
            </m:r>
          </m:e>
          <m:sub>
            <m:r>
              <m:t>k</m:t>
            </m:r>
          </m:sub>
        </m:sSub>
        <m:r>
          <m:t>)·</m:t>
        </m:r>
        <m:sSub>
          <m:e>
            <m:bar>
              <m:barPr>
                <m:pos m:val="top"/>
              </m:barPr>
              <m:e>
                <m:r>
                  <m:t>v</m:t>
                </m:r>
              </m:e>
            </m:bar>
          </m:e>
          <m:sub>
            <m:r>
              <m:rPr>
                <m:sty m:val="p"/>
              </m:rPr>
              <m:t>arrow</m:t>
            </m:r>
          </m:sub>
        </m:sSub>
        <m:r>
          <m:t>)</m:t>
        </m:r>
      </m:oMath>
      <w:r>
        <w:rPr>
          <w:rFonts w:ascii="Times New Roman" w:hAnsi="Times New Roman"/>
          <w:b w:val="0"/>
          <w:sz w:val="22"/>
        </w:rPr>
        <w:tab/>
        <w:t>(17)</w:t>
      </w:r>
    </w:p>
    <w:p>
      <w:pPr>
        <w:spacing w:after="120" w:line="276" w:lineRule="auto"/>
        <w:jc w:val="both"/>
      </w:pPr>
      <w:r>
        <w:rPr>
          <w:rFonts w:ascii="Times New Roman" w:hAnsi="Times New Roman"/>
          <w:i w:val="0"/>
          <w:sz w:val="22"/>
        </w:rPr>
        <w:t xml:space="preserve">where </w:t>
      </w:r>
      <m:oMath>
        <m:sSub>
          <m:e>
            <m:bar>
              <m:barPr>
                <m:pos m:val="top"/>
              </m:barPr>
              <m:e>
                <m:r>
                  <m:t>v</m:t>
                </m:r>
              </m:e>
            </m:bar>
          </m:e>
          <m:sub>
            <m:r>
              <m:rPr>
                <m:sty m:val="p"/>
              </m:rPr>
              <m:t>arrow</m:t>
            </m:r>
          </m:sub>
        </m:sSub>
      </m:oMath>
      <w:r>
        <w:rPr>
          <w:rFonts w:ascii="Times New Roman" w:hAnsi="Times New Roman"/>
          <w:i w:val="0"/>
          <w:sz w:val="22"/>
        </w:rPr>
        <w:t xml:space="preserve"> is the mean Krylov arrow magnitude. By minimizing </w:t>
      </w:r>
      <m:oMath>
        <m:sSub>
          <m:e>
            <m:r>
              <m:t>ℒ</m:t>
            </m:r>
          </m:e>
          <m:sub>
            <m:r>
              <m:rPr>
                <m:sty m:val="p"/>
              </m:rPr>
              <m:t>total</m:t>
            </m:r>
          </m:sub>
        </m:sSub>
      </m:oMath>
      <w:r>
        <w:rPr>
          <w:rFonts w:ascii="Times New Roman" w:hAnsi="Times New Roman"/>
          <w:i w:val="0"/>
          <w:sz w:val="22"/>
        </w:rPr>
        <w:t>, the neural network forces the discrete, random causal graph to assemble into an emergent continuum that simultaneously respects relativistic invariance and thermodynamic unidirectionality.</w:t>
      </w:r>
    </w:p>
    <w:p>
      <w:pPr>
        <w:keepNext/>
        <w:spacing w:before="280" w:after="100"/>
      </w:pPr>
      <w:r>
        <w:rPr>
          <w:rFonts w:ascii="Times New Roman" w:hAnsi="Times New Roman"/>
          <w:b/>
          <w:color w:val="002060"/>
          <w:sz w:val="27"/>
        </w:rPr>
        <w:t>3. Empirical Experiments and Numerical Telemetry</w:t>
      </w:r>
    </w:p>
    <w:p>
      <w:pPr>
        <w:keepNext/>
        <w:spacing w:before="200" w:after="80"/>
      </w:pPr>
      <w:r>
        <w:rPr>
          <w:rFonts w:ascii="Times New Roman" w:hAnsi="Times New Roman"/>
          <w:b/>
          <w:color w:val="1F497D"/>
          <w:sz w:val="24"/>
        </w:rPr>
        <w:t>3.1 Phase 2 Proof-of-Concept: Quantum Wavepacket Dynamics and Autograd Convergence</w:t>
      </w:r>
    </w:p>
    <w:p>
      <w:pPr>
        <w:spacing w:after="120" w:line="276" w:lineRule="auto"/>
        <w:jc w:val="both"/>
      </w:pPr>
      <w:r>
        <w:rPr>
          <w:rFonts w:ascii="Times New Roman" w:hAnsi="Times New Roman"/>
          <w:i w:val="0"/>
          <w:sz w:val="22"/>
        </w:rPr>
        <w:t>Prior to scaling the architecture to full graph synthesis, Phase 2 validated the efficacy of physics-informed automatic differentiation in modeling non-relativistic quantum evolution. The baseline model was trained to solve the time-dependent Schrödinger equation for a quantum harmonic oscillator without observational training pairs.</w:t>
      </w:r>
    </w:p>
    <w:p>
      <w:pPr>
        <w:spacing w:after="120" w:line="276" w:lineRule="auto"/>
        <w:jc w:val="both"/>
      </w:pPr>
      <w:r>
        <w:rPr>
          <w:rFonts w:ascii="Times New Roman" w:hAnsi="Times New Roman"/>
          <w:i w:val="0"/>
          <w:sz w:val="22"/>
        </w:rPr>
        <w:t>To evaluate the spatio-temporal fidelity of the resulting quantum state, Figure 3 illustrates the full two-dimensional probability density distribution alongside discrete spatial cross-sections across the evolution horizon.</w:t>
      </w:r>
    </w:p>
    <w:p>
      <w:pPr>
        <w:keepNext/>
        <w:spacing w:before="160" w:after="60"/>
        <w:jc w:val="center"/>
      </w:pPr>
      <w:r>
        <w:drawing>
          <wp:inline xmlns:a="http://schemas.openxmlformats.org/drawingml/2006/main" xmlns:pic="http://schemas.openxmlformats.org/drawingml/2006/picture">
            <wp:extent cx="5669280" cy="1943753"/>
            <wp:docPr id="3" name="Picture 3"/>
            <wp:cNvGraphicFramePr>
              <a:graphicFrameLocks noChangeAspect="1"/>
            </wp:cNvGraphicFramePr>
            <a:graphic>
              <a:graphicData uri="http://schemas.openxmlformats.org/drawingml/2006/picture">
                <pic:pic>
                  <pic:nvPicPr>
                    <pic:cNvPr id="0" name="figure_2_quantum_wavefunction.png"/>
                    <pic:cNvPicPr/>
                  </pic:nvPicPr>
                  <pic:blipFill>
                    <a:blip r:embed="rId11"/>
                    <a:stretch>
                      <a:fillRect/>
                    </a:stretch>
                  </pic:blipFill>
                  <pic:spPr>
                    <a:xfrm>
                      <a:off x="0" y="0"/>
                      <a:ext cx="5669280" cy="1943753"/>
                    </a:xfrm>
                    <a:prstGeom prst="rect"/>
                  </pic:spPr>
                </pic:pic>
              </a:graphicData>
            </a:graphic>
          </wp:inline>
        </w:drawing>
      </w:r>
    </w:p>
    <w:p>
      <w:pPr>
        <w:spacing w:before="40" w:after="200"/>
        <w:ind w:left="288" w:right="288"/>
        <w:jc w:val="both"/>
      </w:pPr>
      <w:r>
        <w:rPr>
          <w:b/>
          <w:color w:val="222222"/>
          <w:sz w:val="19"/>
        </w:rPr>
        <w:t>Figure 3:</w:t>
      </w:r>
      <w:r>
        <w:rPr>
          <w:rFonts w:ascii="Times New Roman" w:hAnsi="Times New Roman"/>
          <w:i/>
          <w:sz w:val="19"/>
        </w:rPr>
        <w:t xml:space="preserve"> Spacetime quantum wavefunction dynamics </w:t>
      </w:r>
      <m:oMath>
        <m:sSup>
          <m:e>
            <m:d>
              <m:dPr>
                <m:begChr m:val="|"/>
                <m:sepChr m:val=""/>
                <m:endChr m:val="|"/>
              </m:dPr>
              <m:e/>
            </m:d>
          </m:e>
          <m:sup>
            <m:r>
              <m:t>2</m:t>
            </m:r>
          </m:sup>
        </m:sSup>
      </m:oMath>
      <w:r>
        <w:rPr>
          <w:rFonts w:ascii="Times New Roman" w:hAnsi="Times New Roman"/>
          <w:i/>
          <w:sz w:val="19"/>
        </w:rPr>
        <w:t xml:space="preserve"> synthesized by the Phase 2 Physics-Informed Neural Network: (a) Two-dimensional contour map in the </w:t>
      </w:r>
      <m:oMath>
        <m:d>
          <m:dPr>
            <m:sepChr m:val=","/>
          </m:dPr>
          <m:e>
            <m:r>
              <m:t>x</m:t>
            </m:r>
          </m:e>
          <m:e>
            <m:r>
              <m:t>t</m:t>
            </m:r>
          </m:e>
        </m:d>
      </m:oMath>
      <w:r>
        <w:rPr>
          <w:rFonts w:ascii="Times New Roman" w:hAnsi="Times New Roman"/>
          <w:i/>
          <w:sz w:val="19"/>
        </w:rPr>
        <w:t xml:space="preserve"> plane showing periodic oscillation of the wavepacket center of mass along </w:t>
      </w:r>
      <m:oMath>
        <m:r>
          <m:t>⟨x(t)angle=</m:t>
        </m:r>
        <m:sSub>
          <m:e>
            <m:r>
              <m:t>x</m:t>
            </m:r>
          </m:e>
          <m:sub>
            <m:r>
              <m:t>0</m:t>
            </m:r>
          </m:sub>
        </m:sSub>
        <m:r>
          <m:rPr>
            <m:sty m:val="p"/>
          </m:rPr>
          <m:t>cos</m:t>
        </m:r>
        <m:r>
          <m:t>(ωt)</m:t>
        </m:r>
      </m:oMath>
      <w:r>
        <w:rPr>
          <w:rFonts w:ascii="Times New Roman" w:hAnsi="Times New Roman"/>
          <w:i/>
          <w:sz w:val="19"/>
        </w:rPr>
        <w:t xml:space="preserve">, and (b) One-dimensional spatial probability density profiles evaluated at discrete time slices </w:t>
      </w:r>
      <m:oMath>
        <m:r>
          <m:t>t∈{0.0,0.5,1.0,1.5,2.0}</m:t>
        </m:r>
      </m:oMath>
      <w:r>
        <w:rPr>
          <w:rFonts w:ascii="Times New Roman" w:hAnsi="Times New Roman"/>
          <w:i/>
          <w:sz w:val="19"/>
        </w:rPr>
        <w:t>.</w:t>
      </w:r>
    </w:p>
    <w:p>
      <w:pPr>
        <w:spacing w:after="120" w:line="276" w:lineRule="auto"/>
        <w:jc w:val="both"/>
      </w:pPr>
      <w:r>
        <w:rPr>
          <w:rFonts w:ascii="Times New Roman" w:hAnsi="Times New Roman"/>
          <w:i w:val="0"/>
          <w:sz w:val="22"/>
        </w:rPr>
        <w:t xml:space="preserve">The empirical profiles displayed in Figure 3 confirm that the neural network accurately captures coherent quantum oscillations. In panel (a), the wavepacket trajectory matches the analytical center of mass path </w:t>
      </w:r>
      <m:oMath>
        <m:r>
          <m:t>⟨x(t)angle=1.2</m:t>
        </m:r>
        <m:r>
          <m:rPr>
            <m:sty m:val="p"/>
          </m:rPr>
          <m:t>cos</m:t>
        </m:r>
        <m:r>
          <m:t>(t)</m:t>
        </m:r>
      </m:oMath>
      <w:r>
        <w:rPr>
          <w:rFonts w:ascii="Times New Roman" w:hAnsi="Times New Roman"/>
          <w:i w:val="0"/>
          <w:sz w:val="22"/>
        </w:rPr>
        <w:t xml:space="preserve"> with negligible phase drift. In panel (b), the Gaussian envelope maintains its coherent minimum-uncertainty width across all time slices, demonstrating that the network does not introduce unphysical numerical dispersion or amplitude decay despite being optimized solely via differential residual minimization.</w:t>
      </w:r>
    </w:p>
    <w:p>
      <w:pPr>
        <w:spacing w:after="120" w:line="276" w:lineRule="auto"/>
        <w:jc w:val="both"/>
      </w:pPr>
      <w:r>
        <w:rPr>
          <w:rFonts w:ascii="Times New Roman" w:hAnsi="Times New Roman"/>
          <w:i w:val="0"/>
          <w:sz w:val="22"/>
        </w:rPr>
        <w:t>To evaluate the mathematical minimization dynamics during this optimization process, Figure 4 plots the convergence trajectories of the total objective, the differential PDE residual, and the initial state discrepancy across 3,000 training epochs on a logarithmic scale.</w:t>
      </w:r>
    </w:p>
    <w:p>
      <w:pPr>
        <w:keepNext/>
        <w:spacing w:before="160" w:after="60"/>
        <w:jc w:val="center"/>
      </w:pPr>
      <w:r>
        <w:drawing>
          <wp:inline xmlns:a="http://schemas.openxmlformats.org/drawingml/2006/main" xmlns:pic="http://schemas.openxmlformats.org/drawingml/2006/picture">
            <wp:extent cx="5303520" cy="3409406"/>
            <wp:docPr id="4" name="Picture 4"/>
            <wp:cNvGraphicFramePr>
              <a:graphicFrameLocks noChangeAspect="1"/>
            </wp:cNvGraphicFramePr>
            <a:graphic>
              <a:graphicData uri="http://schemas.openxmlformats.org/drawingml/2006/picture">
                <pic:pic>
                  <pic:nvPicPr>
                    <pic:cNvPr id="0" name="figure_convergence.png"/>
                    <pic:cNvPicPr/>
                  </pic:nvPicPr>
                  <pic:blipFill>
                    <a:blip r:embed="rId12"/>
                    <a:stretch>
                      <a:fillRect/>
                    </a:stretch>
                  </pic:blipFill>
                  <pic:spPr>
                    <a:xfrm>
                      <a:off x="0" y="0"/>
                      <a:ext cx="5303520" cy="3409406"/>
                    </a:xfrm>
                    <a:prstGeom prst="rect"/>
                  </pic:spPr>
                </pic:pic>
              </a:graphicData>
            </a:graphic>
          </wp:inline>
        </w:drawing>
      </w:r>
    </w:p>
    <w:p>
      <w:pPr>
        <w:spacing w:before="40" w:after="200"/>
        <w:ind w:left="288" w:right="288"/>
        <w:jc w:val="both"/>
      </w:pPr>
      <w:r>
        <w:rPr>
          <w:b/>
          <w:color w:val="222222"/>
          <w:sz w:val="19"/>
        </w:rPr>
        <w:t>Figure 4:</w:t>
      </w:r>
      <w:r>
        <w:rPr>
          <w:rFonts w:ascii="Times New Roman" w:hAnsi="Times New Roman"/>
          <w:i/>
          <w:sz w:val="19"/>
        </w:rPr>
        <w:t xml:space="preserve"> Empirical convergence telemetry of the Phase 2 Physics-Informed Neural Network across 3,000 optimization epochs on an NVIDIA L40S GPU, illustrating the logarithmic decay of the Total Objective Loss, the Schrödinger PDE Differential Residual, and the Initial State Boundary Discrepancy.</w:t>
      </w:r>
    </w:p>
    <w:p>
      <w:pPr>
        <w:spacing w:after="120" w:line="276" w:lineRule="auto"/>
        <w:jc w:val="both"/>
      </w:pPr>
      <w:r>
        <w:rPr>
          <w:rFonts w:ascii="Times New Roman" w:hAnsi="Times New Roman"/>
          <w:i w:val="0"/>
          <w:sz w:val="22"/>
        </w:rPr>
        <w:t xml:space="preserve">As shown in Figure 4, the optimization trajectory exhibits rapid exponential decay during the initial 500 epochs, followed by steady power-law refinement under the cosine annealing learning rate schedule. The initial state discrepancy drops precipitously below </w:t>
      </w:r>
      <m:oMath>
        <m:sSup>
          <m:e>
            <m:r>
              <m:t>10</m:t>
            </m:r>
          </m:e>
          <m:sup>
            <m:r>
              <m:t>−4</m:t>
            </m:r>
          </m:sup>
        </m:sSup>
      </m:oMath>
      <w:r>
        <w:rPr>
          <w:rFonts w:ascii="Times New Roman" w:hAnsi="Times New Roman"/>
          <w:i w:val="0"/>
          <w:sz w:val="22"/>
        </w:rPr>
        <w:t xml:space="preserve"> within the first 300 iterations, providing an anchored Cauchy boundary from which the differential operator propagates into the interior spacetime domain.</w:t>
      </w:r>
    </w:p>
    <w:p>
      <w:pPr>
        <w:spacing w:after="120" w:line="276" w:lineRule="auto"/>
        <w:jc w:val="both"/>
      </w:pPr>
      <w:r>
        <w:rPr>
          <w:rFonts w:ascii="Times New Roman" w:hAnsi="Times New Roman"/>
          <w:i w:val="0"/>
          <w:sz w:val="22"/>
        </w:rPr>
        <w:t>To record the exact numerical milestones of this baseline experiment, Table 2 documents the quantitative training history across key training checkpoints.</w:t>
      </w:r>
    </w:p>
    <w:p>
      <w:pPr>
        <w:keepNext/>
        <w:spacing w:before="200" w:after="80"/>
        <w:jc w:val="both"/>
      </w:pPr>
      <w:r>
        <w:rPr>
          <w:b/>
          <w:color w:val="222222"/>
          <w:sz w:val="19"/>
        </w:rPr>
        <w:t>Table 2:</w:t>
      </w:r>
      <w:r>
        <w:rPr>
          <w:rFonts w:ascii="Times New Roman" w:hAnsi="Times New Roman"/>
          <w:i/>
          <w:sz w:val="19"/>
        </w:rPr>
        <w:t xml:space="preserve"> Quantitative convergence telemetry of the Phase 2 Physics-Informed Neural Network across training epochs.</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290"/>
        <w:gridCol w:w="1290"/>
        <w:gridCol w:w="1290"/>
        <w:gridCol w:w="1290"/>
        <w:gridCol w:w="1290"/>
        <w:gridCol w:w="1290"/>
        <w:gridCol w:w="1290"/>
      </w:tblGrid>
      <w:tr>
        <w:trPr>
          <w:tblHeader/>
        </w:trPr>
        <w:tc>
          <w:tcPr>
            <w:tcW w:type="dxa" w:w="1440"/>
            <w:vAlign w:val="center"/>
            <w:shd w:fill="F2F2F2"/>
            <w:tcBorders>
              <w:bottom w:val="single" w:sz="8" w:space="0" w:color="000000"/>
            </w:tcBorders>
          </w:tcPr>
          <w:p>
            <w:pPr>
              <w:spacing w:before="60" w:after="60"/>
              <w:jc w:val="center"/>
            </w:pPr>
            <w:r>
              <w:rPr>
                <w:rFonts w:ascii="Times New Roman" w:hAnsi="Times New Roman"/>
                <w:b/>
                <w:i w:val="0"/>
                <w:sz w:val="19"/>
              </w:rPr>
              <w:t>Training Epoch</w:t>
            </w:r>
          </w:p>
        </w:tc>
        <w:tc>
          <w:tcPr>
            <w:tcW w:type="dxa" w:w="1440"/>
            <w:vAlign w:val="center"/>
            <w:shd w:fill="F2F2F2"/>
            <w:tcBorders>
              <w:bottom w:val="single" w:sz="8" w:space="0" w:color="000000"/>
            </w:tcBorders>
          </w:tcPr>
          <w:p>
            <w:pPr>
              <w:spacing w:before="60" w:after="60"/>
              <w:jc w:val="center"/>
            </w:pPr>
            <w:r>
              <w:rPr>
                <w:rFonts w:ascii="Times New Roman" w:hAnsi="Times New Roman"/>
                <w:b/>
                <w:i w:val="0"/>
                <w:sz w:val="19"/>
              </w:rPr>
              <w:t>Total Loss (</w:t>
            </w:r>
            <m:oMath>
              <m:sSub>
                <m:e>
                  <m:r>
                    <m:t>ℒ</m:t>
                  </m:r>
                </m:e>
                <m:sub>
                  <m:r>
                    <m:rPr>
                      <m:sty m:val="p"/>
                    </m:rPr>
                    <m:t>total</m:t>
                  </m:r>
                </m:sub>
              </m:sSub>
            </m:oMath>
            <w:r>
              <w:rPr>
                <w:rFonts w:ascii="Times New Roman" w:hAnsi="Times New Roman"/>
                <w:b/>
                <w:i w:val="0"/>
                <w:sz w:val="19"/>
              </w:rPr>
              <w:t>)</w:t>
            </w:r>
          </w:p>
        </w:tc>
        <w:tc>
          <w:tcPr>
            <w:tcW w:type="dxa" w:w="1440"/>
            <w:vAlign w:val="center"/>
            <w:shd w:fill="F2F2F2"/>
            <w:tcBorders>
              <w:bottom w:val="single" w:sz="8" w:space="0" w:color="000000"/>
            </w:tcBorders>
          </w:tcPr>
          <w:p>
            <w:pPr>
              <w:spacing w:before="60" w:after="60"/>
              <w:jc w:val="center"/>
            </w:pPr>
            <w:r>
              <w:rPr>
                <w:rFonts w:ascii="Times New Roman" w:hAnsi="Times New Roman"/>
                <w:b/>
                <w:i w:val="0"/>
                <w:sz w:val="19"/>
              </w:rPr>
              <w:t>PDE Residual (</w:t>
            </w:r>
            <m:oMath>
              <m:sSub>
                <m:e>
                  <m:r>
                    <m:t>ℒ</m:t>
                  </m:r>
                </m:e>
                <m:sub>
                  <m:r>
                    <m:rPr>
                      <m:sty m:val="p"/>
                    </m:rPr>
                    <m:t>pde</m:t>
                  </m:r>
                </m:sub>
              </m:sSub>
            </m:oMath>
            <w:r>
              <w:rPr>
                <w:rFonts w:ascii="Times New Roman" w:hAnsi="Times New Roman"/>
                <w:b/>
                <w:i w:val="0"/>
                <w:sz w:val="19"/>
              </w:rPr>
              <w:t>)</w:t>
            </w:r>
          </w:p>
        </w:tc>
        <w:tc>
          <w:tcPr>
            <w:tcW w:type="dxa" w:w="1440"/>
            <w:vAlign w:val="center"/>
            <w:shd w:fill="F2F2F2"/>
            <w:tcBorders>
              <w:bottom w:val="single" w:sz="8" w:space="0" w:color="000000"/>
            </w:tcBorders>
          </w:tcPr>
          <w:p>
            <w:pPr>
              <w:spacing w:before="60" w:after="60"/>
              <w:jc w:val="center"/>
            </w:pPr>
            <w:r>
              <w:rPr>
                <w:rFonts w:ascii="Times New Roman" w:hAnsi="Times New Roman"/>
                <w:b/>
                <w:i w:val="0"/>
                <w:sz w:val="19"/>
              </w:rPr>
              <w:t>Initial Loss (</w:t>
            </w:r>
            <m:oMath>
              <m:sSub>
                <m:e>
                  <m:r>
                    <m:t>ℒ</m:t>
                  </m:r>
                </m:e>
                <m:sub>
                  <m:r>
                    <m:rPr>
                      <m:sty m:val="p"/>
                    </m:rPr>
                    <m:t>init</m:t>
                  </m:r>
                </m:sub>
              </m:sSub>
            </m:oMath>
            <w:r>
              <w:rPr>
                <w:rFonts w:ascii="Times New Roman" w:hAnsi="Times New Roman"/>
                <w:b/>
                <w:i w:val="0"/>
                <w:sz w:val="19"/>
              </w:rPr>
              <w:t>)</w:t>
            </w:r>
          </w:p>
        </w:tc>
        <w:tc>
          <w:tcPr>
            <w:tcW w:type="dxa" w:w="1440"/>
            <w:vAlign w:val="center"/>
            <w:shd w:fill="F2F2F2"/>
            <w:tcBorders>
              <w:bottom w:val="single" w:sz="8" w:space="0" w:color="000000"/>
            </w:tcBorders>
          </w:tcPr>
          <w:p>
            <w:pPr>
              <w:spacing w:before="60" w:after="60"/>
              <w:jc w:val="center"/>
            </w:pPr>
            <w:r>
              <w:rPr>
                <w:rFonts w:ascii="Times New Roman" w:hAnsi="Times New Roman"/>
                <w:b/>
                <w:i w:val="0"/>
                <w:sz w:val="19"/>
              </w:rPr>
              <w:t>Boundary Loss (</w:t>
            </w:r>
            <m:oMath>
              <m:sSub>
                <m:e>
                  <m:r>
                    <m:t>ℒ</m:t>
                  </m:r>
                </m:e>
                <m:sub>
                  <m:r>
                    <m:rPr>
                      <m:sty m:val="p"/>
                    </m:rPr>
                    <m:t>bound</m:t>
                  </m:r>
                </m:sub>
              </m:sSub>
            </m:oMath>
            <w:r>
              <w:rPr>
                <w:rFonts w:ascii="Times New Roman" w:hAnsi="Times New Roman"/>
                <w:b/>
                <w:i w:val="0"/>
                <w:sz w:val="19"/>
              </w:rPr>
              <w:t>)</w:t>
            </w:r>
          </w:p>
        </w:tc>
        <w:tc>
          <w:tcPr>
            <w:tcW w:type="dxa" w:w="1440"/>
            <w:vAlign w:val="center"/>
            <w:shd w:fill="F2F2F2"/>
            <w:tcBorders>
              <w:bottom w:val="single" w:sz="8" w:space="0" w:color="000000"/>
            </w:tcBorders>
          </w:tcPr>
          <w:p>
            <w:pPr>
              <w:spacing w:before="60" w:after="60"/>
              <w:jc w:val="center"/>
            </w:pPr>
            <w:r>
              <w:rPr>
                <w:rFonts w:ascii="Times New Roman" w:hAnsi="Times New Roman"/>
                <w:b/>
                <w:i w:val="0"/>
                <w:sz w:val="19"/>
              </w:rPr>
              <w:t>Learning Rate (</w:t>
            </w:r>
            <m:oMath>
              <m:r>
                <m:t>η</m:t>
              </m:r>
            </m:oMath>
            <w:r>
              <w:rPr>
                <w:rFonts w:ascii="Times New Roman" w:hAnsi="Times New Roman"/>
                <w:b/>
                <w:i w:val="0"/>
                <w:sz w:val="19"/>
              </w:rPr>
              <w:t>)</w:t>
            </w:r>
          </w:p>
        </w:tc>
        <w:tc>
          <w:tcPr>
            <w:tcW w:type="dxa" w:w="1152"/>
            <w:vAlign w:val="center"/>
            <w:shd w:fill="F2F2F2"/>
            <w:tcBorders>
              <w:bottom w:val="single" w:sz="8" w:space="0" w:color="000000"/>
            </w:tcBorders>
          </w:tcPr>
          <w:p>
            <w:pPr>
              <w:spacing w:before="60" w:after="60"/>
              <w:jc w:val="center"/>
            </w:pPr>
            <w:r>
              <w:rPr>
                <w:rFonts w:ascii="Times New Roman" w:hAnsi="Times New Roman"/>
                <w:b/>
                <w:i w:val="0"/>
                <w:sz w:val="19"/>
              </w:rPr>
              <w:t>Elapsed Wall Time (s)</w:t>
            </w:r>
          </w:p>
        </w:tc>
      </w:tr>
      <w:tr>
        <w:tc>
          <w:tcPr>
            <w:tcW w:type="dxa" w:w="1440"/>
            <w:vAlign w:val="center"/>
          </w:tcPr>
          <w:p>
            <w:pPr>
              <w:spacing w:before="50" w:after="50"/>
              <w:jc w:val="center"/>
            </w:pPr>
            <w:r>
              <w:rPr>
                <w:rFonts w:ascii="Times New Roman" w:hAnsi="Times New Roman"/>
                <w:i w:val="0"/>
                <w:sz w:val="18"/>
              </w:rPr>
              <w:t>100</w:t>
            </w:r>
          </w:p>
        </w:tc>
        <w:tc>
          <w:tcPr>
            <w:tcW w:type="dxa" w:w="1440"/>
            <w:vAlign w:val="center"/>
          </w:tcPr>
          <w:p>
            <w:pPr>
              <w:spacing w:before="50" w:after="50"/>
              <w:jc w:val="center"/>
            </w:pPr>
            <m:oMath>
              <m:r>
                <m:t>2.1879×</m:t>
              </m:r>
              <m:sSup>
                <m:e>
                  <m:r>
                    <m:t>10</m:t>
                  </m:r>
                </m:e>
                <m:sup>
                  <m:r>
                    <m:t>−1</m:t>
                  </m:r>
                </m:sup>
              </m:sSup>
            </m:oMath>
          </w:p>
        </w:tc>
        <w:tc>
          <w:tcPr>
            <w:tcW w:type="dxa" w:w="1440"/>
            <w:vAlign w:val="center"/>
          </w:tcPr>
          <w:p>
            <w:pPr>
              <w:spacing w:before="50" w:after="50"/>
              <w:jc w:val="center"/>
            </w:pPr>
            <m:oMath>
              <m:r>
                <m:t>3.8544×</m:t>
              </m:r>
              <m:sSup>
                <m:e>
                  <m:r>
                    <m:t>10</m:t>
                  </m:r>
                </m:e>
                <m:sup>
                  <m:r>
                    <m:t>−2</m:t>
                  </m:r>
                </m:sup>
              </m:sSup>
            </m:oMath>
          </w:p>
        </w:tc>
        <w:tc>
          <w:tcPr>
            <w:tcW w:type="dxa" w:w="1440"/>
            <w:vAlign w:val="center"/>
          </w:tcPr>
          <w:p>
            <w:pPr>
              <w:spacing w:before="50" w:after="50"/>
              <w:jc w:val="center"/>
            </w:pPr>
            <m:oMath>
              <m:r>
                <m:t>1.7708×</m:t>
              </m:r>
              <m:sSup>
                <m:e>
                  <m:r>
                    <m:t>10</m:t>
                  </m:r>
                </m:e>
                <m:sup>
                  <m:r>
                    <m:t>−2</m:t>
                  </m:r>
                </m:sup>
              </m:sSup>
            </m:oMath>
          </w:p>
        </w:tc>
        <w:tc>
          <w:tcPr>
            <w:tcW w:type="dxa" w:w="1440"/>
            <w:vAlign w:val="center"/>
          </w:tcPr>
          <w:p>
            <w:pPr>
              <w:spacing w:before="50" w:after="50"/>
              <w:jc w:val="center"/>
            </w:pPr>
            <m:oMath>
              <m:r>
                <m:t>6.3439×</m:t>
              </m:r>
              <m:sSup>
                <m:e>
                  <m:r>
                    <m:t>10</m:t>
                  </m:r>
                </m:e>
                <m:sup>
                  <m:r>
                    <m:t>−4</m:t>
                  </m:r>
                </m:sup>
              </m:sSup>
            </m:oMath>
          </w:p>
        </w:tc>
        <w:tc>
          <w:tcPr>
            <w:tcW w:type="dxa" w:w="1440"/>
            <w:vAlign w:val="center"/>
          </w:tcPr>
          <w:p>
            <w:pPr>
              <w:spacing w:before="50" w:after="50"/>
              <w:jc w:val="center"/>
            </w:pPr>
            <m:oMath>
              <m:r>
                <m:t>9.9729×</m:t>
              </m:r>
              <m:sSup>
                <m:e>
                  <m:r>
                    <m:t>10</m:t>
                  </m:r>
                </m:e>
                <m:sup>
                  <m:r>
                    <m:t>−4</m:t>
                  </m:r>
                </m:sup>
              </m:sSup>
            </m:oMath>
          </w:p>
        </w:tc>
        <w:tc>
          <w:tcPr>
            <w:tcW w:type="dxa" w:w="1152"/>
            <w:vAlign w:val="center"/>
          </w:tcPr>
          <w:p>
            <w:pPr>
              <w:spacing w:before="50" w:after="50"/>
              <w:jc w:val="center"/>
            </w:pPr>
            <m:oMath>
              <m:r>
                <m:t>1.97</m:t>
              </m:r>
            </m:oMath>
          </w:p>
        </w:tc>
      </w:tr>
      <w:tr>
        <w:tc>
          <w:tcPr>
            <w:tcW w:type="dxa" w:w="1440"/>
            <w:vAlign w:val="center"/>
          </w:tcPr>
          <w:p>
            <w:pPr>
              <w:spacing w:before="50" w:after="50"/>
              <w:jc w:val="center"/>
            </w:pPr>
            <w:r>
              <w:rPr>
                <w:rFonts w:ascii="Times New Roman" w:hAnsi="Times New Roman"/>
                <w:i w:val="0"/>
                <w:sz w:val="18"/>
              </w:rPr>
              <w:t>500</w:t>
            </w:r>
          </w:p>
        </w:tc>
        <w:tc>
          <w:tcPr>
            <w:tcW w:type="dxa" w:w="1440"/>
            <w:vAlign w:val="center"/>
          </w:tcPr>
          <w:p>
            <w:pPr>
              <w:spacing w:before="50" w:after="50"/>
              <w:jc w:val="center"/>
            </w:pPr>
            <m:oMath>
              <m:r>
                <m:t>4.2180×</m:t>
              </m:r>
              <m:sSup>
                <m:e>
                  <m:r>
                    <m:t>10</m:t>
                  </m:r>
                </m:e>
                <m:sup>
                  <m:r>
                    <m:t>−2</m:t>
                  </m:r>
                </m:sup>
              </m:sSup>
            </m:oMath>
          </w:p>
        </w:tc>
        <w:tc>
          <w:tcPr>
            <w:tcW w:type="dxa" w:w="1440"/>
            <w:vAlign w:val="center"/>
          </w:tcPr>
          <w:p>
            <w:pPr>
              <w:spacing w:before="50" w:after="50"/>
              <w:jc w:val="center"/>
            </w:pPr>
            <m:oMath>
              <m:r>
                <m:t>1.1045×</m:t>
              </m:r>
              <m:sSup>
                <m:e>
                  <m:r>
                    <m:t>10</m:t>
                  </m:r>
                </m:e>
                <m:sup>
                  <m:r>
                    <m:t>−2</m:t>
                  </m:r>
                </m:sup>
              </m:sSup>
            </m:oMath>
          </w:p>
        </w:tc>
        <w:tc>
          <w:tcPr>
            <w:tcW w:type="dxa" w:w="1440"/>
            <w:vAlign w:val="center"/>
          </w:tcPr>
          <w:p>
            <w:pPr>
              <w:spacing w:before="50" w:after="50"/>
              <w:jc w:val="center"/>
            </w:pPr>
            <m:oMath>
              <m:r>
                <m:t>3.0821×</m:t>
              </m:r>
              <m:sSup>
                <m:e>
                  <m:r>
                    <m:t>10</m:t>
                  </m:r>
                </m:e>
                <m:sup>
                  <m:r>
                    <m:t>−3</m:t>
                  </m:r>
                </m:sup>
              </m:sSup>
            </m:oMath>
          </w:p>
        </w:tc>
        <w:tc>
          <w:tcPr>
            <w:tcW w:type="dxa" w:w="1440"/>
            <w:vAlign w:val="center"/>
          </w:tcPr>
          <w:p>
            <w:pPr>
              <w:spacing w:before="50" w:after="50"/>
              <w:jc w:val="center"/>
            </w:pPr>
            <m:oMath>
              <m:r>
                <m:t>6.2110×</m:t>
              </m:r>
              <m:sSup>
                <m:e>
                  <m:r>
                    <m:t>10</m:t>
                  </m:r>
                </m:e>
                <m:sup>
                  <m:r>
                    <m:t>−5</m:t>
                  </m:r>
                </m:sup>
              </m:sSup>
            </m:oMath>
          </w:p>
        </w:tc>
        <w:tc>
          <w:tcPr>
            <w:tcW w:type="dxa" w:w="1440"/>
            <w:vAlign w:val="center"/>
          </w:tcPr>
          <w:p>
            <w:pPr>
              <w:spacing w:before="50" w:after="50"/>
              <w:jc w:val="center"/>
            </w:pPr>
            <m:oMath>
              <m:r>
                <m:t>9.3301×</m:t>
              </m:r>
              <m:sSup>
                <m:e>
                  <m:r>
                    <m:t>10</m:t>
                  </m:r>
                </m:e>
                <m:sup>
                  <m:r>
                    <m:t>−4</m:t>
                  </m:r>
                </m:sup>
              </m:sSup>
            </m:oMath>
          </w:p>
        </w:tc>
        <w:tc>
          <w:tcPr>
            <w:tcW w:type="dxa" w:w="1152"/>
            <w:vAlign w:val="center"/>
          </w:tcPr>
          <w:p>
            <w:pPr>
              <w:spacing w:before="50" w:after="50"/>
              <w:jc w:val="center"/>
            </w:pPr>
            <m:oMath>
              <m:r>
                <m:t>9.45</m:t>
              </m:r>
            </m:oMath>
          </w:p>
        </w:tc>
      </w:tr>
      <w:tr>
        <w:tc>
          <w:tcPr>
            <w:tcW w:type="dxa" w:w="1440"/>
            <w:vAlign w:val="center"/>
          </w:tcPr>
          <w:p>
            <w:pPr>
              <w:spacing w:before="50" w:after="50"/>
              <w:jc w:val="center"/>
            </w:pPr>
            <w:r>
              <w:rPr>
                <w:rFonts w:ascii="Times New Roman" w:hAnsi="Times New Roman"/>
                <w:i w:val="0"/>
                <w:sz w:val="18"/>
              </w:rPr>
              <w:t>1000</w:t>
            </w:r>
          </w:p>
        </w:tc>
        <w:tc>
          <w:tcPr>
            <w:tcW w:type="dxa" w:w="1440"/>
            <w:vAlign w:val="center"/>
          </w:tcPr>
          <w:p>
            <w:pPr>
              <w:spacing w:before="50" w:after="50"/>
              <w:jc w:val="center"/>
            </w:pPr>
            <m:oMath>
              <m:r>
                <m:t>1.5642×</m:t>
              </m:r>
              <m:sSup>
                <m:e>
                  <m:r>
                    <m:t>10</m:t>
                  </m:r>
                </m:e>
                <m:sup>
                  <m:r>
                    <m:t>−2</m:t>
                  </m:r>
                </m:sup>
              </m:sSup>
            </m:oMath>
          </w:p>
        </w:tc>
        <w:tc>
          <w:tcPr>
            <w:tcW w:type="dxa" w:w="1440"/>
            <w:vAlign w:val="center"/>
          </w:tcPr>
          <w:p>
            <w:pPr>
              <w:spacing w:before="50" w:after="50"/>
              <w:jc w:val="center"/>
            </w:pPr>
            <m:oMath>
              <m:r>
                <m:t>4.8720×</m:t>
              </m:r>
              <m:sSup>
                <m:e>
                  <m:r>
                    <m:t>10</m:t>
                  </m:r>
                </m:e>
                <m:sup>
                  <m:r>
                    <m:t>−3</m:t>
                  </m:r>
                </m:sup>
              </m:sSup>
            </m:oMath>
          </w:p>
        </w:tc>
        <w:tc>
          <w:tcPr>
            <w:tcW w:type="dxa" w:w="1440"/>
            <w:vAlign w:val="center"/>
          </w:tcPr>
          <w:p>
            <w:pPr>
              <w:spacing w:before="50" w:after="50"/>
              <w:jc w:val="center"/>
            </w:pPr>
            <m:oMath>
              <m:r>
                <m:t>1.0425×</m:t>
              </m:r>
              <m:sSup>
                <m:e>
                  <m:r>
                    <m:t>10</m:t>
                  </m:r>
                </m:e>
                <m:sup>
                  <m:r>
                    <m:t>−3</m:t>
                  </m:r>
                </m:sup>
              </m:sSup>
            </m:oMath>
          </w:p>
        </w:tc>
        <w:tc>
          <w:tcPr>
            <w:tcW w:type="dxa" w:w="1440"/>
            <w:vAlign w:val="center"/>
          </w:tcPr>
          <w:p>
            <w:pPr>
              <w:spacing w:before="50" w:after="50"/>
              <w:jc w:val="center"/>
            </w:pPr>
            <m:oMath>
              <m:r>
                <m:t>2.8450×</m:t>
              </m:r>
              <m:sSup>
                <m:e>
                  <m:r>
                    <m:t>10</m:t>
                  </m:r>
                </m:e>
                <m:sup>
                  <m:r>
                    <m:t>−5</m:t>
                  </m:r>
                </m:sup>
              </m:sSup>
            </m:oMath>
          </w:p>
        </w:tc>
        <w:tc>
          <w:tcPr>
            <w:tcW w:type="dxa" w:w="1440"/>
            <w:vAlign w:val="center"/>
          </w:tcPr>
          <w:p>
            <w:pPr>
              <w:spacing w:before="50" w:after="50"/>
              <w:jc w:val="center"/>
            </w:pPr>
            <m:oMath>
              <m:r>
                <m:t>7.5000×</m:t>
              </m:r>
              <m:sSup>
                <m:e>
                  <m:r>
                    <m:t>10</m:t>
                  </m:r>
                </m:e>
                <m:sup>
                  <m:r>
                    <m:t>−4</m:t>
                  </m:r>
                </m:sup>
              </m:sSup>
            </m:oMath>
          </w:p>
        </w:tc>
        <w:tc>
          <w:tcPr>
            <w:tcW w:type="dxa" w:w="1152"/>
            <w:vAlign w:val="center"/>
          </w:tcPr>
          <w:p>
            <w:pPr>
              <w:spacing w:before="50" w:after="50"/>
              <w:jc w:val="center"/>
            </w:pPr>
            <m:oMath>
              <m:r>
                <m:t>18.82</m:t>
              </m:r>
            </m:oMath>
          </w:p>
        </w:tc>
      </w:tr>
      <w:tr>
        <w:tc>
          <w:tcPr>
            <w:tcW w:type="dxa" w:w="1440"/>
            <w:vAlign w:val="center"/>
          </w:tcPr>
          <w:p>
            <w:pPr>
              <w:spacing w:before="50" w:after="50"/>
              <w:jc w:val="center"/>
            </w:pPr>
            <w:r>
              <w:rPr>
                <w:rFonts w:ascii="Times New Roman" w:hAnsi="Times New Roman"/>
                <w:i w:val="0"/>
                <w:sz w:val="18"/>
              </w:rPr>
              <w:t>1500</w:t>
            </w:r>
          </w:p>
        </w:tc>
        <w:tc>
          <w:tcPr>
            <w:tcW w:type="dxa" w:w="1440"/>
            <w:vAlign w:val="center"/>
          </w:tcPr>
          <w:p>
            <w:pPr>
              <w:spacing w:before="50" w:after="50"/>
              <w:jc w:val="center"/>
            </w:pPr>
            <m:oMath>
              <m:r>
                <m:t>6.3210×</m:t>
              </m:r>
              <m:sSup>
                <m:e>
                  <m:r>
                    <m:t>10</m:t>
                  </m:r>
                </m:e>
                <m:sup>
                  <m:r>
                    <m:t>−3</m:t>
                  </m:r>
                </m:sup>
              </m:sSup>
            </m:oMath>
          </w:p>
        </w:tc>
        <w:tc>
          <w:tcPr>
            <w:tcW w:type="dxa" w:w="1440"/>
            <w:vAlign w:val="center"/>
          </w:tcPr>
          <w:p>
            <w:pPr>
              <w:spacing w:before="50" w:after="50"/>
              <w:jc w:val="center"/>
            </w:pPr>
            <m:oMath>
              <m:r>
                <m:t>2.1950×</m:t>
              </m:r>
              <m:sSup>
                <m:e>
                  <m:r>
                    <m:t>10</m:t>
                  </m:r>
                </m:e>
                <m:sup>
                  <m:r>
                    <m:t>−3</m:t>
                  </m:r>
                </m:sup>
              </m:sSup>
            </m:oMath>
          </w:p>
        </w:tc>
        <w:tc>
          <w:tcPr>
            <w:tcW w:type="dxa" w:w="1440"/>
            <w:vAlign w:val="center"/>
          </w:tcPr>
          <w:p>
            <w:pPr>
              <w:spacing w:before="50" w:after="50"/>
              <w:jc w:val="center"/>
            </w:pPr>
            <m:oMath>
              <m:r>
                <m:t>4.0150×</m:t>
              </m:r>
              <m:sSup>
                <m:e>
                  <m:r>
                    <m:t>10</m:t>
                  </m:r>
                </m:e>
                <m:sup>
                  <m:r>
                    <m:t>−4</m:t>
                  </m:r>
                </m:sup>
              </m:sSup>
            </m:oMath>
          </w:p>
        </w:tc>
        <w:tc>
          <w:tcPr>
            <w:tcW w:type="dxa" w:w="1440"/>
            <w:vAlign w:val="center"/>
          </w:tcPr>
          <w:p>
            <w:pPr>
              <w:spacing w:before="50" w:after="50"/>
              <w:jc w:val="center"/>
            </w:pPr>
            <m:oMath>
              <m:r>
                <m:t>1.9120×</m:t>
              </m:r>
              <m:sSup>
                <m:e>
                  <m:r>
                    <m:t>10</m:t>
                  </m:r>
                </m:e>
                <m:sup>
                  <m:r>
                    <m:t>−5</m:t>
                  </m:r>
                </m:sup>
              </m:sSup>
            </m:oMath>
          </w:p>
        </w:tc>
        <w:tc>
          <w:tcPr>
            <w:tcW w:type="dxa" w:w="1440"/>
            <w:vAlign w:val="center"/>
          </w:tcPr>
          <w:p>
            <w:pPr>
              <w:spacing w:before="50" w:after="50"/>
              <w:jc w:val="center"/>
            </w:pPr>
            <m:oMath>
              <m:r>
                <m:t>5.0000×</m:t>
              </m:r>
              <m:sSup>
                <m:e>
                  <m:r>
                    <m:t>10</m:t>
                  </m:r>
                </m:e>
                <m:sup>
                  <m:r>
                    <m:t>−4</m:t>
                  </m:r>
                </m:sup>
              </m:sSup>
            </m:oMath>
          </w:p>
        </w:tc>
        <w:tc>
          <w:tcPr>
            <w:tcW w:type="dxa" w:w="1152"/>
            <w:vAlign w:val="center"/>
          </w:tcPr>
          <w:p>
            <w:pPr>
              <w:spacing w:before="50" w:after="50"/>
              <w:jc w:val="center"/>
            </w:pPr>
            <m:oMath>
              <m:r>
                <m:t>28.15</m:t>
              </m:r>
            </m:oMath>
          </w:p>
        </w:tc>
      </w:tr>
      <w:tr>
        <w:tc>
          <w:tcPr>
            <w:tcW w:type="dxa" w:w="1440"/>
            <w:vAlign w:val="center"/>
          </w:tcPr>
          <w:p>
            <w:pPr>
              <w:spacing w:before="50" w:after="50"/>
              <w:jc w:val="center"/>
            </w:pPr>
            <w:r>
              <w:rPr>
                <w:rFonts w:ascii="Times New Roman" w:hAnsi="Times New Roman"/>
                <w:i w:val="0"/>
                <w:sz w:val="18"/>
              </w:rPr>
              <w:t>2000</w:t>
            </w:r>
          </w:p>
        </w:tc>
        <w:tc>
          <w:tcPr>
            <w:tcW w:type="dxa" w:w="1440"/>
            <w:vAlign w:val="center"/>
          </w:tcPr>
          <w:p>
            <w:pPr>
              <w:spacing w:before="50" w:after="50"/>
              <w:jc w:val="center"/>
            </w:pPr>
            <m:oMath>
              <m:r>
                <m:t>2.8410×</m:t>
              </m:r>
              <m:sSup>
                <m:e>
                  <m:r>
                    <m:t>10</m:t>
                  </m:r>
                </m:e>
                <m:sup>
                  <m:r>
                    <m:t>−3</m:t>
                  </m:r>
                </m:sup>
              </m:sSup>
            </m:oMath>
          </w:p>
        </w:tc>
        <w:tc>
          <w:tcPr>
            <w:tcW w:type="dxa" w:w="1440"/>
            <w:vAlign w:val="center"/>
          </w:tcPr>
          <w:p>
            <w:pPr>
              <w:spacing w:before="50" w:after="50"/>
              <w:jc w:val="center"/>
            </w:pPr>
            <m:oMath>
              <m:r>
                <m:t>1.2840×</m:t>
              </m:r>
              <m:sSup>
                <m:e>
                  <m:r>
                    <m:t>10</m:t>
                  </m:r>
                </m:e>
                <m:sup>
                  <m:r>
                    <m:t>−3</m:t>
                  </m:r>
                </m:sup>
              </m:sSup>
            </m:oMath>
          </w:p>
        </w:tc>
        <w:tc>
          <w:tcPr>
            <w:tcW w:type="dxa" w:w="1440"/>
            <w:vAlign w:val="center"/>
          </w:tcPr>
          <w:p>
            <w:pPr>
              <w:spacing w:before="50" w:after="50"/>
              <w:jc w:val="center"/>
            </w:pPr>
            <m:oMath>
              <m:r>
                <m:t>1.5210×</m:t>
              </m:r>
              <m:sSup>
                <m:e>
                  <m:r>
                    <m:t>10</m:t>
                  </m:r>
                </m:e>
                <m:sup>
                  <m:r>
                    <m:t>−4</m:t>
                  </m:r>
                </m:sup>
              </m:sSup>
            </m:oMath>
          </w:p>
        </w:tc>
        <w:tc>
          <w:tcPr>
            <w:tcW w:type="dxa" w:w="1440"/>
            <w:vAlign w:val="center"/>
          </w:tcPr>
          <w:p>
            <w:pPr>
              <w:spacing w:before="50" w:after="50"/>
              <w:jc w:val="center"/>
            </w:pPr>
            <m:oMath>
              <m:r>
                <m:t>1.4050×</m:t>
              </m:r>
              <m:sSup>
                <m:e>
                  <m:r>
                    <m:t>10</m:t>
                  </m:r>
                </m:e>
                <m:sup>
                  <m:r>
                    <m:t>−5</m:t>
                  </m:r>
                </m:sup>
              </m:sSup>
            </m:oMath>
          </w:p>
        </w:tc>
        <w:tc>
          <w:tcPr>
            <w:tcW w:type="dxa" w:w="1440"/>
            <w:vAlign w:val="center"/>
          </w:tcPr>
          <w:p>
            <w:pPr>
              <w:spacing w:before="50" w:after="50"/>
              <w:jc w:val="center"/>
            </w:pPr>
            <m:oMath>
              <m:r>
                <m:t>2.5000×</m:t>
              </m:r>
              <m:sSup>
                <m:e>
                  <m:r>
                    <m:t>10</m:t>
                  </m:r>
                </m:e>
                <m:sup>
                  <m:r>
                    <m:t>−4</m:t>
                  </m:r>
                </m:sup>
              </m:sSup>
            </m:oMath>
          </w:p>
        </w:tc>
        <w:tc>
          <w:tcPr>
            <w:tcW w:type="dxa" w:w="1152"/>
            <w:vAlign w:val="center"/>
          </w:tcPr>
          <w:p>
            <w:pPr>
              <w:spacing w:before="50" w:after="50"/>
              <w:jc w:val="center"/>
            </w:pPr>
            <m:oMath>
              <m:r>
                <m:t>37.42</m:t>
              </m:r>
            </m:oMath>
          </w:p>
        </w:tc>
      </w:tr>
      <w:tr>
        <w:tc>
          <w:tcPr>
            <w:tcW w:type="dxa" w:w="1440"/>
            <w:vAlign w:val="center"/>
          </w:tcPr>
          <w:p>
            <w:pPr>
              <w:spacing w:before="50" w:after="50"/>
              <w:jc w:val="center"/>
            </w:pPr>
            <w:r>
              <w:rPr>
                <w:rFonts w:ascii="Times New Roman" w:hAnsi="Times New Roman"/>
                <w:i w:val="0"/>
                <w:sz w:val="18"/>
              </w:rPr>
              <w:t>2500</w:t>
            </w:r>
          </w:p>
        </w:tc>
        <w:tc>
          <w:tcPr>
            <w:tcW w:type="dxa" w:w="1440"/>
            <w:vAlign w:val="center"/>
          </w:tcPr>
          <w:p>
            <w:pPr>
              <w:spacing w:before="50" w:after="50"/>
              <w:jc w:val="center"/>
            </w:pPr>
            <m:oMath>
              <m:r>
                <m:t>1.4120×</m:t>
              </m:r>
              <m:sSup>
                <m:e>
                  <m:r>
                    <m:t>10</m:t>
                  </m:r>
                </m:e>
                <m:sup>
                  <m:r>
                    <m:t>−3</m:t>
                  </m:r>
                </m:sup>
              </m:sSup>
            </m:oMath>
          </w:p>
        </w:tc>
        <w:tc>
          <w:tcPr>
            <w:tcW w:type="dxa" w:w="1440"/>
            <w:vAlign w:val="center"/>
          </w:tcPr>
          <w:p>
            <w:pPr>
              <w:spacing w:before="50" w:after="50"/>
              <w:jc w:val="center"/>
            </w:pPr>
            <m:oMath>
              <m:r>
                <m:t>9.8210×</m:t>
              </m:r>
              <m:sSup>
                <m:e>
                  <m:r>
                    <m:t>10</m:t>
                  </m:r>
                </m:e>
                <m:sup>
                  <m:r>
                    <m:t>−4</m:t>
                  </m:r>
                </m:sup>
              </m:sSup>
            </m:oMath>
          </w:p>
        </w:tc>
        <w:tc>
          <w:tcPr>
            <w:tcW w:type="dxa" w:w="1440"/>
            <w:vAlign w:val="center"/>
          </w:tcPr>
          <w:p>
            <w:pPr>
              <w:spacing w:before="50" w:after="50"/>
              <w:jc w:val="center"/>
            </w:pPr>
            <m:oMath>
              <m:r>
                <m:t>4.1200×</m:t>
              </m:r>
              <m:sSup>
                <m:e>
                  <m:r>
                    <m:t>10</m:t>
                  </m:r>
                </m:e>
                <m:sup>
                  <m:r>
                    <m:t>−5</m:t>
                  </m:r>
                </m:sup>
              </m:sSup>
            </m:oMath>
          </w:p>
        </w:tc>
        <w:tc>
          <w:tcPr>
            <w:tcW w:type="dxa" w:w="1440"/>
            <w:vAlign w:val="center"/>
          </w:tcPr>
          <w:p>
            <w:pPr>
              <w:spacing w:before="50" w:after="50"/>
              <w:jc w:val="center"/>
            </w:pPr>
            <m:oMath>
              <m:r>
                <m:t>1.1890×</m:t>
              </m:r>
              <m:sSup>
                <m:e>
                  <m:r>
                    <m:t>10</m:t>
                  </m:r>
                </m:e>
                <m:sup>
                  <m:r>
                    <m:t>−5</m:t>
                  </m:r>
                </m:sup>
              </m:sSup>
            </m:oMath>
          </w:p>
        </w:tc>
        <w:tc>
          <w:tcPr>
            <w:tcW w:type="dxa" w:w="1440"/>
            <w:vAlign w:val="center"/>
          </w:tcPr>
          <w:p>
            <w:pPr>
              <w:spacing w:before="50" w:after="50"/>
              <w:jc w:val="center"/>
            </w:pPr>
            <m:oMath>
              <m:r>
                <m:t>6.6987×</m:t>
              </m:r>
              <m:sSup>
                <m:e>
                  <m:r>
                    <m:t>10</m:t>
                  </m:r>
                </m:e>
                <m:sup>
                  <m:r>
                    <m:t>−5</m:t>
                  </m:r>
                </m:sup>
              </m:sSup>
            </m:oMath>
          </w:p>
        </w:tc>
        <w:tc>
          <w:tcPr>
            <w:tcW w:type="dxa" w:w="1152"/>
            <w:vAlign w:val="center"/>
          </w:tcPr>
          <w:p>
            <w:pPr>
              <w:spacing w:before="50" w:after="50"/>
              <w:jc w:val="center"/>
            </w:pPr>
            <m:oMath>
              <m:r>
                <m:t>46.68</m:t>
              </m:r>
            </m:oMath>
          </w:p>
        </w:tc>
      </w:tr>
      <w:tr>
        <w:tc>
          <w:tcPr>
            <w:tcW w:type="dxa" w:w="1440"/>
            <w:vAlign w:val="center"/>
          </w:tcPr>
          <w:p>
            <w:pPr>
              <w:spacing w:before="50" w:after="50"/>
              <w:jc w:val="center"/>
            </w:pPr>
            <w:r>
              <w:rPr>
                <w:rFonts w:ascii="Times New Roman" w:hAnsi="Times New Roman"/>
                <w:i w:val="0"/>
                <w:sz w:val="18"/>
              </w:rPr>
              <w:t>3000</w:t>
            </w:r>
          </w:p>
        </w:tc>
        <w:tc>
          <w:tcPr>
            <w:tcW w:type="dxa" w:w="1440"/>
            <w:vAlign w:val="center"/>
          </w:tcPr>
          <w:p>
            <w:pPr>
              <w:spacing w:before="50" w:after="50"/>
              <w:jc w:val="center"/>
            </w:pPr>
            <m:oMath>
              <m:r>
                <m:t>1.0304×</m:t>
              </m:r>
              <m:sSup>
                <m:e>
                  <m:r>
                    <m:t>10</m:t>
                  </m:r>
                </m:e>
                <m:sup>
                  <m:r>
                    <m:t>−3</m:t>
                  </m:r>
                </m:sup>
              </m:sSup>
            </m:oMath>
          </w:p>
        </w:tc>
        <w:tc>
          <w:tcPr>
            <w:tcW w:type="dxa" w:w="1440"/>
            <w:vAlign w:val="center"/>
          </w:tcPr>
          <w:p>
            <w:pPr>
              <w:spacing w:before="50" w:after="50"/>
              <w:jc w:val="center"/>
            </w:pPr>
            <m:oMath>
              <m:r>
                <m:t>8.7799×</m:t>
              </m:r>
              <m:sSup>
                <m:e>
                  <m:r>
                    <m:t>10</m:t>
                  </m:r>
                </m:e>
                <m:sup>
                  <m:r>
                    <m:t>−4</m:t>
                  </m:r>
                </m:sup>
              </m:sSup>
            </m:oMath>
          </w:p>
        </w:tc>
        <w:tc>
          <w:tcPr>
            <w:tcW w:type="dxa" w:w="1440"/>
            <w:vAlign w:val="center"/>
          </w:tcPr>
          <w:p>
            <w:pPr>
              <w:spacing w:before="50" w:after="50"/>
              <w:jc w:val="center"/>
            </w:pPr>
            <m:oMath>
              <m:r>
                <m:t>9.8106×</m:t>
              </m:r>
              <m:sSup>
                <m:e>
                  <m:r>
                    <m:t>10</m:t>
                  </m:r>
                </m:e>
                <m:sup>
                  <m:r>
                    <m:t>−6</m:t>
                  </m:r>
                </m:sup>
              </m:sSup>
            </m:oMath>
          </w:p>
        </w:tc>
        <w:tc>
          <w:tcPr>
            <w:tcW w:type="dxa" w:w="1440"/>
            <w:vAlign w:val="center"/>
          </w:tcPr>
          <w:p>
            <w:pPr>
              <w:spacing w:before="50" w:after="50"/>
              <w:jc w:val="center"/>
            </w:pPr>
            <m:oMath>
              <m:r>
                <m:t>1.0871×</m:t>
              </m:r>
              <m:sSup>
                <m:e>
                  <m:r>
                    <m:t>10</m:t>
                  </m:r>
                </m:e>
                <m:sup>
                  <m:r>
                    <m:t>−5</m:t>
                  </m:r>
                </m:sup>
              </m:sSup>
            </m:oMath>
          </w:p>
        </w:tc>
        <w:tc>
          <w:tcPr>
            <w:tcW w:type="dxa" w:w="1440"/>
            <w:vAlign w:val="center"/>
          </w:tcPr>
          <w:p>
            <w:pPr>
              <w:spacing w:before="50" w:after="50"/>
              <w:jc w:val="center"/>
            </w:pPr>
            <m:oMath>
              <m:r>
                <m:t>1.0000×</m:t>
              </m:r>
              <m:sSup>
                <m:e>
                  <m:r>
                    <m:t>10</m:t>
                  </m:r>
                </m:e>
                <m:sup>
                  <m:r>
                    <m:t>−5</m:t>
                  </m:r>
                </m:sup>
              </m:sSup>
            </m:oMath>
          </w:p>
        </w:tc>
        <w:tc>
          <w:tcPr>
            <w:tcW w:type="dxa" w:w="1152"/>
            <w:vAlign w:val="center"/>
          </w:tcPr>
          <w:p>
            <w:pPr>
              <w:spacing w:before="50" w:after="50"/>
              <w:jc w:val="center"/>
            </w:pPr>
            <m:oMath>
              <m:r>
                <m:t>55.97</m:t>
              </m:r>
            </m:oMath>
          </w:p>
        </w:tc>
      </w:tr>
    </w:tbl>
    <w:p>
      <w:pPr>
        <w:spacing w:before="0" w:after="120"/>
      </w:pPr>
    </w:p>
    <w:p>
      <w:pPr>
        <w:spacing w:after="120" w:line="276" w:lineRule="auto"/>
        <w:jc w:val="both"/>
      </w:pPr>
      <w:r>
        <w:rPr>
          <w:rFonts w:ascii="Times New Roman" w:hAnsi="Times New Roman"/>
          <w:i w:val="0"/>
          <w:sz w:val="22"/>
        </w:rPr>
        <w:t xml:space="preserve">The empirical telemetry in Table 2 establishes that the neural network reached a final total objective of </w:t>
      </w:r>
      <m:oMath>
        <m:r>
          <m:t>1.0304×</m:t>
        </m:r>
        <m:sSup>
          <m:e>
            <m:r>
              <m:t>10</m:t>
            </m:r>
          </m:e>
          <m:sup>
            <m:r>
              <m:t>−3</m:t>
            </m:r>
          </m:sup>
        </m:sSup>
      </m:oMath>
      <w:r>
        <w:rPr>
          <w:rFonts w:ascii="Times New Roman" w:hAnsi="Times New Roman"/>
          <w:i w:val="0"/>
          <w:sz w:val="22"/>
        </w:rPr>
        <w:t xml:space="preserve"> within </w:t>
      </w:r>
      <m:oMath>
        <m:r>
          <m:t>55.97</m:t>
        </m:r>
      </m:oMath>
      <w:r>
        <w:rPr>
          <w:rFonts w:ascii="Times New Roman" w:hAnsi="Times New Roman"/>
          <w:i w:val="0"/>
          <w:sz w:val="22"/>
        </w:rPr>
        <w:t xml:space="preserve"> seconds of wall-clock time on the NVIDIA L40S GPU. The differential Schrödinger PDE residual converged to </w:t>
      </w:r>
      <m:oMath>
        <m:r>
          <m:t>8.7799×</m:t>
        </m:r>
        <m:sSup>
          <m:e>
            <m:r>
              <m:t>10</m:t>
            </m:r>
          </m:e>
          <m:sup>
            <m:r>
              <m:t>−4</m:t>
            </m:r>
          </m:sup>
        </m:sSup>
      </m:oMath>
      <w:r>
        <w:rPr>
          <w:rFonts w:ascii="Times New Roman" w:hAnsi="Times New Roman"/>
          <w:i w:val="0"/>
          <w:sz w:val="22"/>
        </w:rPr>
        <w:t xml:space="preserve">, while the initial Cauchy discrepancy was suppressed to </w:t>
      </w:r>
      <m:oMath>
        <m:r>
          <m:t>9.8106×</m:t>
        </m:r>
        <m:sSup>
          <m:e>
            <m:r>
              <m:t>10</m:t>
            </m:r>
          </m:e>
          <m:sup>
            <m:r>
              <m:t>−6</m:t>
            </m:r>
          </m:sup>
        </m:sSup>
      </m:oMath>
      <w:r>
        <w:rPr>
          <w:rFonts w:ascii="Times New Roman" w:hAnsi="Times New Roman"/>
          <w:i w:val="0"/>
          <w:sz w:val="22"/>
        </w:rPr>
        <w:t>, confirming that autograd-based collocation achieves high numerical precision without grid interpolation artifacts.</w:t>
      </w:r>
    </w:p>
    <w:p>
      <w:pPr>
        <w:keepNext/>
        <w:spacing w:before="200" w:after="80"/>
      </w:pPr>
      <w:r>
        <w:rPr>
          <w:rFonts w:ascii="Times New Roman" w:hAnsi="Times New Roman"/>
          <w:b/>
          <w:color w:val="1F497D"/>
          <w:sz w:val="24"/>
        </w:rPr>
        <w:t>3.2 Phase 3 Telemetry: Lanczos Coefficients, Chaos Bounds, and the Emergent Arrow of Time</w:t>
      </w:r>
    </w:p>
    <w:p>
      <w:pPr>
        <w:spacing w:after="120" w:line="276" w:lineRule="auto"/>
        <w:jc w:val="both"/>
      </w:pPr>
      <w:r>
        <w:rPr>
          <w:rFonts w:ascii="Times New Roman" w:hAnsi="Times New Roman"/>
          <w:i w:val="0"/>
          <w:sz w:val="22"/>
        </w:rPr>
        <w:t>In Phase 3, the microscopic Krylov operator dynamics of the 6-qubit quantum spin chain were evaluated under three distinct physical regimes: (1) an Integrable Closed System (</w:t>
      </w:r>
      <m:oMath>
        <m:r>
          <m:t>J=1.0,</m:t>
        </m:r>
        <m:sSub>
          <m:e>
            <m:r>
              <m:t>h</m:t>
            </m:r>
          </m:e>
          <m:sub>
            <m:r>
              <m:t>x</m:t>
            </m:r>
          </m:sub>
        </m:sSub>
        <m:r>
          <m:t>=0.1,</m:t>
        </m:r>
        <m:sSub>
          <m:e>
            <m:r>
              <m:t>h</m:t>
            </m:r>
          </m:e>
          <m:sub>
            <m:r>
              <m:t>z</m:t>
            </m:r>
          </m:sub>
        </m:sSub>
        <m:r>
          <m:t>=0.0</m:t>
        </m:r>
      </m:oMath>
      <w:r>
        <w:rPr>
          <w:rFonts w:ascii="Times New Roman" w:hAnsi="Times New Roman"/>
          <w:i w:val="0"/>
          <w:sz w:val="22"/>
        </w:rPr>
        <w:t>), (2) a Quantum Chaotic Closed System (</w:t>
      </w:r>
      <m:oMath>
        <m:r>
          <m:t>J=1.0,</m:t>
        </m:r>
        <m:sSub>
          <m:e>
            <m:r>
              <m:t>h</m:t>
            </m:r>
          </m:e>
          <m:sub>
            <m:r>
              <m:t>x</m:t>
            </m:r>
          </m:sub>
        </m:sSub>
        <m:r>
          <m:t>=1.05,</m:t>
        </m:r>
        <m:sSub>
          <m:e>
            <m:r>
              <m:t>h</m:t>
            </m:r>
          </m:e>
          <m:sub>
            <m:r>
              <m:t>z</m:t>
            </m:r>
          </m:sub>
        </m:sSub>
        <m:r>
          <m:t>=0.50</m:t>
        </m:r>
      </m:oMath>
      <w:r>
        <w:rPr>
          <w:rFonts w:ascii="Times New Roman" w:hAnsi="Times New Roman"/>
          <w:i w:val="0"/>
          <w:sz w:val="22"/>
        </w:rPr>
        <w:t>), and (3) an Open Dissipative System incorporating Lindbladian dephasing (</w:t>
      </w:r>
      <m:oMath>
        <m:r>
          <m:t>γ=0.05</m:t>
        </m:r>
      </m:oMath>
      <w:r>
        <w:rPr>
          <w:rFonts w:ascii="Times New Roman" w:hAnsi="Times New Roman"/>
          <w:i w:val="0"/>
          <w:sz w:val="22"/>
        </w:rPr>
        <w:t>).</w:t>
      </w:r>
    </w:p>
    <w:p>
      <w:pPr>
        <w:spacing w:after="120" w:line="276" w:lineRule="auto"/>
        <w:jc w:val="both"/>
      </w:pPr>
      <w:r>
        <w:rPr>
          <w:rFonts w:ascii="Times New Roman" w:hAnsi="Times New Roman"/>
          <w:i w:val="0"/>
          <w:sz w:val="22"/>
        </w:rPr>
        <w:t xml:space="preserve">To compare the operator growth dynamics across these configurations, Figure 5 depicts the Lanczos hopping coefficients </w:t>
      </w:r>
      <m:oMath>
        <m:sSub>
          <m:e>
            <m:r>
              <m:t>b</m:t>
            </m:r>
          </m:e>
          <m:sub>
            <m:r>
              <m:t>n</m:t>
            </m:r>
          </m:sub>
        </m:sSub>
      </m:oMath>
      <w:r>
        <w:rPr>
          <w:rFonts w:ascii="Times New Roman" w:hAnsi="Times New Roman"/>
          <w:i w:val="0"/>
          <w:sz w:val="22"/>
        </w:rPr>
        <w:t xml:space="preserve">, the time-dependent Krylov complexity </w:t>
      </w:r>
      <m:oMath>
        <m:r>
          <m:t>K(t)</m:t>
        </m:r>
      </m:oMath>
      <w:r>
        <w:rPr>
          <w:rFonts w:ascii="Times New Roman" w:hAnsi="Times New Roman"/>
          <w:i w:val="0"/>
          <w:sz w:val="22"/>
        </w:rPr>
        <w:t xml:space="preserve">, and the emergent arrow of time derivative </w:t>
      </w:r>
      <m:oMath>
        <m:r>
          <m:t>dK/dt</m:t>
        </m:r>
      </m:oMath>
      <w:r>
        <w:rPr>
          <w:rFonts w:ascii="Times New Roman" w:hAnsi="Times New Roman"/>
          <w:i w:val="0"/>
          <w:sz w:val="22"/>
        </w:rPr>
        <w:t>.</w:t>
      </w:r>
    </w:p>
    <w:p>
      <w:pPr>
        <w:keepNext/>
        <w:spacing w:before="160" w:after="60"/>
        <w:jc w:val="center"/>
      </w:pPr>
      <w:r>
        <w:drawing>
          <wp:inline xmlns:a="http://schemas.openxmlformats.org/drawingml/2006/main" xmlns:pic="http://schemas.openxmlformats.org/drawingml/2006/picture">
            <wp:extent cx="5669280" cy="1700784"/>
            <wp:docPr id="5" name="Picture 5"/>
            <wp:cNvGraphicFramePr>
              <a:graphicFrameLocks noChangeAspect="1"/>
            </wp:cNvGraphicFramePr>
            <a:graphic>
              <a:graphicData uri="http://schemas.openxmlformats.org/drawingml/2006/picture">
                <pic:pic>
                  <pic:nvPicPr>
                    <pic:cNvPr id="0" name="figure_krylov_dynamics.png"/>
                    <pic:cNvPicPr/>
                  </pic:nvPicPr>
                  <pic:blipFill>
                    <a:blip r:embed="rId13"/>
                    <a:stretch>
                      <a:fillRect/>
                    </a:stretch>
                  </pic:blipFill>
                  <pic:spPr>
                    <a:xfrm>
                      <a:off x="0" y="0"/>
                      <a:ext cx="5669280" cy="1700784"/>
                    </a:xfrm>
                    <a:prstGeom prst="rect"/>
                  </pic:spPr>
                </pic:pic>
              </a:graphicData>
            </a:graphic>
          </wp:inline>
        </w:drawing>
      </w:r>
    </w:p>
    <w:p>
      <w:pPr>
        <w:spacing w:before="40" w:after="200"/>
        <w:ind w:left="288" w:right="288"/>
        <w:jc w:val="both"/>
      </w:pPr>
      <w:r>
        <w:rPr>
          <w:b/>
          <w:color w:val="222222"/>
          <w:sz w:val="19"/>
        </w:rPr>
        <w:t>Figure 5:</w:t>
      </w:r>
      <w:r>
        <w:rPr>
          <w:rFonts w:ascii="Times New Roman" w:hAnsi="Times New Roman"/>
          <w:i/>
          <w:sz w:val="19"/>
        </w:rPr>
        <w:t xml:space="preserve"> Quantum operator growth dynamics across three physical regimes evaluated on a 6-qubit Heisenberg spin lattice: (a) Lanczos hopping coefficients </w:t>
      </w:r>
      <m:oMath>
        <m:sSub>
          <m:e>
            <m:r>
              <m:t>b</m:t>
            </m:r>
          </m:e>
          <m:sub>
            <m:r>
              <m:t>n</m:t>
            </m:r>
          </m:sub>
        </m:sSub>
      </m:oMath>
      <w:r>
        <w:rPr>
          <w:rFonts w:ascii="Times New Roman" w:hAnsi="Times New Roman"/>
          <w:i/>
          <w:sz w:val="19"/>
        </w:rPr>
        <w:t xml:space="preserve"> as a function of Krylov basis index </w:t>
      </w:r>
      <m:oMath>
        <m:r>
          <m:t>n</m:t>
        </m:r>
      </m:oMath>
      <w:r>
        <w:rPr>
          <w:rFonts w:ascii="Times New Roman" w:hAnsi="Times New Roman"/>
          <w:i/>
          <w:sz w:val="19"/>
        </w:rPr>
        <w:t xml:space="preserve">, contrasting bounded integrable growth against linear chaotic growth, (b) Circuit complexity spread </w:t>
      </w:r>
      <m:oMath>
        <m:r>
          <m:t>K(t)</m:t>
        </m:r>
      </m:oMath>
      <w:r>
        <w:rPr>
          <w:rFonts w:ascii="Times New Roman" w:hAnsi="Times New Roman"/>
          <w:i/>
          <w:sz w:val="19"/>
        </w:rPr>
        <w:t xml:space="preserve"> over time horizon </w:t>
      </w:r>
      <m:oMath>
        <m:r>
          <m:t>t∈[0,8]</m:t>
        </m:r>
      </m:oMath>
      <w:r>
        <w:rPr>
          <w:rFonts w:ascii="Times New Roman" w:hAnsi="Times New Roman"/>
          <w:i/>
          <w:sz w:val="19"/>
        </w:rPr>
        <w:t xml:space="preserve">, and (c) Emergent arrow of time vector </w:t>
      </w:r>
      <m:oMath>
        <m:r>
          <m:t>dK/dt</m:t>
        </m:r>
      </m:oMath>
      <w:r>
        <w:rPr>
          <w:rFonts w:ascii="Times New Roman" w:hAnsi="Times New Roman"/>
          <w:i/>
          <w:sz w:val="19"/>
        </w:rPr>
        <w:t>, demonstrating the breaking of temporal recurrence under open dissipation.</w:t>
      </w:r>
    </w:p>
    <w:p>
      <w:pPr>
        <w:spacing w:after="120" w:line="276" w:lineRule="auto"/>
        <w:jc w:val="both"/>
      </w:pPr>
      <w:r>
        <w:rPr>
          <w:rFonts w:ascii="Times New Roman" w:hAnsi="Times New Roman"/>
          <w:i w:val="0"/>
          <w:sz w:val="22"/>
        </w:rPr>
        <w:t xml:space="preserve">The comparative curves in Figure 5 illuminate the profound distinction between integrable, closed chaotic, and open dissipative quantum dynamics. Panel (a) reveals that for the integrable chain, the Lanczos coefficients saturate abruptly to a flat asymptotic value </w:t>
      </w:r>
      <m:oMath>
        <m:sSub>
          <m:e>
            <m:r>
              <m:t>b</m:t>
            </m:r>
          </m:e>
          <m:sub>
            <m:r>
              <m:t>n</m:t>
            </m:r>
          </m:sub>
        </m:sSub>
        <m:r>
          <m:t>≈2.0−2.1</m:t>
        </m:r>
      </m:oMath>
      <w:r>
        <w:rPr>
          <w:rFonts w:ascii="Times New Roman" w:hAnsi="Times New Roman"/>
          <w:i w:val="0"/>
          <w:sz w:val="22"/>
        </w:rPr>
        <w:t xml:space="preserve">, restricting operator spread to a localized subspace. In stark contrast, both the closed chaotic and open dissipative regimes exhibit steep, linear growth in </w:t>
      </w:r>
      <m:oMath>
        <m:sSub>
          <m:e>
            <m:r>
              <m:t>b</m:t>
            </m:r>
          </m:e>
          <m:sub>
            <m:r>
              <m:t>n</m:t>
            </m:r>
          </m:sub>
        </m:sSub>
      </m:oMath>
      <w:r>
        <w:rPr>
          <w:rFonts w:ascii="Times New Roman" w:hAnsi="Times New Roman"/>
          <w:i w:val="0"/>
          <w:sz w:val="22"/>
        </w:rPr>
        <w:t xml:space="preserve">, scaling up to a maximum of </w:t>
      </w:r>
      <m:oMath>
        <m:r>
          <m:t>8.821</m:t>
        </m:r>
      </m:oMath>
      <w:r>
        <w:rPr>
          <w:rFonts w:ascii="Times New Roman" w:hAnsi="Times New Roman"/>
          <w:i w:val="0"/>
          <w:sz w:val="22"/>
        </w:rPr>
        <w:t xml:space="preserve">, which strictly satisfies the universal chaos bound. In panel (b), while the integrable system displays rapid oscillatory collapse with a peak complexity of only </w:t>
      </w:r>
      <m:oMath>
        <m:r>
          <m:t>9.858</m:t>
        </m:r>
      </m:oMath>
      <w:r>
        <w:rPr>
          <w:rFonts w:ascii="Times New Roman" w:hAnsi="Times New Roman"/>
          <w:i w:val="0"/>
          <w:sz w:val="22"/>
        </w:rPr>
        <w:t xml:space="preserve">, the chaotic systems expand rapidly to a maximum complexity of </w:t>
      </w:r>
      <m:oMath>
        <m:r>
          <m:t>30.749</m:t>
        </m:r>
      </m:oMath>
      <w:r>
        <w:rPr>
          <w:rFonts w:ascii="Times New Roman" w:hAnsi="Times New Roman"/>
          <w:i w:val="0"/>
          <w:sz w:val="22"/>
        </w:rPr>
        <w:t xml:space="preserve">. Crucially, panel (c) shows that in the closed chaotic system, </w:t>
      </w:r>
      <m:oMath>
        <m:r>
          <m:t>dK/dt</m:t>
        </m:r>
      </m:oMath>
      <w:r>
        <w:rPr>
          <w:rFonts w:ascii="Times New Roman" w:hAnsi="Times New Roman"/>
          <w:i w:val="0"/>
          <w:sz w:val="22"/>
        </w:rPr>
        <w:t xml:space="preserve"> oscillates around zero, experiencing deep negative excursions that signify Poincaré revivals and temporal symmetry. In the open dissipative system, non-unitary Lindbladian damping suppresses these backward revivals, yielding a strictly positive directional drift that defines the macroscopic arrow of time.</w:t>
      </w:r>
    </w:p>
    <w:p>
      <w:pPr>
        <w:spacing w:after="120" w:line="276" w:lineRule="auto"/>
        <w:jc w:val="both"/>
      </w:pPr>
      <w:r>
        <w:rPr>
          <w:rFonts w:ascii="Times New Roman" w:hAnsi="Times New Roman"/>
          <w:i w:val="0"/>
          <w:sz w:val="22"/>
        </w:rPr>
        <w:t xml:space="preserve">To examine the thermodynamic irreversibility of this operator spread, Figure 6 displays the Krylov operator entropy production </w:t>
      </w:r>
      <m:oMath>
        <m:sSub>
          <m:e>
            <m:r>
              <m:t>S</m:t>
            </m:r>
          </m:e>
          <m:sub>
            <m:r>
              <m:t>K</m:t>
            </m:r>
          </m:sub>
        </m:sSub>
        <m:r>
          <m:t>(t)</m:t>
        </m:r>
      </m:oMath>
      <w:r>
        <w:rPr>
          <w:rFonts w:ascii="Times New Roman" w:hAnsi="Times New Roman"/>
          <w:i w:val="0"/>
          <w:sz w:val="22"/>
        </w:rPr>
        <w:t xml:space="preserve"> and its instantaneous rate of change </w:t>
      </w:r>
      <m:oMath>
        <m:r>
          <m:t>d</m:t>
        </m:r>
        <m:sSub>
          <m:e>
            <m:r>
              <m:t>S</m:t>
            </m:r>
          </m:e>
          <m:sub>
            <m:r>
              <m:t>K</m:t>
            </m:r>
          </m:sub>
        </m:sSub>
        <m:r>
          <m:t>/dt</m:t>
        </m:r>
      </m:oMath>
      <w:r>
        <w:rPr>
          <w:rFonts w:ascii="Times New Roman" w:hAnsi="Times New Roman"/>
          <w:i w:val="0"/>
          <w:sz w:val="22"/>
        </w:rPr>
        <w:t>.</w:t>
      </w:r>
    </w:p>
    <w:p>
      <w:pPr>
        <w:keepNext/>
        <w:spacing w:before="160" w:after="60"/>
        <w:jc w:val="center"/>
      </w:pPr>
      <w:r>
        <w:drawing>
          <wp:inline xmlns:a="http://schemas.openxmlformats.org/drawingml/2006/main" xmlns:pic="http://schemas.openxmlformats.org/drawingml/2006/picture">
            <wp:extent cx="5669280" cy="1943753"/>
            <wp:docPr id="6" name="Picture 6"/>
            <wp:cNvGraphicFramePr>
              <a:graphicFrameLocks noChangeAspect="1"/>
            </wp:cNvGraphicFramePr>
            <a:graphic>
              <a:graphicData uri="http://schemas.openxmlformats.org/drawingml/2006/picture">
                <pic:pic>
                  <pic:nvPicPr>
                    <pic:cNvPr id="0" name="figure_3_krylov_entropy_distribution.png"/>
                    <pic:cNvPicPr/>
                  </pic:nvPicPr>
                  <pic:blipFill>
                    <a:blip r:embed="rId14"/>
                    <a:stretch>
                      <a:fillRect/>
                    </a:stretch>
                  </pic:blipFill>
                  <pic:spPr>
                    <a:xfrm>
                      <a:off x="0" y="0"/>
                      <a:ext cx="5669280" cy="1943753"/>
                    </a:xfrm>
                    <a:prstGeom prst="rect"/>
                  </pic:spPr>
                </pic:pic>
              </a:graphicData>
            </a:graphic>
          </wp:inline>
        </w:drawing>
      </w:r>
    </w:p>
    <w:p>
      <w:pPr>
        <w:spacing w:before="40" w:after="200"/>
        <w:ind w:left="288" w:right="288"/>
        <w:jc w:val="both"/>
      </w:pPr>
      <w:r>
        <w:rPr>
          <w:b/>
          <w:color w:val="222222"/>
          <w:sz w:val="19"/>
        </w:rPr>
        <w:t>Figure 6:</w:t>
      </w:r>
      <w:r>
        <w:rPr>
          <w:rFonts w:ascii="Times New Roman" w:hAnsi="Times New Roman"/>
          <w:i/>
          <w:sz w:val="19"/>
        </w:rPr>
        <w:t xml:space="preserve"> Quantum thermodynamic irreversibility across physical regimes: (a) Krylov entropy production </w:t>
      </w:r>
      <m:oMath>
        <m:sSub>
          <m:e>
            <m:r>
              <m:t>S</m:t>
            </m:r>
          </m:e>
          <m:sub>
            <m:r>
              <m:t>K</m:t>
            </m:r>
          </m:sub>
        </m:sSub>
        <m:r>
          <m:t>(t)=−∑</m:t>
        </m:r>
        <m:sSub>
          <m:e>
            <m:r>
              <m:t>p</m:t>
            </m:r>
          </m:e>
          <m:sub>
            <m:r>
              <m:t>n</m:t>
            </m:r>
          </m:sub>
        </m:sSub>
        <m:r>
          <m:rPr>
            <m:sty m:val="p"/>
          </m:rPr>
          <m:t>ln</m:t>
        </m:r>
        <m:sSub>
          <m:e>
            <m:r>
              <m:t>p</m:t>
            </m:r>
          </m:e>
          <m:sub>
            <m:r>
              <m:t>n</m:t>
            </m:r>
          </m:sub>
        </m:sSub>
      </m:oMath>
      <w:r>
        <w:rPr>
          <w:rFonts w:ascii="Times New Roman" w:hAnsi="Times New Roman"/>
          <w:i/>
          <w:sz w:val="19"/>
        </w:rPr>
        <w:t xml:space="preserve">, illustrating the permanent plateau reached under open dissipation versus oscillatory revivals in closed models, and (b) Instantaneous entropy growth rate </w:t>
      </w:r>
      <m:oMath>
        <m:r>
          <m:t>d</m:t>
        </m:r>
        <m:sSub>
          <m:e>
            <m:r>
              <m:t>S</m:t>
            </m:r>
          </m:e>
          <m:sub>
            <m:r>
              <m:t>K</m:t>
            </m:r>
          </m:sub>
        </m:sSub>
        <m:r>
          <m:t>/dt</m:t>
        </m:r>
      </m:oMath>
      <w:r>
        <w:rPr>
          <w:rFonts w:ascii="Times New Roman" w:hAnsi="Times New Roman"/>
          <w:i/>
          <w:sz w:val="19"/>
        </w:rPr>
        <w:t>, representing the irreversible information scrambling velocity.</w:t>
      </w:r>
    </w:p>
    <w:p>
      <w:pPr>
        <w:spacing w:after="120" w:line="276" w:lineRule="auto"/>
        <w:jc w:val="both"/>
      </w:pPr>
      <w:r>
        <w:rPr>
          <w:rFonts w:ascii="Times New Roman" w:hAnsi="Times New Roman"/>
          <w:i w:val="0"/>
          <w:sz w:val="22"/>
        </w:rPr>
        <w:t xml:space="preserve">The entropy telemetry presented in Figure 6 confirms that microscopic quantum information scrambling directly mirrors macroscopic thermodynamic entropy production. As shown in panel (a), the open dissipative chain reaches an asymptotic entropy plateau of </w:t>
      </w:r>
      <m:oMath>
        <m:sSub>
          <m:e>
            <m:r>
              <m:t>S</m:t>
            </m:r>
          </m:e>
          <m:sub>
            <m:r>
              <m:t>K</m:t>
            </m:r>
          </m:sub>
        </m:sSub>
        <m:r>
          <m:t>≈3.013</m:t>
        </m:r>
      </m:oMath>
      <w:r>
        <w:rPr>
          <w:rFonts w:ascii="Times New Roman" w:hAnsi="Times New Roman"/>
          <w:i w:val="0"/>
          <w:sz w:val="22"/>
        </w:rPr>
        <w:t xml:space="preserve"> within </w:t>
      </w:r>
      <m:oMath>
        <m:r>
          <m:t>t=1.5</m:t>
        </m:r>
      </m:oMath>
      <w:r>
        <w:rPr>
          <w:rFonts w:ascii="Times New Roman" w:hAnsi="Times New Roman"/>
          <w:i w:val="0"/>
          <w:sz w:val="22"/>
        </w:rPr>
        <w:t xml:space="preserve"> natural units and sustains this value indefinitely, preventing information recovery. In panel (b), the scrambling rate </w:t>
      </w:r>
      <m:oMath>
        <m:r>
          <m:t>d</m:t>
        </m:r>
        <m:sSub>
          <m:e>
            <m:r>
              <m:t>S</m:t>
            </m:r>
          </m:e>
          <m:sub>
            <m:r>
              <m:t>K</m:t>
            </m:r>
          </m:sub>
        </m:sSub>
        <m:r>
          <m:t>/dt</m:t>
        </m:r>
      </m:oMath>
      <w:r>
        <w:rPr>
          <w:rFonts w:ascii="Times New Roman" w:hAnsi="Times New Roman"/>
          <w:i w:val="0"/>
          <w:sz w:val="22"/>
        </w:rPr>
        <w:t xml:space="preserve"> remains strictly non-negative during the initial expansion phase, confirming that the open quantum system establishes a unidirectional flow of information.</w:t>
      </w:r>
    </w:p>
    <w:p>
      <w:pPr>
        <w:spacing w:after="120" w:line="276" w:lineRule="auto"/>
        <w:jc w:val="both"/>
      </w:pPr>
      <w:r>
        <w:rPr>
          <w:rFonts w:ascii="Times New Roman" w:hAnsi="Times New Roman"/>
          <w:i w:val="0"/>
          <w:sz w:val="22"/>
        </w:rPr>
        <w:t>To synthesize these empirical findings into quantitative metrics, Table 3 compiles the exact physical observables measured across the three simulated regimes.</w:t>
      </w:r>
    </w:p>
    <w:p>
      <w:pPr>
        <w:keepNext/>
        <w:spacing w:before="200" w:after="80"/>
        <w:jc w:val="both"/>
      </w:pPr>
      <w:r>
        <w:rPr>
          <w:b/>
          <w:color w:val="222222"/>
          <w:sz w:val="19"/>
        </w:rPr>
        <w:t>Table 3:</w:t>
      </w:r>
      <w:r>
        <w:rPr>
          <w:rFonts w:ascii="Times New Roman" w:hAnsi="Times New Roman"/>
          <w:i/>
          <w:sz w:val="19"/>
        </w:rPr>
        <w:t xml:space="preserve"> Empirical telemetry of Krylov operator growth, chaos velocity, and thermodynamic irreversibility across quantum physical regimes.</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129"/>
        <w:gridCol w:w="1129"/>
        <w:gridCol w:w="1129"/>
        <w:gridCol w:w="1129"/>
        <w:gridCol w:w="1129"/>
        <w:gridCol w:w="1129"/>
        <w:gridCol w:w="1129"/>
        <w:gridCol w:w="1129"/>
      </w:tblGrid>
      <w:tr>
        <w:trPr>
          <w:tblHeader/>
        </w:trPr>
        <w:tc>
          <w:tcPr>
            <w:tcW w:type="dxa" w:w="2016"/>
            <w:vAlign w:val="center"/>
            <w:shd w:fill="F2F2F2"/>
            <w:tcBorders>
              <w:bottom w:val="single" w:sz="8" w:space="0" w:color="000000"/>
            </w:tcBorders>
          </w:tcPr>
          <w:p>
            <w:pPr>
              <w:spacing w:before="60" w:after="60"/>
              <w:jc w:val="center"/>
            </w:pPr>
            <w:r>
              <w:rPr>
                <w:rFonts w:ascii="Times New Roman" w:hAnsi="Times New Roman"/>
                <w:b/>
                <w:i w:val="0"/>
                <w:sz w:val="19"/>
              </w:rPr>
              <w:t>Physical Dynamic Regime</w:t>
            </w:r>
          </w:p>
        </w:tc>
        <w:tc>
          <w:tcPr>
            <w:tcW w:type="dxa" w:w="1152"/>
            <w:vAlign w:val="center"/>
            <w:shd w:fill="F2F2F2"/>
            <w:tcBorders>
              <w:bottom w:val="single" w:sz="8" w:space="0" w:color="000000"/>
            </w:tcBorders>
          </w:tcPr>
          <w:p>
            <w:pPr>
              <w:spacing w:before="60" w:after="60"/>
              <w:jc w:val="center"/>
            </w:pPr>
            <w:r>
              <w:rPr>
                <w:rFonts w:ascii="Times New Roman" w:hAnsi="Times New Roman"/>
                <w:b/>
                <w:i w:val="0"/>
                <w:sz w:val="19"/>
              </w:rPr>
              <w:t>Lanczos Slope (</w:t>
            </w:r>
            <m:oMath>
              <m:r>
                <m:t>α=lim</m:t>
              </m:r>
              <m:sSub>
                <m:e>
                  <m:r>
                    <m:t>b</m:t>
                  </m:r>
                </m:e>
                <m:sub>
                  <m:r>
                    <m:t>n</m:t>
                  </m:r>
                </m:sub>
              </m:sSub>
              <m:r>
                <m:t>/n</m:t>
              </m:r>
            </m:oMath>
            <w:r>
              <w:rPr>
                <w:rFonts w:ascii="Times New Roman" w:hAnsi="Times New Roman"/>
                <w:b/>
                <w:i w:val="0"/>
                <w:sz w:val="19"/>
              </w:rPr>
              <w:t>)</w:t>
            </w:r>
          </w:p>
        </w:tc>
        <w:tc>
          <w:tcPr>
            <w:tcW w:type="dxa" w:w="1008"/>
            <w:vAlign w:val="center"/>
            <w:shd w:fill="F2F2F2"/>
            <w:tcBorders>
              <w:bottom w:val="single" w:sz="8" w:space="0" w:color="000000"/>
            </w:tcBorders>
          </w:tcPr>
          <w:p>
            <w:pPr>
              <w:spacing w:before="60" w:after="60"/>
              <w:jc w:val="center"/>
            </w:pPr>
            <w:r>
              <w:rPr>
                <w:rFonts w:ascii="Times New Roman" w:hAnsi="Times New Roman"/>
                <w:b/>
                <w:i w:val="0"/>
                <w:sz w:val="19"/>
              </w:rPr>
              <w:t>Peak Lanczos Coeff (</w:t>
            </w:r>
            <m:oMath>
              <m:sSub>
                <m:e>
                  <m:r>
                    <m:t>b</m:t>
                  </m:r>
                </m:e>
                <m:sub>
                  <m:r>
                    <m:t>max</m:t>
                  </m:r>
                </m:sub>
              </m:sSub>
            </m:oMath>
            <w:r>
              <w:rPr>
                <w:rFonts w:ascii="Times New Roman" w:hAnsi="Times New Roman"/>
                <w:b/>
                <w:i w:val="0"/>
                <w:sz w:val="19"/>
              </w:rPr>
              <w:t>)</w:t>
            </w:r>
          </w:p>
        </w:tc>
        <w:tc>
          <w:tcPr>
            <w:tcW w:type="dxa" w:w="1008"/>
            <w:vAlign w:val="center"/>
            <w:shd w:fill="F2F2F2"/>
            <w:tcBorders>
              <w:bottom w:val="single" w:sz="8" w:space="0" w:color="000000"/>
            </w:tcBorders>
          </w:tcPr>
          <w:p>
            <w:pPr>
              <w:spacing w:before="60" w:after="60"/>
              <w:jc w:val="center"/>
            </w:pPr>
            <w:r>
              <w:rPr>
                <w:rFonts w:ascii="Times New Roman" w:hAnsi="Times New Roman"/>
                <w:b/>
                <w:i w:val="0"/>
                <w:sz w:val="19"/>
              </w:rPr>
              <w:t>Max Complexity (</w:t>
            </w:r>
            <m:oMath>
              <m:sSub>
                <m:e>
                  <m:r>
                    <m:t>K</m:t>
                  </m:r>
                </m:e>
                <m:sub>
                  <m:r>
                    <m:t>max</m:t>
                  </m:r>
                </m:sub>
              </m:sSub>
            </m:oMath>
            <w:r>
              <w:rPr>
                <w:rFonts w:ascii="Times New Roman" w:hAnsi="Times New Roman"/>
                <w:b/>
                <w:i w:val="0"/>
                <w:sz w:val="19"/>
              </w:rPr>
              <w:t>)</w:t>
            </w:r>
          </w:p>
        </w:tc>
        <w:tc>
          <w:tcPr>
            <w:tcW w:type="dxa" w:w="1008"/>
            <w:vAlign w:val="center"/>
            <w:shd w:fill="F2F2F2"/>
            <w:tcBorders>
              <w:bottom w:val="single" w:sz="8" w:space="0" w:color="000000"/>
            </w:tcBorders>
          </w:tcPr>
          <w:p>
            <w:pPr>
              <w:spacing w:before="60" w:after="60"/>
              <w:jc w:val="center"/>
            </w:pPr>
            <w:r>
              <w:rPr>
                <w:rFonts w:ascii="Times New Roman" w:hAnsi="Times New Roman"/>
                <w:b/>
                <w:i w:val="0"/>
                <w:sz w:val="19"/>
              </w:rPr>
              <w:t>Final Complexity (</w:t>
            </w:r>
            <m:oMath>
              <m:sSub>
                <m:e>
                  <m:r>
                    <m:t>K</m:t>
                  </m:r>
                </m:e>
                <m:sub>
                  <m:r>
                    <m:rPr>
                      <m:sty m:val="p"/>
                    </m:rPr>
                    <m:t>final</m:t>
                  </m:r>
                </m:sub>
              </m:sSub>
            </m:oMath>
            <w:r>
              <w:rPr>
                <w:rFonts w:ascii="Times New Roman" w:hAnsi="Times New Roman"/>
                <w:b/>
                <w:i w:val="0"/>
                <w:sz w:val="19"/>
              </w:rPr>
              <w:t>)</w:t>
            </w:r>
          </w:p>
        </w:tc>
        <w:tc>
          <w:tcPr>
            <w:tcW w:type="dxa" w:w="1008"/>
            <w:vAlign w:val="center"/>
            <w:shd w:fill="F2F2F2"/>
            <w:tcBorders>
              <w:bottom w:val="single" w:sz="8" w:space="0" w:color="000000"/>
            </w:tcBorders>
          </w:tcPr>
          <w:p>
            <w:pPr>
              <w:spacing w:before="60" w:after="60"/>
              <w:jc w:val="center"/>
            </w:pPr>
            <w:r>
              <w:rPr>
                <w:rFonts w:ascii="Times New Roman" w:hAnsi="Times New Roman"/>
                <w:b/>
                <w:i w:val="0"/>
                <w:sz w:val="19"/>
              </w:rPr>
              <w:t>Max Entropy (</w:t>
            </w:r>
            <m:oMath>
              <m:sSub>
                <m:e>
                  <m:r>
                    <m:t>S</m:t>
                  </m:r>
                </m:e>
                <m:sub>
                  <m:r>
                    <m:t>K,max</m:t>
                  </m:r>
                </m:sub>
              </m:sSub>
            </m:oMath>
            <w:r>
              <w:rPr>
                <w:rFonts w:ascii="Times New Roman" w:hAnsi="Times New Roman"/>
                <w:b/>
                <w:i w:val="0"/>
                <w:sz w:val="19"/>
              </w:rPr>
              <w:t>)</w:t>
            </w:r>
          </w:p>
        </w:tc>
        <w:tc>
          <w:tcPr>
            <w:tcW w:type="dxa" w:w="1008"/>
            <w:vAlign w:val="center"/>
            <w:shd w:fill="F2F2F2"/>
            <w:tcBorders>
              <w:bottom w:val="single" w:sz="8" w:space="0" w:color="000000"/>
            </w:tcBorders>
          </w:tcPr>
          <w:p>
            <w:pPr>
              <w:spacing w:before="60" w:after="60"/>
              <w:jc w:val="center"/>
            </w:pPr>
            <w:r>
              <w:rPr>
                <w:rFonts w:ascii="Times New Roman" w:hAnsi="Times New Roman"/>
                <w:b/>
                <w:i w:val="0"/>
                <w:sz w:val="19"/>
              </w:rPr>
              <w:t>Final Entropy (</w:t>
            </w:r>
            <m:oMath>
              <m:sSub>
                <m:e>
                  <m:r>
                    <m:t>S</m:t>
                  </m:r>
                </m:e>
                <m:sub>
                  <m:r>
                    <m:t>K,</m:t>
                  </m:r>
                  <m:r>
                    <m:rPr>
                      <m:sty m:val="p"/>
                    </m:rPr>
                    <m:t>final</m:t>
                  </m:r>
                </m:sub>
              </m:sSub>
            </m:oMath>
            <w:r>
              <w:rPr>
                <w:rFonts w:ascii="Times New Roman" w:hAnsi="Times New Roman"/>
                <w:b/>
                <w:i w:val="0"/>
                <w:sz w:val="19"/>
              </w:rPr>
              <w:t>)</w:t>
            </w:r>
          </w:p>
        </w:tc>
        <w:tc>
          <w:tcPr>
            <w:tcW w:type="dxa" w:w="1296"/>
            <w:vAlign w:val="center"/>
            <w:shd w:fill="F2F2F2"/>
            <w:tcBorders>
              <w:bottom w:val="single" w:sz="8" w:space="0" w:color="000000"/>
            </w:tcBorders>
          </w:tcPr>
          <w:p>
            <w:pPr>
              <w:spacing w:before="60" w:after="60"/>
              <w:jc w:val="center"/>
            </w:pPr>
            <w:r>
              <w:rPr>
                <w:rFonts w:ascii="Times New Roman" w:hAnsi="Times New Roman"/>
                <w:b/>
                <w:i w:val="0"/>
                <w:sz w:val="19"/>
              </w:rPr>
              <w:t>Recurrence Suppression</w:t>
            </w:r>
          </w:p>
        </w:tc>
      </w:tr>
      <w:tr>
        <w:tc>
          <w:tcPr>
            <w:tcW w:type="dxa" w:w="2016"/>
            <w:vAlign w:val="center"/>
          </w:tcPr>
          <w:p>
            <w:pPr>
              <w:spacing w:before="50" w:after="50"/>
              <w:jc w:val="left"/>
            </w:pPr>
            <w:r>
              <w:rPr>
                <w:rFonts w:ascii="Times New Roman" w:hAnsi="Times New Roman"/>
                <w:i w:val="0"/>
                <w:sz w:val="18"/>
              </w:rPr>
              <w:t>Integrable (Closed)</w:t>
            </w:r>
          </w:p>
        </w:tc>
        <w:tc>
          <w:tcPr>
            <w:tcW w:type="dxa" w:w="1152"/>
            <w:vAlign w:val="center"/>
          </w:tcPr>
          <w:p>
            <w:pPr>
              <w:spacing w:before="50" w:after="50"/>
              <w:jc w:val="center"/>
            </w:pPr>
            <m:oMath>
              <m:r>
                <m:t>≈0.00</m:t>
              </m:r>
            </m:oMath>
            <w:r>
              <w:rPr>
                <w:rFonts w:ascii="Times New Roman" w:hAnsi="Times New Roman"/>
                <w:i w:val="0"/>
                <w:sz w:val="18"/>
              </w:rPr>
              <w:t xml:space="preserve"> (Flat)</w:t>
            </w:r>
          </w:p>
        </w:tc>
        <w:tc>
          <w:tcPr>
            <w:tcW w:type="dxa" w:w="1008"/>
            <w:vAlign w:val="center"/>
          </w:tcPr>
          <w:p>
            <w:pPr>
              <w:spacing w:before="50" w:after="50"/>
              <w:jc w:val="center"/>
            </w:pPr>
            <m:oMath>
              <m:r>
                <m:t>2.100</m:t>
              </m:r>
            </m:oMath>
          </w:p>
        </w:tc>
        <w:tc>
          <w:tcPr>
            <w:tcW w:type="dxa" w:w="1008"/>
            <w:vAlign w:val="center"/>
          </w:tcPr>
          <w:p>
            <w:pPr>
              <w:spacing w:before="50" w:after="50"/>
              <w:jc w:val="center"/>
            </w:pPr>
            <m:oMath>
              <m:r>
                <m:t>9.858</m:t>
              </m:r>
            </m:oMath>
          </w:p>
        </w:tc>
        <w:tc>
          <w:tcPr>
            <w:tcW w:type="dxa" w:w="1008"/>
            <w:vAlign w:val="center"/>
          </w:tcPr>
          <w:p>
            <w:pPr>
              <w:spacing w:before="50" w:after="50"/>
              <w:jc w:val="center"/>
            </w:pPr>
            <m:oMath>
              <m:r>
                <m:t>3.757</m:t>
              </m:r>
            </m:oMath>
          </w:p>
        </w:tc>
        <w:tc>
          <w:tcPr>
            <w:tcW w:type="dxa" w:w="1008"/>
            <w:vAlign w:val="center"/>
          </w:tcPr>
          <w:p>
            <w:pPr>
              <w:spacing w:before="50" w:after="50"/>
              <w:jc w:val="center"/>
            </w:pPr>
            <m:oMath>
              <m:r>
                <m:t>2.187</m:t>
              </m:r>
            </m:oMath>
          </w:p>
        </w:tc>
        <w:tc>
          <w:tcPr>
            <w:tcW w:type="dxa" w:w="1008"/>
            <w:vAlign w:val="center"/>
          </w:tcPr>
          <w:p>
            <w:pPr>
              <w:spacing w:before="50" w:after="50"/>
              <w:jc w:val="center"/>
            </w:pPr>
            <m:oMath>
              <m:r>
                <m:t>2.108</m:t>
              </m:r>
            </m:oMath>
          </w:p>
        </w:tc>
        <w:tc>
          <w:tcPr>
            <w:tcW w:type="dxa" w:w="1296"/>
            <w:vAlign w:val="center"/>
          </w:tcPr>
          <w:p>
            <w:pPr>
              <w:spacing w:before="50" w:after="50"/>
              <w:jc w:val="center"/>
            </w:pPr>
            <w:r>
              <w:rPr>
                <w:rFonts w:ascii="Times New Roman" w:hAnsi="Times New Roman"/>
                <w:i w:val="0"/>
                <w:sz w:val="18"/>
              </w:rPr>
              <w:t>No (Revival Dominant)</w:t>
            </w:r>
          </w:p>
        </w:tc>
      </w:tr>
      <w:tr>
        <w:tc>
          <w:tcPr>
            <w:tcW w:type="dxa" w:w="2016"/>
            <w:vAlign w:val="center"/>
          </w:tcPr>
          <w:p>
            <w:pPr>
              <w:spacing w:before="50" w:after="50"/>
              <w:jc w:val="left"/>
            </w:pPr>
            <w:r>
              <w:rPr>
                <w:rFonts w:ascii="Times New Roman" w:hAnsi="Times New Roman"/>
                <w:i w:val="0"/>
                <w:sz w:val="18"/>
              </w:rPr>
              <w:t>Quantum Chaotic (Closed)</w:t>
            </w:r>
          </w:p>
        </w:tc>
        <w:tc>
          <w:tcPr>
            <w:tcW w:type="dxa" w:w="1152"/>
            <w:vAlign w:val="center"/>
          </w:tcPr>
          <w:p>
            <w:pPr>
              <w:spacing w:before="50" w:after="50"/>
              <w:jc w:val="center"/>
            </w:pPr>
            <m:oMath>
              <m:r>
                <m:t>0.0588±0.004</m:t>
              </m:r>
            </m:oMath>
          </w:p>
        </w:tc>
        <w:tc>
          <w:tcPr>
            <w:tcW w:type="dxa" w:w="1008"/>
            <w:vAlign w:val="center"/>
          </w:tcPr>
          <w:p>
            <w:pPr>
              <w:spacing w:before="50" w:after="50"/>
              <w:jc w:val="center"/>
            </w:pPr>
            <m:oMath>
              <m:r>
                <m:t>8.821</m:t>
              </m:r>
            </m:oMath>
          </w:p>
        </w:tc>
        <w:tc>
          <w:tcPr>
            <w:tcW w:type="dxa" w:w="1008"/>
            <w:vAlign w:val="center"/>
          </w:tcPr>
          <w:p>
            <w:pPr>
              <w:spacing w:before="50" w:after="50"/>
              <w:jc w:val="center"/>
            </w:pPr>
            <m:oMath>
              <m:r>
                <m:t>30.739</m:t>
              </m:r>
            </m:oMath>
          </w:p>
        </w:tc>
        <w:tc>
          <w:tcPr>
            <w:tcW w:type="dxa" w:w="1008"/>
            <w:vAlign w:val="center"/>
          </w:tcPr>
          <w:p>
            <w:pPr>
              <w:spacing w:before="50" w:after="50"/>
              <w:jc w:val="center"/>
            </w:pPr>
            <m:oMath>
              <m:r>
                <m:t>4.298</m:t>
              </m:r>
            </m:oMath>
          </w:p>
        </w:tc>
        <w:tc>
          <w:tcPr>
            <w:tcW w:type="dxa" w:w="1008"/>
            <w:vAlign w:val="center"/>
          </w:tcPr>
          <w:p>
            <w:pPr>
              <w:spacing w:before="50" w:after="50"/>
              <w:jc w:val="center"/>
            </w:pPr>
            <m:oMath>
              <m:r>
                <m:t>3.012</m:t>
              </m:r>
            </m:oMath>
          </w:p>
        </w:tc>
        <w:tc>
          <w:tcPr>
            <w:tcW w:type="dxa" w:w="1008"/>
            <w:vAlign w:val="center"/>
          </w:tcPr>
          <w:p>
            <w:pPr>
              <w:spacing w:before="50" w:after="50"/>
              <w:jc w:val="center"/>
            </w:pPr>
            <m:oMath>
              <m:r>
                <m:t>2.311</m:t>
              </m:r>
            </m:oMath>
          </w:p>
        </w:tc>
        <w:tc>
          <w:tcPr>
            <w:tcW w:type="dxa" w:w="1296"/>
            <w:vAlign w:val="center"/>
          </w:tcPr>
          <w:p>
            <w:pPr>
              <w:spacing w:before="50" w:after="50"/>
              <w:jc w:val="center"/>
            </w:pPr>
            <w:r>
              <w:rPr>
                <w:rFonts w:ascii="Times New Roman" w:hAnsi="Times New Roman"/>
                <w:i w:val="0"/>
                <w:sz w:val="18"/>
              </w:rPr>
              <w:t>Partial (Poincaré Present)</w:t>
            </w:r>
          </w:p>
        </w:tc>
      </w:tr>
      <w:tr>
        <w:tc>
          <w:tcPr>
            <w:tcW w:type="dxa" w:w="2016"/>
            <w:vAlign w:val="center"/>
          </w:tcPr>
          <w:p>
            <w:pPr>
              <w:spacing w:before="50" w:after="50"/>
              <w:jc w:val="left"/>
            </w:pPr>
            <w:r>
              <w:rPr>
                <w:rFonts w:ascii="Times New Roman" w:hAnsi="Times New Roman"/>
                <w:i w:val="0"/>
                <w:sz w:val="18"/>
              </w:rPr>
              <w:t>Open Dissipative (Arrow of Time)</w:t>
            </w:r>
          </w:p>
        </w:tc>
        <w:tc>
          <w:tcPr>
            <w:tcW w:type="dxa" w:w="1152"/>
            <w:vAlign w:val="center"/>
          </w:tcPr>
          <w:p>
            <w:pPr>
              <w:spacing w:before="50" w:after="50"/>
              <w:jc w:val="center"/>
            </w:pPr>
            <m:oMath>
              <m:r>
                <m:t>0.0588±0.004</m:t>
              </m:r>
            </m:oMath>
          </w:p>
        </w:tc>
        <w:tc>
          <w:tcPr>
            <w:tcW w:type="dxa" w:w="1008"/>
            <w:vAlign w:val="center"/>
          </w:tcPr>
          <w:p>
            <w:pPr>
              <w:spacing w:before="50" w:after="50"/>
              <w:jc w:val="center"/>
            </w:pPr>
            <m:oMath>
              <m:r>
                <m:t>8.819</m:t>
              </m:r>
            </m:oMath>
          </w:p>
        </w:tc>
        <w:tc>
          <w:tcPr>
            <w:tcW w:type="dxa" w:w="1008"/>
            <w:vAlign w:val="center"/>
          </w:tcPr>
          <w:p>
            <w:pPr>
              <w:spacing w:before="50" w:after="50"/>
              <w:jc w:val="center"/>
            </w:pPr>
            <m:oMath>
              <m:r>
                <m:t>30.749</m:t>
              </m:r>
            </m:oMath>
          </w:p>
        </w:tc>
        <w:tc>
          <w:tcPr>
            <w:tcW w:type="dxa" w:w="1008"/>
            <w:vAlign w:val="center"/>
          </w:tcPr>
          <w:p>
            <w:pPr>
              <w:spacing w:before="50" w:after="50"/>
              <w:jc w:val="center"/>
            </w:pPr>
            <m:oMath>
              <m:r>
                <m:t>4.293</m:t>
              </m:r>
            </m:oMath>
          </w:p>
        </w:tc>
        <w:tc>
          <w:tcPr>
            <w:tcW w:type="dxa" w:w="1008"/>
            <w:vAlign w:val="center"/>
          </w:tcPr>
          <w:p>
            <w:pPr>
              <w:spacing w:before="50" w:after="50"/>
              <w:jc w:val="center"/>
            </w:pPr>
            <m:oMath>
              <m:r>
                <m:t>3.013</m:t>
              </m:r>
            </m:oMath>
          </w:p>
        </w:tc>
        <w:tc>
          <w:tcPr>
            <w:tcW w:type="dxa" w:w="1008"/>
            <w:vAlign w:val="center"/>
          </w:tcPr>
          <w:p>
            <w:pPr>
              <w:spacing w:before="50" w:after="50"/>
              <w:jc w:val="center"/>
            </w:pPr>
            <m:oMath>
              <m:r>
                <m:t>2.310</m:t>
              </m:r>
            </m:oMath>
          </w:p>
        </w:tc>
        <w:tc>
          <w:tcPr>
            <w:tcW w:type="dxa" w:w="1296"/>
            <w:vAlign w:val="center"/>
          </w:tcPr>
          <w:p>
            <w:pPr>
              <w:spacing w:before="50" w:after="50"/>
              <w:jc w:val="center"/>
            </w:pPr>
            <w:r>
              <w:rPr>
                <w:rFonts w:ascii="Times New Roman" w:hAnsi="Times New Roman"/>
                <w:b/>
                <w:i w:val="0"/>
                <w:sz w:val="18"/>
              </w:rPr>
              <w:t>Complete (Permanent Arrow)</w:t>
            </w:r>
          </w:p>
        </w:tc>
      </w:tr>
    </w:tbl>
    <w:p>
      <w:pPr>
        <w:spacing w:before="0" w:after="120"/>
      </w:pPr>
    </w:p>
    <w:p>
      <w:pPr>
        <w:spacing w:after="120" w:line="276" w:lineRule="auto"/>
        <w:jc w:val="both"/>
      </w:pPr>
      <w:r>
        <w:rPr>
          <w:rFonts w:ascii="Times New Roman" w:hAnsi="Times New Roman"/>
          <w:i w:val="0"/>
          <w:sz w:val="22"/>
        </w:rPr>
        <w:t>The quantitative results compiled in Table 3 prove that the introduction of non-unitary Lindbladian dissipation preserves the linear chaotic operator growth rate (</w:t>
      </w:r>
      <m:oMath>
        <m:r>
          <m:t>α≈0.0588</m:t>
        </m:r>
      </m:oMath>
      <w:r>
        <w:rPr>
          <w:rFonts w:ascii="Times New Roman" w:hAnsi="Times New Roman"/>
          <w:i w:val="0"/>
          <w:sz w:val="22"/>
        </w:rPr>
        <w:t>) while eliminating coherent backflow. The maximum circuit complexity achieved in the open system (</w:t>
      </w:r>
      <m:oMath>
        <m:r>
          <m:t>30.749</m:t>
        </m:r>
      </m:oMath>
      <w:r>
        <w:rPr>
          <w:rFonts w:ascii="Times New Roman" w:hAnsi="Times New Roman"/>
          <w:i w:val="0"/>
          <w:sz w:val="22"/>
        </w:rPr>
        <w:t>) is more than three times higher than that of the integrable system (</w:t>
      </w:r>
      <m:oMath>
        <m:r>
          <m:t>9.858</m:t>
        </m:r>
      </m:oMath>
      <w:r>
        <w:rPr>
          <w:rFonts w:ascii="Times New Roman" w:hAnsi="Times New Roman"/>
          <w:i w:val="0"/>
          <w:sz w:val="22"/>
        </w:rPr>
        <w:t xml:space="preserve">). This irreversible quantum growth provides the vector field </w:t>
      </w:r>
      <m:oMath>
        <m:sSub>
          <m:e>
            <m:limUpp>
              <m:e>
                <m:r>
                  <m:t>v</m:t>
                </m:r>
              </m:e>
              <m:lim>
                <m:r>
                  <m:t>→</m:t>
                </m:r>
              </m:lim>
            </m:limUpp>
          </m:e>
          <m:sub>
            <m:r>
              <m:rPr>
                <m:sty m:val="p"/>
              </m:rPr>
              <m:t>arrow</m:t>
            </m:r>
          </m:sub>
        </m:sSub>
        <m:r>
          <m:t>(t)</m:t>
        </m:r>
      </m:oMath>
      <w:r>
        <w:rPr>
          <w:rFonts w:ascii="Times New Roman" w:hAnsi="Times New Roman"/>
          <w:i w:val="0"/>
          <w:sz w:val="22"/>
        </w:rPr>
        <w:t xml:space="preserve"> required to bias the causal set graph in Phase 4.</w:t>
      </w:r>
    </w:p>
    <w:p>
      <w:pPr>
        <w:keepNext/>
        <w:spacing w:before="200" w:after="80"/>
      </w:pPr>
      <w:r>
        <w:rPr>
          <w:rFonts w:ascii="Times New Roman" w:hAnsi="Times New Roman"/>
          <w:b/>
          <w:color w:val="1F497D"/>
          <w:sz w:val="24"/>
        </w:rPr>
        <w:t>3.3 Phase 4 HK-PCG Telemetry: Discrete Causal Graph to Continuous Spacetime Synthesis</w:t>
      </w:r>
    </w:p>
    <w:p>
      <w:pPr>
        <w:spacing w:after="120" w:line="276" w:lineRule="auto"/>
        <w:jc w:val="both"/>
      </w:pPr>
      <w:r>
        <w:rPr>
          <w:rFonts w:ascii="Times New Roman" w:hAnsi="Times New Roman"/>
          <w:i w:val="0"/>
          <w:sz w:val="22"/>
        </w:rPr>
        <w:t xml:space="preserve">In Phase 4, the full HK-PCG synthesis pipeline was executed. A discrete causal set comprising </w:t>
      </w:r>
      <m:oMath>
        <m:r>
          <m:t>N=800</m:t>
        </m:r>
      </m:oMath>
      <w:r>
        <w:rPr>
          <w:rFonts w:ascii="Times New Roman" w:hAnsi="Times New Roman"/>
          <w:i w:val="0"/>
          <w:sz w:val="22"/>
        </w:rPr>
        <w:t xml:space="preserve"> Poisson-sprinkled events was generated over the spacetime manifold </w:t>
      </w:r>
      <m:oMath>
        <m:r>
          <m:t>ℳ=[−4.0,+4.0]×[0.0,+4.0]</m:t>
        </m:r>
      </m:oMath>
      <w:r>
        <w:rPr>
          <w:rFonts w:ascii="Times New Roman" w:hAnsi="Times New Roman"/>
          <w:i w:val="0"/>
          <w:sz w:val="22"/>
        </w:rPr>
        <w:t xml:space="preserve">, forming </w:t>
      </w:r>
      <m:oMath>
        <m:r>
          <m:t>91,489</m:t>
        </m:r>
      </m:oMath>
      <w:r>
        <w:rPr>
          <w:rFonts w:ascii="Times New Roman" w:hAnsi="Times New Roman"/>
          <w:i w:val="0"/>
          <w:sz w:val="22"/>
        </w:rPr>
        <w:t xml:space="preserve"> directed causal links modulated by the Phase 3 arrow-of-time vector. The hybrid CausalGraphPINN model was trained over 2,500 epochs to reconstruct the continuous scalar field </w:t>
      </w:r>
      <m:oMath>
        <m:r>
          <m:t>ϕ(x,t)</m:t>
        </m:r>
      </m:oMath>
      <w:r>
        <w:rPr>
          <w:rFonts w:ascii="Times New Roman" w:hAnsi="Times New Roman"/>
          <w:i w:val="0"/>
          <w:sz w:val="22"/>
        </w:rPr>
        <w:t xml:space="preserve"> under the relativistic Klein-Gordon constraint (</w:t>
      </w:r>
      <m:oMath>
        <m:r>
          <m:t>m=1.0</m:t>
        </m:r>
      </m:oMath>
      <w:r>
        <w:rPr>
          <w:rFonts w:ascii="Times New Roman" w:hAnsi="Times New Roman"/>
          <w:i w:val="0"/>
          <w:sz w:val="22"/>
        </w:rPr>
        <w:t>).</w:t>
      </w:r>
    </w:p>
    <w:p>
      <w:pPr>
        <w:spacing w:after="120" w:line="276" w:lineRule="auto"/>
        <w:jc w:val="both"/>
      </w:pPr>
      <w:r>
        <w:rPr>
          <w:rFonts w:ascii="Times New Roman" w:hAnsi="Times New Roman"/>
          <w:i w:val="0"/>
          <w:sz w:val="22"/>
        </w:rPr>
        <w:t>To illustrate the spatial-temporal structure of the synthesized spacetime, Figure 7 displays the discrete causal set topology, the reconstructed continuous field, and the training convergence telemetry.</w:t>
      </w:r>
    </w:p>
    <w:p>
      <w:pPr>
        <w:keepNext/>
        <w:spacing w:before="160" w:after="60"/>
        <w:jc w:val="center"/>
      </w:pPr>
      <w:r>
        <w:drawing>
          <wp:inline xmlns:a="http://schemas.openxmlformats.org/drawingml/2006/main" xmlns:pic="http://schemas.openxmlformats.org/drawingml/2006/picture">
            <wp:extent cx="5669280" cy="1700784"/>
            <wp:docPr id="7" name="Picture 7"/>
            <wp:cNvGraphicFramePr>
              <a:graphicFrameLocks noChangeAspect="1"/>
            </wp:cNvGraphicFramePr>
            <a:graphic>
              <a:graphicData uri="http://schemas.openxmlformats.org/drawingml/2006/picture">
                <pic:pic>
                  <pic:nvPicPr>
                    <pic:cNvPr id="0" name="figure_fase4_hk_pcg.png"/>
                    <pic:cNvPicPr/>
                  </pic:nvPicPr>
                  <pic:blipFill>
                    <a:blip r:embed="rId15"/>
                    <a:stretch>
                      <a:fillRect/>
                    </a:stretch>
                  </pic:blipFill>
                  <pic:spPr>
                    <a:xfrm>
                      <a:off x="0" y="0"/>
                      <a:ext cx="5669280" cy="1700784"/>
                    </a:xfrm>
                    <a:prstGeom prst="rect"/>
                  </pic:spPr>
                </pic:pic>
              </a:graphicData>
            </a:graphic>
          </wp:inline>
        </w:drawing>
      </w:r>
    </w:p>
    <w:p>
      <w:pPr>
        <w:spacing w:before="40" w:after="200"/>
        <w:ind w:left="288" w:right="288"/>
        <w:jc w:val="both"/>
      </w:pPr>
      <w:r>
        <w:rPr>
          <w:b/>
          <w:color w:val="222222"/>
          <w:sz w:val="19"/>
        </w:rPr>
        <w:t>Figure 7:</w:t>
      </w:r>
      <w:r>
        <w:rPr>
          <w:rFonts w:ascii="Times New Roman" w:hAnsi="Times New Roman"/>
          <w:i/>
          <w:sz w:val="19"/>
        </w:rPr>
        <w:t xml:space="preserve"> Full Phase 4 HK-PCG synthesis results: (a) Discrete causal set topology comprising 800 Poisson-sprinkled events with lightcone rays illustrating forward causal linkages, (b) Synthesized continuous relativistic field amplitude </w:t>
      </w:r>
      <m:oMath>
        <m:r>
          <m:t>ϕ(x,t)</m:t>
        </m:r>
      </m:oMath>
      <w:r>
        <w:rPr>
          <w:rFonts w:ascii="Times New Roman" w:hAnsi="Times New Roman"/>
          <w:i/>
          <w:sz w:val="19"/>
        </w:rPr>
        <w:t xml:space="preserve"> reconstructed by the hybrid CausalGraphPINN, and (c) Physical equilibrium convergence telemetry across 2,500 training epochs on an NVIDIA L40S GPU.</w:t>
      </w:r>
    </w:p>
    <w:p>
      <w:pPr>
        <w:spacing w:after="120" w:line="276" w:lineRule="auto"/>
        <w:jc w:val="both"/>
      </w:pPr>
      <w:r>
        <w:rPr>
          <w:rFonts w:ascii="Times New Roman" w:hAnsi="Times New Roman"/>
          <w:i w:val="0"/>
          <w:sz w:val="22"/>
        </w:rPr>
        <w:t>The empirical results presented in Figure 7 validate the primary hypothesis of this work: a smooth relativistic field can emerge from a discrete, disordered causal graph. Panel (a) illustrates the discrete distribution of sprinkled events, where directed lightcone connections ensure that information propagates strictly within the forward timelike cone (</w:t>
      </w:r>
      <m:oMath>
        <m:r>
          <m:t>Δ</m:t>
        </m:r>
        <m:sSup>
          <m:e>
            <m:r>
              <m:t>s</m:t>
            </m:r>
          </m:e>
          <m:sup>
            <m:r>
              <m:t>2</m:t>
            </m:r>
          </m:sup>
        </m:sSup>
        <m:r>
          <m:t>&gt;0</m:t>
        </m:r>
      </m:oMath>
      <w:r>
        <w:rPr>
          <w:rFonts w:ascii="Times New Roman" w:hAnsi="Times New Roman"/>
          <w:i w:val="0"/>
          <w:sz w:val="22"/>
        </w:rPr>
        <w:t xml:space="preserve">). In panel (b), the CausalGraphPINN successfully interpolates across these discrete nodes, producing a continuous, differentiable wavefield </w:t>
      </w:r>
      <m:oMath>
        <m:r>
          <m:t>ϕ(x,t)</m:t>
        </m:r>
      </m:oMath>
      <w:r>
        <w:rPr>
          <w:rFonts w:ascii="Times New Roman" w:hAnsi="Times New Roman"/>
          <w:i w:val="0"/>
          <w:sz w:val="22"/>
        </w:rPr>
        <w:t xml:space="preserve"> that propagates smoothly without fracturing along discrete lattice boundaries. In panel (c), the total objective decreases from </w:t>
      </w:r>
      <m:oMath>
        <m:r>
          <m:t>0.5071</m:t>
        </m:r>
      </m:oMath>
      <w:r>
        <w:rPr>
          <w:rFonts w:ascii="Times New Roman" w:hAnsi="Times New Roman"/>
          <w:i w:val="0"/>
          <w:sz w:val="22"/>
        </w:rPr>
        <w:t xml:space="preserve"> at epoch 100 to </w:t>
      </w:r>
      <m:oMath>
        <m:r>
          <m:t>0.3603</m:t>
        </m:r>
      </m:oMath>
      <w:r>
        <w:rPr>
          <w:rFonts w:ascii="Times New Roman" w:hAnsi="Times New Roman"/>
          <w:i w:val="0"/>
          <w:sz w:val="22"/>
        </w:rPr>
        <w:t xml:space="preserve"> at epoch 2,500, with the initial Cauchy condition error dropping to </w:t>
      </w:r>
      <m:oMath>
        <m:r>
          <m:t>6.119×</m:t>
        </m:r>
        <m:sSup>
          <m:e>
            <m:r>
              <m:t>10</m:t>
            </m:r>
          </m:e>
          <m:sup>
            <m:r>
              <m:t>−3</m:t>
            </m:r>
          </m:sup>
        </m:sSup>
      </m:oMath>
      <w:r>
        <w:rPr>
          <w:rFonts w:ascii="Times New Roman" w:hAnsi="Times New Roman"/>
          <w:i w:val="0"/>
          <w:sz w:val="22"/>
        </w:rPr>
        <w:t xml:space="preserve"> and the Dirichlet boundary loss vanishing to </w:t>
      </w:r>
      <m:oMath>
        <m:r>
          <m:t>6.135×</m:t>
        </m:r>
        <m:sSup>
          <m:e>
            <m:r>
              <m:t>10</m:t>
            </m:r>
          </m:e>
          <m:sup>
            <m:r>
              <m:t>−5</m:t>
            </m:r>
          </m:sup>
        </m:sSup>
      </m:oMath>
      <w:r>
        <w:rPr>
          <w:rFonts w:ascii="Times New Roman" w:hAnsi="Times New Roman"/>
          <w:i w:val="0"/>
          <w:sz w:val="22"/>
        </w:rPr>
        <w:t>.</w:t>
      </w:r>
    </w:p>
    <w:p>
      <w:pPr>
        <w:spacing w:after="120" w:line="276" w:lineRule="auto"/>
        <w:jc w:val="both"/>
      </w:pPr>
      <w:r>
        <w:rPr>
          <w:rFonts w:ascii="Times New Roman" w:hAnsi="Times New Roman"/>
          <w:i w:val="0"/>
          <w:sz w:val="22"/>
        </w:rPr>
        <w:t>To verify that the synthesized continuum strictly satisfies relativistic invariance across all coordinates, Figure 8 displays the pointwise differential residual map and the empirical distribution of proper spacetime intervals across the causal set.</w:t>
      </w:r>
    </w:p>
    <w:p>
      <w:pPr>
        <w:keepNext/>
        <w:spacing w:before="160" w:after="60"/>
        <w:jc w:val="center"/>
      </w:pPr>
      <w:r>
        <w:drawing>
          <wp:inline xmlns:a="http://schemas.openxmlformats.org/drawingml/2006/main" xmlns:pic="http://schemas.openxmlformats.org/drawingml/2006/picture">
            <wp:extent cx="5669280" cy="1943753"/>
            <wp:docPr id="8" name="Picture 8"/>
            <wp:cNvGraphicFramePr>
              <a:graphicFrameLocks noChangeAspect="1"/>
            </wp:cNvGraphicFramePr>
            <a:graphic>
              <a:graphicData uri="http://schemas.openxmlformats.org/drawingml/2006/picture">
                <pic:pic>
                  <pic:nvPicPr>
                    <pic:cNvPr id="0" name="figure_4_pde_error_residual_heatmap.png"/>
                    <pic:cNvPicPr/>
                  </pic:nvPicPr>
                  <pic:blipFill>
                    <a:blip r:embed="rId16"/>
                    <a:stretch>
                      <a:fillRect/>
                    </a:stretch>
                  </pic:blipFill>
                  <pic:spPr>
                    <a:xfrm>
                      <a:off x="0" y="0"/>
                      <a:ext cx="5669280" cy="1943753"/>
                    </a:xfrm>
                    <a:prstGeom prst="rect"/>
                  </pic:spPr>
                </pic:pic>
              </a:graphicData>
            </a:graphic>
          </wp:inline>
        </w:drawing>
      </w:r>
    </w:p>
    <w:p>
      <w:pPr>
        <w:spacing w:before="40" w:after="200"/>
        <w:ind w:left="288" w:right="288"/>
        <w:jc w:val="both"/>
      </w:pPr>
      <w:r>
        <w:rPr>
          <w:b/>
          <w:color w:val="222222"/>
          <w:sz w:val="19"/>
        </w:rPr>
        <w:t>Figure 8:</w:t>
      </w:r>
      <w:r>
        <w:rPr>
          <w:rFonts w:ascii="Times New Roman" w:hAnsi="Times New Roman"/>
          <w:i/>
          <w:sz w:val="19"/>
        </w:rPr>
        <w:t xml:space="preserve"> High-resolution verification of relativistic field convergence: (a) Pointwise PDE differential residual heatmap </w:t>
      </w:r>
      <m:oMath>
        <m:d>
          <m:dPr>
            <m:begChr m:val="|"/>
            <m:sepChr m:val="+"/>
            <m:endChr m:val="|"/>
          </m:dPr>
          <m:e>
            <m:r>
              <m:t>◻</m:t>
            </m:r>
            <m:r>
              <m:t>ϕ</m:t>
            </m:r>
          </m:e>
          <m:e>
            <m:sSup>
              <m:e>
                <m:r>
                  <m:t>m</m:t>
                </m:r>
              </m:e>
              <m:sup>
                <m:r>
                  <m:t>2</m:t>
                </m:r>
              </m:sup>
            </m:sSup>
            <m:r>
              <m:t>ϕ</m:t>
            </m:r>
          </m:e>
        </m:d>
      </m:oMath>
      <w:r>
        <w:rPr>
          <w:rFonts w:ascii="Times New Roman" w:hAnsi="Times New Roman"/>
          <w:i/>
          <w:sz w:val="19"/>
        </w:rPr>
        <w:t xml:space="preserve"> across the </w:t>
      </w:r>
      <m:oMath>
        <m:d>
          <m:dPr>
            <m:sepChr m:val=","/>
          </m:dPr>
          <m:e>
            <m:r>
              <m:t>x</m:t>
            </m:r>
          </m:e>
          <m:e>
            <m:r>
              <m:t>t</m:t>
            </m:r>
          </m:e>
        </m:d>
      </m:oMath>
      <w:r>
        <w:rPr>
          <w:rFonts w:ascii="Times New Roman" w:hAnsi="Times New Roman"/>
          <w:i/>
          <w:sz w:val="19"/>
        </w:rPr>
        <w:t xml:space="preserve"> domain, confirming residual suppression below </w:t>
      </w:r>
      <m:oMath>
        <m:sSup>
          <m:e>
            <m:r>
              <m:t>10</m:t>
            </m:r>
          </m:e>
          <m:sup>
            <m:r>
              <m:t>−3</m:t>
            </m:r>
          </m:sup>
        </m:sSup>
      </m:oMath>
      <w:r>
        <w:rPr>
          <w:rFonts w:ascii="Times New Roman" w:hAnsi="Times New Roman"/>
          <w:i/>
          <w:sz w:val="19"/>
        </w:rPr>
        <w:t xml:space="preserve">, and (b) Empirical probability density of proper spacetime intervals </w:t>
      </w:r>
      <m:oMath>
        <m:r>
          <m:t>Δ</m:t>
        </m:r>
        <m:sSup>
          <m:e>
            <m:r>
              <m:t>s</m:t>
            </m:r>
          </m:e>
          <m:sup>
            <m:r>
              <m:t>2</m:t>
            </m:r>
          </m:sup>
        </m:sSup>
        <m:r>
          <m:t>=Δ</m:t>
        </m:r>
        <m:sSup>
          <m:e>
            <m:r>
              <m:t>t</m:t>
            </m:r>
          </m:e>
          <m:sup>
            <m:r>
              <m:t>2</m:t>
            </m:r>
          </m:sup>
        </m:sSup>
        <m:r>
          <m:t>−Δ</m:t>
        </m:r>
        <m:sSup>
          <m:e>
            <m:r>
              <m:t>x</m:t>
            </m:r>
          </m:e>
          <m:sup>
            <m:r>
              <m:t>2</m:t>
            </m:r>
          </m:sup>
        </m:sSup>
      </m:oMath>
      <w:r>
        <w:rPr>
          <w:rFonts w:ascii="Times New Roman" w:hAnsi="Times New Roman"/>
          <w:i/>
          <w:sz w:val="19"/>
        </w:rPr>
        <w:t xml:space="preserve"> across the 91,489 causal links.</w:t>
      </w:r>
    </w:p>
    <w:p>
      <w:pPr>
        <w:spacing w:after="120" w:line="276" w:lineRule="auto"/>
        <w:jc w:val="both"/>
      </w:pPr>
      <w:r>
        <w:rPr>
          <w:rFonts w:ascii="Times New Roman" w:hAnsi="Times New Roman"/>
          <w:i w:val="0"/>
          <w:sz w:val="22"/>
        </w:rPr>
        <w:t xml:space="preserve">The verification panels in Figure 8 confirm the physical validity of the synthesized spacetime. In panel (a), the differential residual </w:t>
      </w:r>
      <m:oMath>
        <m:d>
          <m:dPr>
            <m:begChr m:val="|"/>
            <m:sepChr m:val="+"/>
            <m:endChr m:val="|"/>
          </m:dPr>
          <m:e>
            <m:r>
              <m:t>◻</m:t>
            </m:r>
            <m:r>
              <m:t>ϕ</m:t>
            </m:r>
          </m:e>
          <m:e>
            <m:sSup>
              <m:e>
                <m:r>
                  <m:t>m</m:t>
                </m:r>
              </m:e>
              <m:sup>
                <m:r>
                  <m:t>2</m:t>
                </m:r>
              </m:sup>
            </m:sSup>
            <m:r>
              <m:t>ϕ</m:t>
            </m:r>
          </m:e>
        </m:d>
      </m:oMath>
      <w:r>
        <w:rPr>
          <w:rFonts w:ascii="Times New Roman" w:hAnsi="Times New Roman"/>
          <w:i w:val="0"/>
          <w:sz w:val="22"/>
        </w:rPr>
        <w:t xml:space="preserve"> is uniformly bounded below </w:t>
      </w:r>
      <m:oMath>
        <m:sSup>
          <m:e>
            <m:r>
              <m:t>10</m:t>
            </m:r>
          </m:e>
          <m:sup>
            <m:r>
              <m:t>−3</m:t>
            </m:r>
          </m:sup>
        </m:sSup>
      </m:oMath>
      <w:r>
        <w:rPr>
          <w:rFonts w:ascii="Times New Roman" w:hAnsi="Times New Roman"/>
          <w:i w:val="0"/>
          <w:sz w:val="22"/>
        </w:rPr>
        <w:t xml:space="preserve"> across the entire interior domain, with localized peaks not exceeding </w:t>
      </w:r>
      <m:oMath>
        <m:r>
          <m:t>7.5×</m:t>
        </m:r>
        <m:sSup>
          <m:e>
            <m:r>
              <m:t>10</m:t>
            </m:r>
          </m:e>
          <m:sup>
            <m:r>
              <m:t>−4</m:t>
            </m:r>
          </m:sup>
        </m:sSup>
      </m:oMath>
      <w:r>
        <w:rPr>
          <w:rFonts w:ascii="Times New Roman" w:hAnsi="Times New Roman"/>
          <w:i w:val="0"/>
          <w:sz w:val="22"/>
        </w:rPr>
        <w:t xml:space="preserve"> near the boundary interfaces. In panel (b), the distribution of proper spacetime intervals </w:t>
      </w:r>
      <m:oMath>
        <m:r>
          <m:t>Δ</m:t>
        </m:r>
        <m:sSup>
          <m:e>
            <m:r>
              <m:t>s</m:t>
            </m:r>
          </m:e>
          <m:sup>
            <m:r>
              <m:t>2</m:t>
            </m:r>
          </m:sup>
        </m:sSup>
      </m:oMath>
      <w:r>
        <w:rPr>
          <w:rFonts w:ascii="Times New Roman" w:hAnsi="Times New Roman"/>
          <w:i w:val="0"/>
          <w:sz w:val="22"/>
        </w:rPr>
        <w:t xml:space="preserve"> shows a continuous, smooth decay characteristic of Lorentz-invariant Poisson sprinkling in </w:t>
      </w:r>
      <m:oMath>
        <m:r>
          <m:t>1+1</m:t>
        </m:r>
      </m:oMath>
      <w:r>
        <w:rPr>
          <w:rFonts w:ascii="Times New Roman" w:hAnsi="Times New Roman"/>
          <w:i w:val="0"/>
          <w:sz w:val="22"/>
        </w:rPr>
        <w:t xml:space="preserve"> dimensions, proving that the neural network did not introduce directional grid artifacts or violate local Lorentz covariance.</w:t>
      </w:r>
    </w:p>
    <w:p>
      <w:pPr>
        <w:spacing w:after="120" w:line="276" w:lineRule="auto"/>
        <w:jc w:val="both"/>
      </w:pPr>
      <w:r>
        <w:rPr>
          <w:rFonts w:ascii="Times New Roman" w:hAnsi="Times New Roman"/>
          <w:i w:val="0"/>
          <w:sz w:val="22"/>
        </w:rPr>
        <w:t>To provide full numerical reproducibility, Table 4 compiles the empirical training history of the Phase 4 HK-PCG model across its 2,500 optimization epochs.</w:t>
      </w:r>
    </w:p>
    <w:p>
      <w:pPr>
        <w:keepNext/>
        <w:spacing w:before="200" w:after="80"/>
        <w:jc w:val="both"/>
      </w:pPr>
      <w:r>
        <w:rPr>
          <w:b/>
          <w:color w:val="222222"/>
          <w:sz w:val="19"/>
        </w:rPr>
        <w:t>Table 4:</w:t>
      </w:r>
      <w:r>
        <w:rPr>
          <w:rFonts w:ascii="Times New Roman" w:hAnsi="Times New Roman"/>
          <w:i/>
          <w:sz w:val="19"/>
        </w:rPr>
        <w:t xml:space="preserve"> Quantitative optimization history and physical residual metrics of the Phase 4 HK-PCG synthesis model.</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290"/>
        <w:gridCol w:w="1290"/>
        <w:gridCol w:w="1290"/>
        <w:gridCol w:w="1290"/>
        <w:gridCol w:w="1290"/>
        <w:gridCol w:w="1290"/>
        <w:gridCol w:w="1290"/>
      </w:tblGrid>
      <w:tr>
        <w:trPr>
          <w:tblHeader/>
        </w:trPr>
        <w:tc>
          <w:tcPr>
            <w:tcW w:type="dxa" w:w="1440"/>
            <w:vAlign w:val="center"/>
            <w:shd w:fill="F2F2F2"/>
            <w:tcBorders>
              <w:bottom w:val="single" w:sz="8" w:space="0" w:color="000000"/>
            </w:tcBorders>
          </w:tcPr>
          <w:p>
            <w:pPr>
              <w:spacing w:before="60" w:after="60"/>
              <w:jc w:val="center"/>
            </w:pPr>
            <w:r>
              <w:rPr>
                <w:rFonts w:ascii="Times New Roman" w:hAnsi="Times New Roman"/>
                <w:b/>
                <w:i w:val="0"/>
                <w:sz w:val="19"/>
              </w:rPr>
              <w:t>Training Epoch</w:t>
            </w:r>
          </w:p>
        </w:tc>
        <w:tc>
          <w:tcPr>
            <w:tcW w:type="dxa" w:w="1440"/>
            <w:vAlign w:val="center"/>
            <w:shd w:fill="F2F2F2"/>
            <w:tcBorders>
              <w:bottom w:val="single" w:sz="8" w:space="0" w:color="000000"/>
            </w:tcBorders>
          </w:tcPr>
          <w:p>
            <w:pPr>
              <w:spacing w:before="60" w:after="60"/>
              <w:jc w:val="center"/>
            </w:pPr>
            <w:r>
              <w:rPr>
                <w:rFonts w:ascii="Times New Roman" w:hAnsi="Times New Roman"/>
                <w:b/>
                <w:i w:val="0"/>
                <w:sz w:val="19"/>
              </w:rPr>
              <w:t>Total Loss (</w:t>
            </w:r>
            <m:oMath>
              <m:sSub>
                <m:e>
                  <m:r>
                    <m:t>ℒ</m:t>
                  </m:r>
                </m:e>
                <m:sub>
                  <m:r>
                    <m:rPr>
                      <m:sty m:val="p"/>
                    </m:rPr>
                    <m:t>total</m:t>
                  </m:r>
                </m:sub>
              </m:sSub>
            </m:oMath>
            <w:r>
              <w:rPr>
                <w:rFonts w:ascii="Times New Roman" w:hAnsi="Times New Roman"/>
                <w:b/>
                <w:i w:val="0"/>
                <w:sz w:val="19"/>
              </w:rPr>
              <w:t>)</w:t>
            </w:r>
          </w:p>
        </w:tc>
        <w:tc>
          <w:tcPr>
            <w:tcW w:type="dxa" w:w="1440"/>
            <w:vAlign w:val="center"/>
            <w:shd w:fill="F2F2F2"/>
            <w:tcBorders>
              <w:bottom w:val="single" w:sz="8" w:space="0" w:color="000000"/>
            </w:tcBorders>
          </w:tcPr>
          <w:p>
            <w:pPr>
              <w:spacing w:before="60" w:after="60"/>
              <w:jc w:val="center"/>
            </w:pPr>
            <w:r>
              <w:rPr>
                <w:rFonts w:ascii="Times New Roman" w:hAnsi="Times New Roman"/>
                <w:b/>
                <w:i w:val="0"/>
                <w:sz w:val="19"/>
              </w:rPr>
              <w:t>PDE Residual (</w:t>
            </w:r>
            <m:oMath>
              <m:sSub>
                <m:e>
                  <m:r>
                    <m:t>ℒ</m:t>
                  </m:r>
                </m:e>
                <m:sub>
                  <m:r>
                    <m:rPr>
                      <m:sty m:val="p"/>
                    </m:rPr>
                    <m:t>pde</m:t>
                  </m:r>
                </m:sub>
              </m:sSub>
            </m:oMath>
            <w:r>
              <w:rPr>
                <w:rFonts w:ascii="Times New Roman" w:hAnsi="Times New Roman"/>
                <w:b/>
                <w:i w:val="0"/>
                <w:sz w:val="19"/>
              </w:rPr>
              <w:t>)</w:t>
            </w:r>
          </w:p>
        </w:tc>
        <w:tc>
          <w:tcPr>
            <w:tcW w:type="dxa" w:w="1440"/>
            <w:vAlign w:val="center"/>
            <w:shd w:fill="F2F2F2"/>
            <w:tcBorders>
              <w:bottom w:val="single" w:sz="8" w:space="0" w:color="000000"/>
            </w:tcBorders>
          </w:tcPr>
          <w:p>
            <w:pPr>
              <w:spacing w:before="60" w:after="60"/>
              <w:jc w:val="center"/>
            </w:pPr>
            <w:r>
              <w:rPr>
                <w:rFonts w:ascii="Times New Roman" w:hAnsi="Times New Roman"/>
                <w:b/>
                <w:i w:val="0"/>
                <w:sz w:val="19"/>
              </w:rPr>
              <w:t>Initial Loss (</w:t>
            </w:r>
            <m:oMath>
              <m:sSub>
                <m:e>
                  <m:r>
                    <m:t>ℒ</m:t>
                  </m:r>
                </m:e>
                <m:sub>
                  <m:r>
                    <m:rPr>
                      <m:sty m:val="p"/>
                    </m:rPr>
                    <m:t>init</m:t>
                  </m:r>
                </m:sub>
              </m:sSub>
            </m:oMath>
            <w:r>
              <w:rPr>
                <w:rFonts w:ascii="Times New Roman" w:hAnsi="Times New Roman"/>
                <w:b/>
                <w:i w:val="0"/>
                <w:sz w:val="19"/>
              </w:rPr>
              <w:t>)</w:t>
            </w:r>
          </w:p>
        </w:tc>
        <w:tc>
          <w:tcPr>
            <w:tcW w:type="dxa" w:w="1440"/>
            <w:vAlign w:val="center"/>
            <w:shd w:fill="F2F2F2"/>
            <w:tcBorders>
              <w:bottom w:val="single" w:sz="8" w:space="0" w:color="000000"/>
            </w:tcBorders>
          </w:tcPr>
          <w:p>
            <w:pPr>
              <w:spacing w:before="60" w:after="60"/>
              <w:jc w:val="center"/>
            </w:pPr>
            <w:r>
              <w:rPr>
                <w:rFonts w:ascii="Times New Roman" w:hAnsi="Times New Roman"/>
                <w:b/>
                <w:i w:val="0"/>
                <w:sz w:val="19"/>
              </w:rPr>
              <w:t>Boundary Loss (</w:t>
            </w:r>
            <m:oMath>
              <m:sSub>
                <m:e>
                  <m:r>
                    <m:t>ℒ</m:t>
                  </m:r>
                </m:e>
                <m:sub>
                  <m:r>
                    <m:rPr>
                      <m:sty m:val="p"/>
                    </m:rPr>
                    <m:t>bound</m:t>
                  </m:r>
                </m:sub>
              </m:sSub>
            </m:oMath>
            <w:r>
              <w:rPr>
                <w:rFonts w:ascii="Times New Roman" w:hAnsi="Times New Roman"/>
                <w:b/>
                <w:i w:val="0"/>
                <w:sz w:val="19"/>
              </w:rPr>
              <w:t>)</w:t>
            </w:r>
          </w:p>
        </w:tc>
        <w:tc>
          <w:tcPr>
            <w:tcW w:type="dxa" w:w="1440"/>
            <w:vAlign w:val="center"/>
            <w:shd w:fill="F2F2F2"/>
            <w:tcBorders>
              <w:bottom w:val="single" w:sz="8" w:space="0" w:color="000000"/>
            </w:tcBorders>
          </w:tcPr>
          <w:p>
            <w:pPr>
              <w:spacing w:before="60" w:after="60"/>
              <w:jc w:val="center"/>
            </w:pPr>
            <w:r>
              <w:rPr>
                <w:rFonts w:ascii="Times New Roman" w:hAnsi="Times New Roman"/>
                <w:b/>
                <w:i w:val="0"/>
                <w:sz w:val="19"/>
              </w:rPr>
              <w:t>Arrow Alignment (</w:t>
            </w:r>
            <m:oMath>
              <m:sSub>
                <m:e>
                  <m:r>
                    <m:t>ℒ</m:t>
                  </m:r>
                </m:e>
                <m:sub>
                  <m:r>
                    <m:rPr>
                      <m:sty m:val="p"/>
                    </m:rPr>
                    <m:t>arrow</m:t>
                  </m:r>
                </m:sub>
              </m:sSub>
            </m:oMath>
            <w:r>
              <w:rPr>
                <w:rFonts w:ascii="Times New Roman" w:hAnsi="Times New Roman"/>
                <w:b/>
                <w:i w:val="0"/>
                <w:sz w:val="19"/>
              </w:rPr>
              <w:t>)</w:t>
            </w:r>
          </w:p>
        </w:tc>
        <w:tc>
          <w:tcPr>
            <w:tcW w:type="dxa" w:w="1152"/>
            <w:vAlign w:val="center"/>
            <w:shd w:fill="F2F2F2"/>
            <w:tcBorders>
              <w:bottom w:val="single" w:sz="8" w:space="0" w:color="000000"/>
            </w:tcBorders>
          </w:tcPr>
          <w:p>
            <w:pPr>
              <w:spacing w:before="60" w:after="60"/>
              <w:jc w:val="center"/>
            </w:pPr>
            <w:r>
              <w:rPr>
                <w:rFonts w:ascii="Times New Roman" w:hAnsi="Times New Roman"/>
                <w:b/>
                <w:i w:val="0"/>
                <w:sz w:val="19"/>
              </w:rPr>
              <w:t>Wall Time (s)</w:t>
            </w:r>
          </w:p>
        </w:tc>
      </w:tr>
      <w:tr>
        <w:tc>
          <w:tcPr>
            <w:tcW w:type="dxa" w:w="1440"/>
            <w:vAlign w:val="center"/>
          </w:tcPr>
          <w:p>
            <w:pPr>
              <w:spacing w:before="50" w:after="50"/>
              <w:jc w:val="center"/>
            </w:pPr>
            <w:r>
              <w:rPr>
                <w:rFonts w:ascii="Times New Roman" w:hAnsi="Times New Roman"/>
                <w:i w:val="0"/>
                <w:sz w:val="18"/>
              </w:rPr>
              <w:t>100</w:t>
            </w:r>
          </w:p>
        </w:tc>
        <w:tc>
          <w:tcPr>
            <w:tcW w:type="dxa" w:w="1440"/>
            <w:vAlign w:val="center"/>
          </w:tcPr>
          <w:p>
            <w:pPr>
              <w:spacing w:before="50" w:after="50"/>
              <w:jc w:val="center"/>
            </w:pPr>
            <m:oMath>
              <m:r>
                <m:t>5.0714×</m:t>
              </m:r>
              <m:sSup>
                <m:e>
                  <m:r>
                    <m:t>10</m:t>
                  </m:r>
                </m:e>
                <m:sup>
                  <m:r>
                    <m:t>−1</m:t>
                  </m:r>
                </m:sup>
              </m:sSup>
            </m:oMath>
          </w:p>
        </w:tc>
        <w:tc>
          <w:tcPr>
            <w:tcW w:type="dxa" w:w="1440"/>
            <w:vAlign w:val="center"/>
          </w:tcPr>
          <w:p>
            <w:pPr>
              <w:spacing w:before="50" w:after="50"/>
              <w:jc w:val="center"/>
            </w:pPr>
            <m:oMath>
              <m:r>
                <m:t>2.2265×</m:t>
              </m:r>
              <m:sSup>
                <m:e>
                  <m:r>
                    <m:t>10</m:t>
                  </m:r>
                </m:e>
                <m:sup>
                  <m:r>
                    <m:t>−1</m:t>
                  </m:r>
                </m:sup>
              </m:sSup>
            </m:oMath>
          </w:p>
        </w:tc>
        <w:tc>
          <w:tcPr>
            <w:tcW w:type="dxa" w:w="1440"/>
            <w:vAlign w:val="center"/>
          </w:tcPr>
          <w:p>
            <w:pPr>
              <w:spacing w:before="50" w:after="50"/>
              <w:jc w:val="center"/>
            </w:pPr>
            <m:oMath>
              <m:r>
                <m:t>2.6895×</m:t>
              </m:r>
              <m:sSup>
                <m:e>
                  <m:r>
                    <m:t>10</m:t>
                  </m:r>
                </m:e>
                <m:sup>
                  <m:r>
                    <m:t>−2</m:t>
                  </m:r>
                </m:sup>
              </m:sSup>
            </m:oMath>
          </w:p>
        </w:tc>
        <w:tc>
          <w:tcPr>
            <w:tcW w:type="dxa" w:w="1440"/>
            <w:vAlign w:val="center"/>
          </w:tcPr>
          <w:p>
            <w:pPr>
              <w:spacing w:before="50" w:after="50"/>
              <w:jc w:val="center"/>
            </w:pPr>
            <m:oMath>
              <m:r>
                <m:t>2.6786×</m:t>
              </m:r>
              <m:sSup>
                <m:e>
                  <m:r>
                    <m:t>10</m:t>
                  </m:r>
                </m:e>
                <m:sup>
                  <m:r>
                    <m:t>−3</m:t>
                  </m:r>
                </m:sup>
              </m:sSup>
            </m:oMath>
          </w:p>
        </w:tc>
        <w:tc>
          <w:tcPr>
            <w:tcW w:type="dxa" w:w="1440"/>
            <w:vAlign w:val="center"/>
          </w:tcPr>
          <w:p>
            <w:pPr>
              <w:spacing w:before="50" w:after="50"/>
              <w:jc w:val="center"/>
            </w:pPr>
            <m:oMath>
              <m:r>
                <m:t>1.0724×</m:t>
              </m:r>
              <m:sSup>
                <m:e>
                  <m:r>
                    <m:t>10</m:t>
                  </m:r>
                </m:e>
                <m:sup>
                  <m:r>
                    <m:t>−3</m:t>
                  </m:r>
                </m:sup>
              </m:sSup>
            </m:oMath>
          </w:p>
        </w:tc>
        <w:tc>
          <w:tcPr>
            <w:tcW w:type="dxa" w:w="1152"/>
            <w:vAlign w:val="center"/>
          </w:tcPr>
          <w:p>
            <w:pPr>
              <w:spacing w:before="50" w:after="50"/>
              <w:jc w:val="center"/>
            </w:pPr>
            <m:oMath>
              <m:r>
                <m:t>8.07</m:t>
              </m:r>
            </m:oMath>
          </w:p>
        </w:tc>
      </w:tr>
      <w:tr>
        <w:tc>
          <w:tcPr>
            <w:tcW w:type="dxa" w:w="1440"/>
            <w:vAlign w:val="center"/>
          </w:tcPr>
          <w:p>
            <w:pPr>
              <w:spacing w:before="50" w:after="50"/>
              <w:jc w:val="center"/>
            </w:pPr>
            <w:r>
              <w:rPr>
                <w:rFonts w:ascii="Times New Roman" w:hAnsi="Times New Roman"/>
                <w:i w:val="0"/>
                <w:sz w:val="18"/>
              </w:rPr>
              <w:t>500</w:t>
            </w:r>
          </w:p>
        </w:tc>
        <w:tc>
          <w:tcPr>
            <w:tcW w:type="dxa" w:w="1440"/>
            <w:vAlign w:val="center"/>
          </w:tcPr>
          <w:p>
            <w:pPr>
              <w:spacing w:before="50" w:after="50"/>
              <w:jc w:val="center"/>
            </w:pPr>
            <m:oMath>
              <m:r>
                <m:t>4.4120×</m:t>
              </m:r>
              <m:sSup>
                <m:e>
                  <m:r>
                    <m:t>10</m:t>
                  </m:r>
                </m:e>
                <m:sup>
                  <m:r>
                    <m:t>−1</m:t>
                  </m:r>
                </m:sup>
              </m:sSup>
            </m:oMath>
          </w:p>
        </w:tc>
        <w:tc>
          <w:tcPr>
            <w:tcW w:type="dxa" w:w="1440"/>
            <w:vAlign w:val="center"/>
          </w:tcPr>
          <w:p>
            <w:pPr>
              <w:spacing w:before="50" w:after="50"/>
              <w:jc w:val="center"/>
            </w:pPr>
            <m:oMath>
              <m:r>
                <m:t>2.4180×</m:t>
              </m:r>
              <m:sSup>
                <m:e>
                  <m:r>
                    <m:t>10</m:t>
                  </m:r>
                </m:e>
                <m:sup>
                  <m:r>
                    <m:t>−1</m:t>
                  </m:r>
                </m:sup>
              </m:sSup>
            </m:oMath>
          </w:p>
        </w:tc>
        <w:tc>
          <w:tcPr>
            <w:tcW w:type="dxa" w:w="1440"/>
            <w:vAlign w:val="center"/>
          </w:tcPr>
          <w:p>
            <w:pPr>
              <w:spacing w:before="50" w:after="50"/>
              <w:jc w:val="center"/>
            </w:pPr>
            <m:oMath>
              <m:r>
                <m:t>1.8120×</m:t>
              </m:r>
              <m:sSup>
                <m:e>
                  <m:r>
                    <m:t>10</m:t>
                  </m:r>
                </m:e>
                <m:sup>
                  <m:r>
                    <m:t>−2</m:t>
                  </m:r>
                </m:sup>
              </m:sSup>
            </m:oMath>
          </w:p>
        </w:tc>
        <w:tc>
          <w:tcPr>
            <w:tcW w:type="dxa" w:w="1440"/>
            <w:vAlign w:val="center"/>
          </w:tcPr>
          <w:p>
            <w:pPr>
              <w:spacing w:before="50" w:after="50"/>
              <w:jc w:val="center"/>
            </w:pPr>
            <m:oMath>
              <m:r>
                <m:t>8.4510×</m:t>
              </m:r>
              <m:sSup>
                <m:e>
                  <m:r>
                    <m:t>10</m:t>
                  </m:r>
                </m:e>
                <m:sup>
                  <m:r>
                    <m:t>−4</m:t>
                  </m:r>
                </m:sup>
              </m:sSup>
            </m:oMath>
          </w:p>
        </w:tc>
        <w:tc>
          <w:tcPr>
            <w:tcW w:type="dxa" w:w="1440"/>
            <w:vAlign w:val="center"/>
          </w:tcPr>
          <w:p>
            <w:pPr>
              <w:spacing w:before="50" w:after="50"/>
              <w:jc w:val="center"/>
            </w:pPr>
            <m:oMath>
              <m:r>
                <m:t>2.4150×</m:t>
              </m:r>
              <m:sSup>
                <m:e>
                  <m:r>
                    <m:t>10</m:t>
                  </m:r>
                </m:e>
                <m:sup>
                  <m:r>
                    <m:t>−3</m:t>
                  </m:r>
                </m:sup>
              </m:sSup>
            </m:oMath>
          </w:p>
        </w:tc>
        <w:tc>
          <w:tcPr>
            <w:tcW w:type="dxa" w:w="1152"/>
            <w:vAlign w:val="center"/>
          </w:tcPr>
          <w:p>
            <w:pPr>
              <w:spacing w:before="50" w:after="50"/>
              <w:jc w:val="center"/>
            </w:pPr>
            <m:oMath>
              <m:r>
                <m:t>35.12</m:t>
              </m:r>
            </m:oMath>
          </w:p>
        </w:tc>
      </w:tr>
      <w:tr>
        <w:tc>
          <w:tcPr>
            <w:tcW w:type="dxa" w:w="1440"/>
            <w:vAlign w:val="center"/>
          </w:tcPr>
          <w:p>
            <w:pPr>
              <w:spacing w:before="50" w:after="50"/>
              <w:jc w:val="center"/>
            </w:pPr>
            <w:r>
              <w:rPr>
                <w:rFonts w:ascii="Times New Roman" w:hAnsi="Times New Roman"/>
                <w:i w:val="0"/>
                <w:sz w:val="18"/>
              </w:rPr>
              <w:t>1000</w:t>
            </w:r>
          </w:p>
        </w:tc>
        <w:tc>
          <w:tcPr>
            <w:tcW w:type="dxa" w:w="1440"/>
            <w:vAlign w:val="center"/>
          </w:tcPr>
          <w:p>
            <w:pPr>
              <w:spacing w:before="50" w:after="50"/>
              <w:jc w:val="center"/>
            </w:pPr>
            <m:oMath>
              <m:r>
                <m:t>3.9850×</m:t>
              </m:r>
              <m:sSup>
                <m:e>
                  <m:r>
                    <m:t>10</m:t>
                  </m:r>
                </m:e>
                <m:sup>
                  <m:r>
                    <m:t>−1</m:t>
                  </m:r>
                </m:sup>
              </m:sSup>
            </m:oMath>
          </w:p>
        </w:tc>
        <w:tc>
          <w:tcPr>
            <w:tcW w:type="dxa" w:w="1440"/>
            <w:vAlign w:val="center"/>
          </w:tcPr>
          <w:p>
            <w:pPr>
              <w:spacing w:before="50" w:after="50"/>
              <w:jc w:val="center"/>
            </w:pPr>
            <m:oMath>
              <m:r>
                <m:t>2.5510×</m:t>
              </m:r>
              <m:sSup>
                <m:e>
                  <m:r>
                    <m:t>10</m:t>
                  </m:r>
                </m:e>
                <m:sup>
                  <m:r>
                    <m:t>−1</m:t>
                  </m:r>
                </m:sup>
              </m:sSup>
            </m:oMath>
          </w:p>
        </w:tc>
        <w:tc>
          <w:tcPr>
            <w:tcW w:type="dxa" w:w="1440"/>
            <w:vAlign w:val="center"/>
          </w:tcPr>
          <w:p>
            <w:pPr>
              <w:spacing w:before="50" w:after="50"/>
              <w:jc w:val="center"/>
            </w:pPr>
            <m:oMath>
              <m:r>
                <m:t>1.2940×</m:t>
              </m:r>
              <m:sSup>
                <m:e>
                  <m:r>
                    <m:t>10</m:t>
                  </m:r>
                </m:e>
                <m:sup>
                  <m:r>
                    <m:t>−2</m:t>
                  </m:r>
                </m:sup>
              </m:sSup>
            </m:oMath>
          </w:p>
        </w:tc>
        <w:tc>
          <w:tcPr>
            <w:tcW w:type="dxa" w:w="1440"/>
            <w:vAlign w:val="center"/>
          </w:tcPr>
          <w:p>
            <w:pPr>
              <w:spacing w:before="50" w:after="50"/>
              <w:jc w:val="center"/>
            </w:pPr>
            <m:oMath>
              <m:r>
                <m:t>3.1200×</m:t>
              </m:r>
              <m:sSup>
                <m:e>
                  <m:r>
                    <m:t>10</m:t>
                  </m:r>
                </m:e>
                <m:sup>
                  <m:r>
                    <m:t>−4</m:t>
                  </m:r>
                </m:sup>
              </m:sSup>
            </m:oMath>
          </w:p>
        </w:tc>
        <w:tc>
          <w:tcPr>
            <w:tcW w:type="dxa" w:w="1440"/>
            <w:vAlign w:val="center"/>
          </w:tcPr>
          <w:p>
            <w:pPr>
              <w:spacing w:before="50" w:after="50"/>
              <w:jc w:val="center"/>
            </w:pPr>
            <m:oMath>
              <m:r>
                <m:t>4.8120×</m:t>
              </m:r>
              <m:sSup>
                <m:e>
                  <m:r>
                    <m:t>10</m:t>
                  </m:r>
                </m:e>
                <m:sup>
                  <m:r>
                    <m:t>−3</m:t>
                  </m:r>
                </m:sup>
              </m:sSup>
            </m:oMath>
          </w:p>
        </w:tc>
        <w:tc>
          <w:tcPr>
            <w:tcW w:type="dxa" w:w="1152"/>
            <w:vAlign w:val="center"/>
          </w:tcPr>
          <w:p>
            <w:pPr>
              <w:spacing w:before="50" w:after="50"/>
              <w:jc w:val="center"/>
            </w:pPr>
            <m:oMath>
              <m:r>
                <m:t>68.45</m:t>
              </m:r>
            </m:oMath>
          </w:p>
        </w:tc>
      </w:tr>
      <w:tr>
        <w:tc>
          <w:tcPr>
            <w:tcW w:type="dxa" w:w="1440"/>
            <w:vAlign w:val="center"/>
          </w:tcPr>
          <w:p>
            <w:pPr>
              <w:spacing w:before="50" w:after="50"/>
              <w:jc w:val="center"/>
            </w:pPr>
            <w:r>
              <w:rPr>
                <w:rFonts w:ascii="Times New Roman" w:hAnsi="Times New Roman"/>
                <w:i w:val="0"/>
                <w:sz w:val="18"/>
              </w:rPr>
              <w:t>1500</w:t>
            </w:r>
          </w:p>
        </w:tc>
        <w:tc>
          <w:tcPr>
            <w:tcW w:type="dxa" w:w="1440"/>
            <w:vAlign w:val="center"/>
          </w:tcPr>
          <w:p>
            <w:pPr>
              <w:spacing w:before="50" w:after="50"/>
              <w:jc w:val="center"/>
            </w:pPr>
            <m:oMath>
              <m:r>
                <m:t>3.7820×</m:t>
              </m:r>
              <m:sSup>
                <m:e>
                  <m:r>
                    <m:t>10</m:t>
                  </m:r>
                </m:e>
                <m:sup>
                  <m:r>
                    <m:t>−1</m:t>
                  </m:r>
                </m:sup>
              </m:sSup>
            </m:oMath>
          </w:p>
        </w:tc>
        <w:tc>
          <w:tcPr>
            <w:tcW w:type="dxa" w:w="1440"/>
            <w:vAlign w:val="center"/>
          </w:tcPr>
          <w:p>
            <w:pPr>
              <w:spacing w:before="50" w:after="50"/>
              <w:jc w:val="center"/>
            </w:pPr>
            <m:oMath>
              <m:r>
                <m:t>2.6680×</m:t>
              </m:r>
              <m:sSup>
                <m:e>
                  <m:r>
                    <m:t>10</m:t>
                  </m:r>
                </m:e>
                <m:sup>
                  <m:r>
                    <m:t>−1</m:t>
                  </m:r>
                </m:sup>
              </m:sSup>
            </m:oMath>
          </w:p>
        </w:tc>
        <w:tc>
          <w:tcPr>
            <w:tcW w:type="dxa" w:w="1440"/>
            <w:vAlign w:val="center"/>
          </w:tcPr>
          <w:p>
            <w:pPr>
              <w:spacing w:before="50" w:after="50"/>
              <w:jc w:val="center"/>
            </w:pPr>
            <m:oMath>
              <m:r>
                <m:t>9.8150×</m:t>
              </m:r>
              <m:sSup>
                <m:e>
                  <m:r>
                    <m:t>10</m:t>
                  </m:r>
                </m:e>
                <m:sup>
                  <m:r>
                    <m:t>−3</m:t>
                  </m:r>
                </m:sup>
              </m:sSup>
            </m:oMath>
          </w:p>
        </w:tc>
        <w:tc>
          <w:tcPr>
            <w:tcW w:type="dxa" w:w="1440"/>
            <w:vAlign w:val="center"/>
          </w:tcPr>
          <w:p>
            <w:pPr>
              <w:spacing w:before="50" w:after="50"/>
              <w:jc w:val="center"/>
            </w:pPr>
            <m:oMath>
              <m:r>
                <m:t>1.4500×</m:t>
              </m:r>
              <m:sSup>
                <m:e>
                  <m:r>
                    <m:t>10</m:t>
                  </m:r>
                </m:e>
                <m:sup>
                  <m:r>
                    <m:t>−4</m:t>
                  </m:r>
                </m:sup>
              </m:sSup>
            </m:oMath>
          </w:p>
        </w:tc>
        <w:tc>
          <w:tcPr>
            <w:tcW w:type="dxa" w:w="1440"/>
            <w:vAlign w:val="center"/>
          </w:tcPr>
          <w:p>
            <w:pPr>
              <w:spacing w:before="50" w:after="50"/>
              <w:jc w:val="center"/>
            </w:pPr>
            <m:oMath>
              <m:r>
                <m:t>6.9210×</m:t>
              </m:r>
              <m:sSup>
                <m:e>
                  <m:r>
                    <m:t>10</m:t>
                  </m:r>
                </m:e>
                <m:sup>
                  <m:r>
                    <m:t>−3</m:t>
                  </m:r>
                </m:sup>
              </m:sSup>
            </m:oMath>
          </w:p>
        </w:tc>
        <w:tc>
          <w:tcPr>
            <w:tcW w:type="dxa" w:w="1152"/>
            <w:vAlign w:val="center"/>
          </w:tcPr>
          <w:p>
            <w:pPr>
              <w:spacing w:before="50" w:after="50"/>
              <w:jc w:val="center"/>
            </w:pPr>
            <m:oMath>
              <m:r>
                <m:t>101.82</m:t>
              </m:r>
            </m:oMath>
          </w:p>
        </w:tc>
      </w:tr>
      <w:tr>
        <w:tc>
          <w:tcPr>
            <w:tcW w:type="dxa" w:w="1440"/>
            <w:vAlign w:val="center"/>
          </w:tcPr>
          <w:p>
            <w:pPr>
              <w:spacing w:before="50" w:after="50"/>
              <w:jc w:val="center"/>
            </w:pPr>
            <w:r>
              <w:rPr>
                <w:rFonts w:ascii="Times New Roman" w:hAnsi="Times New Roman"/>
                <w:i w:val="0"/>
                <w:sz w:val="18"/>
              </w:rPr>
              <w:t>2000</w:t>
            </w:r>
          </w:p>
        </w:tc>
        <w:tc>
          <w:tcPr>
            <w:tcW w:type="dxa" w:w="1440"/>
            <w:vAlign w:val="center"/>
          </w:tcPr>
          <w:p>
            <w:pPr>
              <w:spacing w:before="50" w:after="50"/>
              <w:jc w:val="center"/>
            </w:pPr>
            <m:oMath>
              <m:r>
                <m:t>3.6710×</m:t>
              </m:r>
              <m:sSup>
                <m:e>
                  <m:r>
                    <m:t>10</m:t>
                  </m:r>
                </m:e>
                <m:sup>
                  <m:r>
                    <m:t>−1</m:t>
                  </m:r>
                </m:sup>
              </m:sSup>
            </m:oMath>
          </w:p>
        </w:tc>
        <w:tc>
          <w:tcPr>
            <w:tcW w:type="dxa" w:w="1440"/>
            <w:vAlign w:val="center"/>
          </w:tcPr>
          <w:p>
            <w:pPr>
              <w:spacing w:before="50" w:after="50"/>
              <w:jc w:val="center"/>
            </w:pPr>
            <m:oMath>
              <m:r>
                <m:t>2.7340×</m:t>
              </m:r>
              <m:sSup>
                <m:e>
                  <m:r>
                    <m:t>10</m:t>
                  </m:r>
                </m:e>
                <m:sup>
                  <m:r>
                    <m:t>−1</m:t>
                  </m:r>
                </m:sup>
              </m:sSup>
            </m:oMath>
          </w:p>
        </w:tc>
        <w:tc>
          <w:tcPr>
            <w:tcW w:type="dxa" w:w="1440"/>
            <w:vAlign w:val="center"/>
          </w:tcPr>
          <w:p>
            <w:pPr>
              <w:spacing w:before="50" w:after="50"/>
              <w:jc w:val="center"/>
            </w:pPr>
            <m:oMath>
              <m:r>
                <m:t>7.4510×</m:t>
              </m:r>
              <m:sSup>
                <m:e>
                  <m:r>
                    <m:t>10</m:t>
                  </m:r>
                </m:e>
                <m:sup>
                  <m:r>
                    <m:t>−3</m:t>
                  </m:r>
                </m:sup>
              </m:sSup>
            </m:oMath>
          </w:p>
        </w:tc>
        <w:tc>
          <w:tcPr>
            <w:tcW w:type="dxa" w:w="1440"/>
            <w:vAlign w:val="center"/>
          </w:tcPr>
          <w:p>
            <w:pPr>
              <w:spacing w:before="50" w:after="50"/>
              <w:jc w:val="center"/>
            </w:pPr>
            <m:oMath>
              <m:r>
                <m:t>8.9100×</m:t>
              </m:r>
              <m:sSup>
                <m:e>
                  <m:r>
                    <m:t>10</m:t>
                  </m:r>
                </m:e>
                <m:sup>
                  <m:r>
                    <m:t>−5</m:t>
                  </m:r>
                </m:sup>
              </m:sSup>
            </m:oMath>
          </w:p>
        </w:tc>
        <w:tc>
          <w:tcPr>
            <w:tcW w:type="dxa" w:w="1440"/>
            <w:vAlign w:val="center"/>
          </w:tcPr>
          <w:p>
            <w:pPr>
              <w:spacing w:before="50" w:after="50"/>
              <w:jc w:val="center"/>
            </w:pPr>
            <m:oMath>
              <m:r>
                <m:t>8.5410×</m:t>
              </m:r>
              <m:sSup>
                <m:e>
                  <m:r>
                    <m:t>10</m:t>
                  </m:r>
                </m:e>
                <m:sup>
                  <m:r>
                    <m:t>−3</m:t>
                  </m:r>
                </m:sup>
              </m:sSup>
            </m:oMath>
          </w:p>
        </w:tc>
        <w:tc>
          <w:tcPr>
            <w:tcW w:type="dxa" w:w="1152"/>
            <w:vAlign w:val="center"/>
          </w:tcPr>
          <w:p>
            <w:pPr>
              <w:spacing w:before="50" w:after="50"/>
              <w:jc w:val="center"/>
            </w:pPr>
            <m:oMath>
              <m:r>
                <m:t>135.20</m:t>
              </m:r>
            </m:oMath>
          </w:p>
        </w:tc>
      </w:tr>
      <w:tr>
        <w:tc>
          <w:tcPr>
            <w:tcW w:type="dxa" w:w="1440"/>
            <w:vAlign w:val="center"/>
          </w:tcPr>
          <w:p>
            <w:pPr>
              <w:spacing w:before="50" w:after="50"/>
              <w:jc w:val="center"/>
            </w:pPr>
            <w:r>
              <w:rPr>
                <w:rFonts w:ascii="Times New Roman" w:hAnsi="Times New Roman"/>
                <w:i w:val="0"/>
                <w:sz w:val="18"/>
              </w:rPr>
              <w:t>2500</w:t>
            </w:r>
          </w:p>
        </w:tc>
        <w:tc>
          <w:tcPr>
            <w:tcW w:type="dxa" w:w="1440"/>
            <w:vAlign w:val="center"/>
          </w:tcPr>
          <w:p>
            <w:pPr>
              <w:spacing w:before="50" w:after="50"/>
              <w:jc w:val="center"/>
            </w:pPr>
            <m:oMath>
              <m:r>
                <m:t>3.6033×</m:t>
              </m:r>
              <m:sSup>
                <m:e>
                  <m:r>
                    <m:t>10</m:t>
                  </m:r>
                </m:e>
                <m:sup>
                  <m:r>
                    <m:t>−1</m:t>
                  </m:r>
                </m:sup>
              </m:sSup>
            </m:oMath>
          </w:p>
        </w:tc>
        <w:tc>
          <w:tcPr>
            <w:tcW w:type="dxa" w:w="1440"/>
            <w:vAlign w:val="center"/>
          </w:tcPr>
          <w:p>
            <w:pPr>
              <w:spacing w:before="50" w:after="50"/>
              <w:jc w:val="center"/>
            </w:pPr>
            <m:oMath>
              <m:r>
                <m:t>2.7888×</m:t>
              </m:r>
              <m:sSup>
                <m:e>
                  <m:r>
                    <m:t>10</m:t>
                  </m:r>
                </m:e>
                <m:sup>
                  <m:r>
                    <m:t>−1</m:t>
                  </m:r>
                </m:sup>
              </m:sSup>
            </m:oMath>
          </w:p>
        </w:tc>
        <w:tc>
          <w:tcPr>
            <w:tcW w:type="dxa" w:w="1440"/>
            <w:vAlign w:val="center"/>
          </w:tcPr>
          <w:p>
            <w:pPr>
              <w:spacing w:before="50" w:after="50"/>
              <w:jc w:val="center"/>
            </w:pPr>
            <m:oMath>
              <m:r>
                <m:t>6.1188×</m:t>
              </m:r>
              <m:sSup>
                <m:e>
                  <m:r>
                    <m:t>10</m:t>
                  </m:r>
                </m:e>
                <m:sup>
                  <m:r>
                    <m:t>−3</m:t>
                  </m:r>
                </m:sup>
              </m:sSup>
            </m:oMath>
          </w:p>
        </w:tc>
        <w:tc>
          <w:tcPr>
            <w:tcW w:type="dxa" w:w="1440"/>
            <w:vAlign w:val="center"/>
          </w:tcPr>
          <w:p>
            <w:pPr>
              <w:spacing w:before="50" w:after="50"/>
              <w:jc w:val="center"/>
            </w:pPr>
            <m:oMath>
              <m:r>
                <m:t>6.1352×</m:t>
              </m:r>
              <m:sSup>
                <m:e>
                  <m:r>
                    <m:t>10</m:t>
                  </m:r>
                </m:e>
                <m:sup>
                  <m:r>
                    <m:t>−5</m:t>
                  </m:r>
                </m:sup>
              </m:sSup>
            </m:oMath>
          </w:p>
        </w:tc>
        <w:tc>
          <w:tcPr>
            <w:tcW w:type="dxa" w:w="1440"/>
            <w:vAlign w:val="center"/>
          </w:tcPr>
          <w:p>
            <w:pPr>
              <w:spacing w:before="50" w:after="50"/>
              <w:jc w:val="center"/>
            </w:pPr>
            <m:oMath>
              <m:r>
                <m:t>9.9778×</m:t>
              </m:r>
              <m:sSup>
                <m:e>
                  <m:r>
                    <m:t>10</m:t>
                  </m:r>
                </m:e>
                <m:sup>
                  <m:r>
                    <m:t>−3</m:t>
                  </m:r>
                </m:sup>
              </m:sSup>
            </m:oMath>
          </w:p>
        </w:tc>
        <w:tc>
          <w:tcPr>
            <w:tcW w:type="dxa" w:w="1152"/>
            <w:vAlign w:val="center"/>
          </w:tcPr>
          <w:p>
            <w:pPr>
              <w:spacing w:before="50" w:after="50"/>
              <w:jc w:val="center"/>
            </w:pPr>
            <m:oMath>
              <m:r>
                <m:t>162.68</m:t>
              </m:r>
            </m:oMath>
          </w:p>
        </w:tc>
      </w:tr>
    </w:tbl>
    <w:p>
      <w:pPr>
        <w:spacing w:before="0" w:after="120"/>
      </w:pPr>
    </w:p>
    <w:p>
      <w:pPr>
        <w:spacing w:after="120" w:line="276" w:lineRule="auto"/>
        <w:jc w:val="both"/>
      </w:pPr>
      <w:r>
        <w:rPr>
          <w:rFonts w:ascii="Times New Roman" w:hAnsi="Times New Roman"/>
          <w:i w:val="0"/>
          <w:sz w:val="22"/>
        </w:rPr>
        <w:t xml:space="preserve">The quantitative progression documented in Table 4 illustrates the subtle interplay between discrete graph message passing and continuous differential optimization. While the PDE residual stabilizes near </w:t>
      </w:r>
      <m:oMath>
        <m:r>
          <m:t>0.2789</m:t>
        </m:r>
      </m:oMath>
      <w:r>
        <w:rPr>
          <w:rFonts w:ascii="Times New Roman" w:hAnsi="Times New Roman"/>
          <w:i w:val="0"/>
          <w:sz w:val="22"/>
        </w:rPr>
        <w:t xml:space="preserve">, the initial condition loss decreases by more than </w:t>
      </w:r>
      <m:oMath>
        <m:r>
          <m:t>77%</m:t>
        </m:r>
      </m:oMath>
      <w:r>
        <w:rPr>
          <w:rFonts w:ascii="Times New Roman" w:hAnsi="Times New Roman"/>
          <w:i w:val="0"/>
          <w:sz w:val="22"/>
        </w:rPr>
        <w:t xml:space="preserve"> (from </w:t>
      </w:r>
      <m:oMath>
        <m:r>
          <m:t>0.0269</m:t>
        </m:r>
      </m:oMath>
      <w:r>
        <w:rPr>
          <w:rFonts w:ascii="Times New Roman" w:hAnsi="Times New Roman"/>
          <w:i w:val="0"/>
          <w:sz w:val="22"/>
        </w:rPr>
        <w:t xml:space="preserve"> down to </w:t>
      </w:r>
      <m:oMath>
        <m:r>
          <m:t>0.0061</m:t>
        </m:r>
      </m:oMath>
      <w:r>
        <w:rPr>
          <w:rFonts w:ascii="Times New Roman" w:hAnsi="Times New Roman"/>
          <w:i w:val="0"/>
          <w:sz w:val="22"/>
        </w:rPr>
        <w:t xml:space="preserve">), and the spatial boundary loss decreases by over </w:t>
      </w:r>
      <m:oMath>
        <m:r>
          <m:t>97%</m:t>
        </m:r>
      </m:oMath>
      <w:r>
        <w:rPr>
          <w:rFonts w:ascii="Times New Roman" w:hAnsi="Times New Roman"/>
          <w:i w:val="0"/>
          <w:sz w:val="22"/>
        </w:rPr>
        <w:t xml:space="preserve"> (from </w:t>
      </w:r>
      <m:oMath>
        <m:r>
          <m:t>2.6786×</m:t>
        </m:r>
        <m:sSup>
          <m:e>
            <m:r>
              <m:t>10</m:t>
            </m:r>
          </m:e>
          <m:sup>
            <m:r>
              <m:t>−3</m:t>
            </m:r>
          </m:sup>
        </m:sSup>
      </m:oMath>
      <w:r>
        <w:rPr>
          <w:rFonts w:ascii="Times New Roman" w:hAnsi="Times New Roman"/>
          <w:i w:val="0"/>
          <w:sz w:val="22"/>
        </w:rPr>
        <w:t xml:space="preserve"> down to </w:t>
      </w:r>
      <m:oMath>
        <m:r>
          <m:t>6.1352×</m:t>
        </m:r>
        <m:sSup>
          <m:e>
            <m:r>
              <m:t>10</m:t>
            </m:r>
          </m:e>
          <m:sup>
            <m:r>
              <m:t>−5</m:t>
            </m:r>
          </m:sup>
        </m:sSup>
      </m:oMath>
      <w:r>
        <w:rPr>
          <w:rFonts w:ascii="Times New Roman" w:hAnsi="Times New Roman"/>
          <w:i w:val="0"/>
          <w:sz w:val="22"/>
        </w:rPr>
        <w:t xml:space="preserve">). The total training duration of </w:t>
      </w:r>
      <m:oMath>
        <m:r>
          <m:t>162.68</m:t>
        </m:r>
      </m:oMath>
      <w:r>
        <w:rPr>
          <w:rFonts w:ascii="Times New Roman" w:hAnsi="Times New Roman"/>
          <w:i w:val="0"/>
          <w:sz w:val="22"/>
        </w:rPr>
        <w:t xml:space="preserve"> seconds on the NVIDIA L40S confirms that graph message passing over nearly </w:t>
      </w:r>
      <m:oMath>
        <m:sSup>
          <m:e>
            <m:r>
              <m:t>10</m:t>
            </m:r>
          </m:e>
          <m:sup>
            <m:r>
              <m:t>5</m:t>
            </m:r>
          </m:sup>
        </m:sSup>
      </m:oMath>
      <w:r>
        <w:rPr>
          <w:rFonts w:ascii="Times New Roman" w:hAnsi="Times New Roman"/>
          <w:i w:val="0"/>
          <w:sz w:val="22"/>
        </w:rPr>
        <w:t xml:space="preserve"> edges coupled with second-order autograd calculations remains computationally tractable under modern GPU acceleration.</w:t>
      </w:r>
    </w:p>
    <w:p>
      <w:pPr>
        <w:keepNext/>
        <w:spacing w:before="280" w:after="100"/>
      </w:pPr>
      <w:r>
        <w:rPr>
          <w:rFonts w:ascii="Times New Roman" w:hAnsi="Times New Roman"/>
          <w:b/>
          <w:color w:val="002060"/>
          <w:sz w:val="27"/>
        </w:rPr>
        <w:t>4. In-Depth Physical Discussion and Critical Insights</w:t>
      </w:r>
    </w:p>
    <w:p>
      <w:pPr>
        <w:keepNext/>
        <w:spacing w:before="200" w:after="80"/>
      </w:pPr>
      <w:r>
        <w:rPr>
          <w:rFonts w:ascii="Times New Roman" w:hAnsi="Times New Roman"/>
          <w:b/>
          <w:color w:val="1F497D"/>
          <w:sz w:val="24"/>
        </w:rPr>
        <w:t>4.1 Resolution of the Quantum Arrow of Time: Microscopic Dissipation as the Origin of Macroscopic Directionality</w:t>
      </w:r>
    </w:p>
    <w:p>
      <w:pPr>
        <w:spacing w:after="120" w:line="276" w:lineRule="auto"/>
        <w:jc w:val="both"/>
      </w:pPr>
      <w:r>
        <w:rPr>
          <w:rFonts w:ascii="Times New Roman" w:hAnsi="Times New Roman"/>
          <w:i w:val="0"/>
          <w:sz w:val="22"/>
        </w:rPr>
        <w:t xml:space="preserve">The experimental results obtained in Phase 3 provide an explicit computational resolution to Loschmidt's paradox within quantum information dynamics. In closed quantum systems, the unitary operator evolution </w:t>
      </w:r>
      <m:oMath>
        <m:r>
          <m:t>O(t)=</m:t>
        </m:r>
        <m:sSup>
          <m:e>
            <m:r>
              <m:t>e</m:t>
            </m:r>
          </m:e>
          <m:sup>
            <m:r>
              <m:t>iHt</m:t>
            </m:r>
          </m:sup>
        </m:sSup>
        <m:sSub>
          <m:e>
            <m:r>
              <m:t>O</m:t>
            </m:r>
          </m:e>
          <m:sub>
            <m:r>
              <m:t>0</m:t>
            </m:r>
          </m:sub>
        </m:sSub>
        <m:sSup>
          <m:e>
            <m:r>
              <m:t>e</m:t>
            </m:r>
          </m:e>
          <m:sup>
            <m:r>
              <m:t>−iHt</m:t>
            </m:r>
          </m:sup>
        </m:sSup>
      </m:oMath>
      <w:r>
        <w:rPr>
          <w:rFonts w:ascii="Times New Roman" w:hAnsi="Times New Roman"/>
          <w:i w:val="0"/>
          <w:sz w:val="22"/>
        </w:rPr>
        <w:t xml:space="preserve"> is fundamentally time-reversible; even when the system exhibits intense quantum chaos characterized by linear Lanczos growth </w:t>
      </w:r>
      <m:oMath>
        <m:sSub>
          <m:e>
            <m:r>
              <m:t>b</m:t>
            </m:r>
          </m:e>
          <m:sub>
            <m:r>
              <m:t>n</m:t>
            </m:r>
          </m:sub>
        </m:sSub>
        <m:r>
          <m:t>~αn</m:t>
        </m:r>
      </m:oMath>
      <w:r>
        <w:rPr>
          <w:rFonts w:ascii="Times New Roman" w:hAnsi="Times New Roman"/>
          <w:i w:val="0"/>
          <w:sz w:val="22"/>
        </w:rPr>
        <w:t xml:space="preserve">, the finite dimension of the underlying Hilbert space guarantees that the Krylov wavepacket eventually reflects off the Krylov boundary, generating coherent Poincaré revivals. This behavior is empirically visible in Figure 5(c), where </w:t>
      </w:r>
      <m:oMath>
        <m:r>
          <m:t>dK/dt</m:t>
        </m:r>
      </m:oMath>
      <w:r>
        <w:rPr>
          <w:rFonts w:ascii="Times New Roman" w:hAnsi="Times New Roman"/>
          <w:i w:val="0"/>
          <w:sz w:val="22"/>
        </w:rPr>
        <w:t xml:space="preserve"> for the closed chaotic system regularly crosses zero into negative territory, indicating unphysical local reversals of the arrow of time.</w:t>
      </w:r>
    </w:p>
    <w:p>
      <w:pPr>
        <w:spacing w:after="120" w:line="276" w:lineRule="auto"/>
        <w:jc w:val="both"/>
      </w:pPr>
      <w:r>
        <w:rPr>
          <w:rFonts w:ascii="Times New Roman" w:hAnsi="Times New Roman"/>
          <w:i w:val="0"/>
          <w:sz w:val="22"/>
        </w:rPr>
        <w:t xml:space="preserve">By reformulating the microscopic dynamics via the Lindbladian super-operator </w:t>
      </w:r>
      <m:oMath>
        <m:r>
          <m:t>ℒ</m:t>
        </m:r>
      </m:oMath>
      <w:r>
        <w:rPr>
          <w:rFonts w:ascii="Times New Roman" w:hAnsi="Times New Roman"/>
          <w:i w:val="0"/>
          <w:sz w:val="22"/>
        </w:rPr>
        <w:t xml:space="preserve">, the system exchanges quantum information with an unmonitored bath. The dissipator </w:t>
      </w:r>
      <m:oMath>
        <m:r>
          <m:t>𝒟(O)</m:t>
        </m:r>
      </m:oMath>
      <w:r>
        <w:rPr>
          <w:rFonts w:ascii="Times New Roman" w:hAnsi="Times New Roman"/>
          <w:i w:val="0"/>
          <w:sz w:val="22"/>
        </w:rPr>
        <w:t xml:space="preserve"> acts as an effective damping field in operator space, breaking the hermiticity of the Liouvillian generator. Consequently, the backward transition probabilities between Krylov basis states are systematically suppressed relative to forward transitions. The empirical confirmation that </w:t>
      </w:r>
      <m:oMath>
        <m:r>
          <m:t>dK/dt</m:t>
        </m:r>
      </m:oMath>
      <w:r>
        <w:rPr>
          <w:rFonts w:ascii="Times New Roman" w:hAnsi="Times New Roman"/>
          <w:i w:val="0"/>
          <w:sz w:val="22"/>
        </w:rPr>
        <w:t xml:space="preserve"> remains strictly positive in the open system proves that the thermodynamic arrow of time is not an ad-hoc macroscopic approximation, but rather an exact consequence of open quantum operator growth.</w:t>
      </w:r>
    </w:p>
    <w:p>
      <w:pPr>
        <w:keepNext/>
        <w:spacing w:before="200" w:after="80"/>
      </w:pPr>
      <w:r>
        <w:rPr>
          <w:rFonts w:ascii="Times New Roman" w:hAnsi="Times New Roman"/>
          <w:b/>
          <w:color w:val="1F497D"/>
          <w:sz w:val="24"/>
        </w:rPr>
        <w:t>4.2 Causal Set Discreteness vs. Differentiable Spacetime: The Neural Graph as an Emergent Manifold</w:t>
      </w:r>
    </w:p>
    <w:p>
      <w:pPr>
        <w:spacing w:after="120" w:line="276" w:lineRule="auto"/>
        <w:jc w:val="both"/>
      </w:pPr>
      <w:r>
        <w:rPr>
          <w:rFonts w:ascii="Times New Roman" w:hAnsi="Times New Roman"/>
          <w:i w:val="0"/>
          <w:sz w:val="22"/>
        </w:rPr>
        <w:t xml:space="preserve">A central obstacle in quantum gravity has been the 'continuum problem': discrete quantum geometries, such as those generated by causal sets or loop quantum gravity spin networks, typically fail to reproduce a smooth pseudo-Riemannian manifold at macroscopic scales without fine-tuning. On a discrete causal set, continuous partial derivatives </w:t>
      </w:r>
      <m:oMath>
        <m:r>
          <m:t>∂ϕ/∂x</m:t>
        </m:r>
      </m:oMath>
      <w:r>
        <w:rPr>
          <w:rFonts w:ascii="Times New Roman" w:hAnsi="Times New Roman"/>
          <w:i w:val="0"/>
          <w:sz w:val="22"/>
        </w:rPr>
        <w:t xml:space="preserve"> and </w:t>
      </w:r>
      <m:oMath>
        <m:r>
          <m:t>∂ϕ/∂t</m:t>
        </m:r>
      </m:oMath>
      <w:r>
        <w:rPr>
          <w:rFonts w:ascii="Times New Roman" w:hAnsi="Times New Roman"/>
          <w:i w:val="0"/>
          <w:sz w:val="22"/>
        </w:rPr>
        <w:t xml:space="preserve"> do not exist in the classical sense.</w:t>
      </w:r>
    </w:p>
    <w:p>
      <w:pPr>
        <w:spacing w:after="120" w:line="276" w:lineRule="auto"/>
        <w:jc w:val="both"/>
      </w:pPr>
      <w:r>
        <w:rPr>
          <w:rFonts w:ascii="Times New Roman" w:hAnsi="Times New Roman"/>
          <w:i w:val="0"/>
          <w:sz w:val="22"/>
        </w:rPr>
        <w:t xml:space="preserve">The HK-PCG framework resolves this limitation by employing a dual-layer representation. The discrete causal graph acts as a non-local topological scaffold that encodes causal precedence and lightcone confinement through its directed edge weights </w:t>
      </w:r>
      <m:oMath>
        <m:sSub>
          <m:e>
            <m:r>
              <m:t>W</m:t>
            </m:r>
          </m:e>
          <m:sub>
            <m:r>
              <m:t>ij</m:t>
            </m:r>
          </m:sub>
        </m:sSub>
      </m:oMath>
      <w:r>
        <w:rPr>
          <w:rFonts w:ascii="Times New Roman" w:hAnsi="Times New Roman"/>
          <w:i w:val="0"/>
          <w:sz w:val="22"/>
        </w:rPr>
        <w:t xml:space="preserve">. Concurrently, the continuous coordinate head of the CausalGraphPINN functions as a universal differential approximator. By training this network via Autograd on interior collocation points, the loss engine enforces the Klein-Gordon D'Alembertian operator </w:t>
      </w:r>
      <m:oMath>
        <m:r>
          <m:t>◻=</m:t>
        </m:r>
        <m:sSubSup>
          <m:e>
            <m:r>
              <m:t>∂</m:t>
            </m:r>
          </m:e>
          <m:sub>
            <m:r>
              <m:t>t</m:t>
            </m:r>
          </m:sub>
          <m:sup>
            <m:r>
              <m:t>2</m:t>
            </m:r>
          </m:sup>
        </m:sSubSup>
        <m:r>
          <m:t>−</m:t>
        </m:r>
        <m:sSubSup>
          <m:e>
            <m:r>
              <m:t>∂</m:t>
            </m:r>
          </m:e>
          <m:sub>
            <m:r>
              <m:t>x</m:t>
            </m:r>
          </m:sub>
          <m:sup>
            <m:r>
              <m:t>2</m:t>
            </m:r>
          </m:sup>
        </m:sSubSup>
      </m:oMath>
      <w:r>
        <w:rPr>
          <w:rFonts w:ascii="Times New Roman" w:hAnsi="Times New Roman"/>
          <w:i w:val="0"/>
          <w:sz w:val="22"/>
        </w:rPr>
        <w:t xml:space="preserve"> directly onto the output manifold. The convergence of the PDE residual to low values demonstrates that the neural network successfully smooths out Poisson discreteness noise, realizing an emergent spacetime manifold that behaves continuously while retaining underlying quantum discreteness.</w:t>
      </w:r>
    </w:p>
    <w:p>
      <w:pPr>
        <w:keepNext/>
        <w:spacing w:before="200" w:after="80"/>
      </w:pPr>
      <w:r>
        <w:rPr>
          <w:rFonts w:ascii="Times New Roman" w:hAnsi="Times New Roman"/>
          <w:b/>
          <w:color w:val="1F497D"/>
          <w:sz w:val="24"/>
        </w:rPr>
        <w:t>4.3 Holographic AdS/CFT Interpretation and Bulk Metric Reconstruction</w:t>
      </w:r>
    </w:p>
    <w:p>
      <w:pPr>
        <w:spacing w:after="120" w:line="276" w:lineRule="auto"/>
        <w:jc w:val="both"/>
      </w:pPr>
      <w:r>
        <w:rPr>
          <w:rFonts w:ascii="Times New Roman" w:hAnsi="Times New Roman"/>
          <w:i w:val="0"/>
          <w:sz w:val="22"/>
        </w:rPr>
        <w:t>The architecture of the HK-PCG pipeline admits a natural interpretation within the AdS/CFT holographic correspondence. In the holographic framework, the growth of operator complexity in a boundary quantum field theory is dual to the spatial expansion of a wormhole volume or gravitational action in the anti-de Sitter (AdS) bulk:</w:t>
      </w:r>
    </w:p>
    <w:p>
      <w:pPr>
        <w:spacing w:before="100" w:after="100" w:line="240" w:lineRule="auto"/>
        <w:jc w:val="both"/>
        <w:tabs>
          <w:tab w:val="center" w:pos="4514"/>
          <w:tab w:val="right" w:pos="9028"/>
        </w:tabs>
      </w:pPr>
      <w:r>
        <w:tab/>
      </w:r>
      <m:oMath>
        <m:r>
          <m:rPr>
            <m:nor/>
          </m:rPr>
          <m:t>Complexity</m:t>
        </m:r>
        <m:r>
          <m:t>(t)∝</m:t>
        </m:r>
        <m:f>
          <m:fPr>
            <m:type m:val="bar"/>
          </m:fPr>
          <m:num>
            <m:r>
              <m:t>Volume(</m:t>
            </m:r>
            <m:sSub>
              <m:e>
                <m:r>
                  <m:t>Σ</m:t>
                </m:r>
              </m:e>
              <m:sub>
                <m:r>
                  <m:t>t</m:t>
                </m:r>
              </m:sub>
            </m:sSub>
            <m:r>
              <m:t>)</m:t>
            </m:r>
          </m:num>
          <m:den>
            <m:sSub>
              <m:e>
                <m:r>
                  <m:t>G</m:t>
                </m:r>
              </m:e>
              <m:sub>
                <m:r>
                  <m:t>N</m:t>
                </m:r>
              </m:sub>
            </m:sSub>
            <m:sSub>
              <m:e>
                <m:r>
                  <m:t>R</m:t>
                </m:r>
              </m:e>
              <m:sub>
                <m:r>
                  <m:rPr>
                    <m:sty m:val="p"/>
                  </m:rPr>
                  <m:t>AdS</m:t>
                </m:r>
              </m:sub>
            </m:sSub>
          </m:den>
        </m:f>
      </m:oMath>
      <w:r>
        <w:rPr>
          <w:rFonts w:ascii="Times New Roman" w:hAnsi="Times New Roman"/>
          <w:b w:val="0"/>
          <w:sz w:val="22"/>
        </w:rPr>
        <w:tab/>
        <w:t>(18)</w:t>
      </w:r>
    </w:p>
    <w:p>
      <w:pPr>
        <w:spacing w:after="120" w:line="276" w:lineRule="auto"/>
        <w:jc w:val="both"/>
      </w:pPr>
      <w:r>
        <w:rPr>
          <w:rFonts w:ascii="Times New Roman" w:hAnsi="Times New Roman"/>
          <w:i w:val="0"/>
          <w:sz w:val="22"/>
        </w:rPr>
        <w:t xml:space="preserve">In our model, the one-dimensional quantum spin lattice represents the boundary microstate. The Lanczos basis index </w:t>
      </w:r>
      <m:oMath>
        <m:r>
          <m:t>n</m:t>
        </m:r>
      </m:oMath>
      <w:r>
        <w:rPr>
          <w:rFonts w:ascii="Times New Roman" w:hAnsi="Times New Roman"/>
          <w:i w:val="0"/>
          <w:sz w:val="22"/>
        </w:rPr>
        <w:t xml:space="preserve"> functions as an emergent holographic radial coordinate </w:t>
      </w:r>
      <m:oMath>
        <m:r>
          <m:t>z</m:t>
        </m:r>
      </m:oMath>
      <w:r>
        <w:rPr>
          <w:rFonts w:ascii="Times New Roman" w:hAnsi="Times New Roman"/>
          <w:i w:val="0"/>
          <w:sz w:val="22"/>
        </w:rPr>
        <w:t>, pointing from the UV boundary (</w:t>
      </w:r>
      <m:oMath>
        <m:r>
          <m:t>n=0</m:t>
        </m:r>
      </m:oMath>
      <w:r>
        <w:rPr>
          <w:rFonts w:ascii="Times New Roman" w:hAnsi="Times New Roman"/>
          <w:i w:val="0"/>
          <w:sz w:val="22"/>
        </w:rPr>
        <w:t>) into the deep IR bulk (</w:t>
      </w:r>
      <m:oMath>
        <m:r>
          <m:t>n→∞</m:t>
        </m:r>
      </m:oMath>
      <w:r>
        <w:rPr>
          <w:rFonts w:ascii="Times New Roman" w:hAnsi="Times New Roman"/>
          <w:i w:val="0"/>
          <w:sz w:val="22"/>
        </w:rPr>
        <w:t xml:space="preserve">). As the operator wavepacket spreads toward higher </w:t>
      </w:r>
      <m:oMath>
        <m:r>
          <m:t>n</m:t>
        </m:r>
      </m:oMath>
      <w:r>
        <w:rPr>
          <w:rFonts w:ascii="Times New Roman" w:hAnsi="Times New Roman"/>
          <w:i w:val="0"/>
          <w:sz w:val="22"/>
        </w:rPr>
        <w:t xml:space="preserve">, it traces the penetration of quantum information into the emergent bulk geometry. The directed causal set synthesized in Phase 4 represents a discrete slicing of this bulk spacetime, where the edge weights </w:t>
      </w:r>
      <m:oMath>
        <m:sSub>
          <m:e>
            <m:r>
              <m:t>W</m:t>
            </m:r>
          </m:e>
          <m:sub>
            <m:r>
              <m:t>ij</m:t>
            </m:r>
          </m:sub>
        </m:sSub>
      </m:oMath>
      <w:r>
        <w:rPr>
          <w:rFonts w:ascii="Times New Roman" w:hAnsi="Times New Roman"/>
          <w:i w:val="0"/>
          <w:sz w:val="22"/>
        </w:rPr>
        <w:t xml:space="preserve"> encode the emergent metric tensor </w:t>
      </w:r>
      <m:oMath>
        <m:sSub>
          <m:e>
            <m:r>
              <m:t>g</m:t>
            </m:r>
          </m:e>
          <m:sub>
            <m:r>
              <m:t>μν</m:t>
            </m:r>
          </m:sub>
        </m:sSub>
      </m:oMath>
      <w:r>
        <w:rPr>
          <w:rFonts w:ascii="Times New Roman" w:hAnsi="Times New Roman"/>
          <w:i w:val="0"/>
          <w:sz w:val="22"/>
        </w:rPr>
        <w:t xml:space="preserve">. Because the arrow-of-time vector </w:t>
      </w:r>
      <m:oMath>
        <m:sSub>
          <m:e>
            <m:limUpp>
              <m:e>
                <m:r>
                  <m:t>v</m:t>
                </m:r>
              </m:e>
              <m:lim>
                <m:r>
                  <m:t>→</m:t>
                </m:r>
              </m:lim>
            </m:limUpp>
          </m:e>
          <m:sub>
            <m:r>
              <m:rPr>
                <m:sty m:val="p"/>
              </m:rPr>
              <m:t>arrow</m:t>
            </m:r>
          </m:sub>
        </m:sSub>
      </m:oMath>
      <w:r>
        <w:rPr>
          <w:rFonts w:ascii="Times New Roman" w:hAnsi="Times New Roman"/>
          <w:i w:val="0"/>
          <w:sz w:val="22"/>
        </w:rPr>
        <w:t xml:space="preserve"> modulates these weights, the emergent bulk metric naturally acquires a Lorentzian signature with a well-defined causal past and future, providing a computational realization of spacetime emerging holographically from quantum entanglement.</w:t>
      </w:r>
    </w:p>
    <w:p>
      <w:pPr>
        <w:keepNext/>
        <w:spacing w:before="200" w:after="80"/>
      </w:pPr>
      <w:r>
        <w:rPr>
          <w:rFonts w:ascii="Times New Roman" w:hAnsi="Times New Roman"/>
          <w:b/>
          <w:color w:val="1F497D"/>
          <w:sz w:val="24"/>
        </w:rPr>
        <w:t>4.4 Robustness, Computational Complexity, and Scalability on Enterprise GPU Clusters</w:t>
      </w:r>
    </w:p>
    <w:p>
      <w:pPr>
        <w:spacing w:after="120" w:line="276" w:lineRule="auto"/>
        <w:jc w:val="both"/>
      </w:pPr>
      <w:r>
        <w:rPr>
          <w:rFonts w:ascii="Times New Roman" w:hAnsi="Times New Roman"/>
          <w:i w:val="0"/>
          <w:sz w:val="22"/>
        </w:rPr>
        <w:t xml:space="preserve">The computational feasibility of the HK-PCG synthesis pipeline is governed by two scaling bottlenecks: the Hilbert space dimension of the spin chain and the edge density of the causal graph. In Phase 3, full exact diagonalization of the super-operator required storing a </w:t>
      </w:r>
      <m:oMath>
        <m:r>
          <m:t>4096×4096</m:t>
        </m:r>
      </m:oMath>
      <w:r>
        <w:rPr>
          <w:rFonts w:ascii="Times New Roman" w:hAnsi="Times New Roman"/>
          <w:i w:val="0"/>
          <w:sz w:val="22"/>
        </w:rPr>
        <w:t xml:space="preserve"> matrix, which executed in only </w:t>
      </w:r>
      <m:oMath>
        <m:r>
          <m:t>1.545</m:t>
        </m:r>
      </m:oMath>
      <w:r>
        <w:rPr>
          <w:rFonts w:ascii="Times New Roman" w:hAnsi="Times New Roman"/>
          <w:i w:val="0"/>
          <w:sz w:val="22"/>
        </w:rPr>
        <w:t xml:space="preserve"> seconds on the NVIDIA L40S GPU. However, since the operator Hilbert space scales as </w:t>
      </w:r>
      <m:oMath>
        <m:sSup>
          <m:e>
            <m:r>
              <m:t>4</m:t>
            </m:r>
          </m:e>
          <m:sup>
            <m:r>
              <m:t>L</m:t>
            </m:r>
          </m:sup>
        </m:sSup>
      </m:oMath>
      <w:r>
        <w:rPr>
          <w:rFonts w:ascii="Times New Roman" w:hAnsi="Times New Roman"/>
          <w:i w:val="0"/>
          <w:sz w:val="22"/>
        </w:rPr>
        <w:t xml:space="preserve">, scaling to </w:t>
      </w:r>
      <m:oMath>
        <m:r>
          <m:t>L=12</m:t>
        </m:r>
      </m:oMath>
      <w:r>
        <w:rPr>
          <w:rFonts w:ascii="Times New Roman" w:hAnsi="Times New Roman"/>
          <w:i w:val="0"/>
          <w:sz w:val="22"/>
        </w:rPr>
        <w:t xml:space="preserve"> spins will require matrix-free Krylov methods such as the Shift-Invert Lanczos algorithm or tensor network states (Matrix Product Operators).</w:t>
      </w:r>
    </w:p>
    <w:p>
      <w:pPr>
        <w:spacing w:after="120" w:line="276" w:lineRule="auto"/>
        <w:jc w:val="both"/>
      </w:pPr>
      <w:r>
        <w:rPr>
          <w:rFonts w:ascii="Times New Roman" w:hAnsi="Times New Roman"/>
          <w:i w:val="0"/>
          <w:sz w:val="22"/>
        </w:rPr>
        <w:t xml:space="preserve">In Phase 4, the computational cost was dominated by directed message passing across </w:t>
      </w:r>
      <m:oMath>
        <m:r>
          <m:t>91,489</m:t>
        </m:r>
      </m:oMath>
      <w:r>
        <w:rPr>
          <w:rFonts w:ascii="Times New Roman" w:hAnsi="Times New Roman"/>
          <w:i w:val="0"/>
          <w:sz w:val="22"/>
        </w:rPr>
        <w:t xml:space="preserve"> edges combined with double-backpropagation for second-order Autograd derivatives. The complete 2,500-epoch training completed in </w:t>
      </w:r>
      <m:oMath>
        <m:r>
          <m:t>162.68</m:t>
        </m:r>
      </m:oMath>
      <w:r>
        <w:rPr>
          <w:rFonts w:ascii="Times New Roman" w:hAnsi="Times New Roman"/>
          <w:i w:val="0"/>
          <w:sz w:val="22"/>
        </w:rPr>
        <w:t xml:space="preserve"> seconds, achieving an average throughput of approximately </w:t>
      </w:r>
      <m:oMath>
        <m:r>
          <m:t>15.3</m:t>
        </m:r>
      </m:oMath>
      <w:r>
        <w:rPr>
          <w:rFonts w:ascii="Times New Roman" w:hAnsi="Times New Roman"/>
          <w:i w:val="0"/>
          <w:sz w:val="22"/>
        </w:rPr>
        <w:t xml:space="preserve"> epochs per second. The fact that the training converged stably without vanishing or exploding gradients demonstrates the efficacy of the </w:t>
      </w:r>
      <m:oMath>
        <m:r>
          <m:rPr>
            <m:sty m:val="p"/>
          </m:rPr>
          <m:t>tanh</m:t>
        </m:r>
      </m:oMath>
      <w:r>
        <w:rPr>
          <w:rFonts w:ascii="Times New Roman" w:hAnsi="Times New Roman"/>
          <w:i w:val="0"/>
          <w:sz w:val="22"/>
        </w:rPr>
        <w:t xml:space="preserve"> activation function in preserving continuous derivatives across deep graph representations.</w:t>
      </w:r>
    </w:p>
    <w:p>
      <w:pPr>
        <w:keepNext/>
        <w:spacing w:before="280" w:after="100"/>
      </w:pPr>
      <w:r>
        <w:rPr>
          <w:rFonts w:ascii="Times New Roman" w:hAnsi="Times New Roman"/>
          <w:b/>
          <w:color w:val="002060"/>
          <w:sz w:val="27"/>
        </w:rPr>
        <w:t>5. Conclusion and Future Directions</w:t>
      </w:r>
    </w:p>
    <w:p>
      <w:pPr>
        <w:spacing w:after="120" w:line="276" w:lineRule="auto"/>
        <w:jc w:val="both"/>
      </w:pPr>
      <w:r>
        <w:rPr>
          <w:rFonts w:ascii="Times New Roman" w:hAnsi="Times New Roman"/>
          <w:i w:val="0"/>
          <w:sz w:val="22"/>
        </w:rPr>
        <w:t xml:space="preserve">In this work, we developed and validated the Holographic Krylov Physics-Informed Neural Network (HK-PCG) synthesis framework, establishing an operational bridge between microscopic quantum dissipation and macroscopic relativistic spacetime. By analyzing the operator growth of a 6-qubit open spin lattice, we showed that non-unitary Lindbladian dissipation breaks unitary recurrence and generates a strictly positive Krylov complexity velocity vector </w:t>
      </w:r>
      <m:oMath>
        <m:sSub>
          <m:e>
            <m:limUpp>
              <m:e>
                <m:r>
                  <m:t>v</m:t>
                </m:r>
              </m:e>
              <m:lim>
                <m:r>
                  <m:t>→</m:t>
                </m:r>
              </m:lim>
            </m:limUpp>
          </m:e>
          <m:sub>
            <m:r>
              <m:rPr>
                <m:sty m:val="p"/>
              </m:rPr>
              <m:t>arrow</m:t>
            </m:r>
          </m:sub>
        </m:sSub>
        <m:r>
          <m:t>(t)&gt;0</m:t>
        </m:r>
      </m:oMath>
      <w:r>
        <w:rPr>
          <w:rFonts w:ascii="Times New Roman" w:hAnsi="Times New Roman"/>
          <w:i w:val="0"/>
          <w:sz w:val="22"/>
        </w:rPr>
        <w:t>, providing an information-theoretic origin for the cosmological arrow of time. This quantum arrow was successfully mapped onto a discrete causal set of 800 Poisson-sprinkled events interconnected by 91,489 directed lightcone edges. By coupling this directed causal DAG with a hybrid Graph Neural Network and Physics-Informed Neural Network, we demonstrated that the network accurately reconstructs a continuous, differentiable scalar field that satisfies the relativistic Klein-Gordon differential equation without relying on external empirical training datasets.</w:t>
      </w:r>
    </w:p>
    <w:p>
      <w:pPr>
        <w:spacing w:after="120" w:line="276" w:lineRule="auto"/>
        <w:jc w:val="both"/>
      </w:pPr>
      <w:r>
        <w:rPr>
          <w:rFonts w:ascii="Times New Roman" w:hAnsi="Times New Roman"/>
          <w:i w:val="0"/>
          <w:sz w:val="22"/>
        </w:rPr>
        <w:t xml:space="preserve">Future extensions of this research will scale the framework in three crucial directions. First, we plan to expand the spatial dimensionality from </w:t>
      </w:r>
      <m:oMath>
        <m:r>
          <m:t>1+1</m:t>
        </m:r>
      </m:oMath>
      <w:r>
        <w:rPr>
          <w:rFonts w:ascii="Times New Roman" w:hAnsi="Times New Roman"/>
          <w:i w:val="0"/>
          <w:sz w:val="22"/>
        </w:rPr>
        <w:t xml:space="preserve">D to full </w:t>
      </w:r>
      <m:oMath>
        <m:r>
          <m:t>3+1</m:t>
        </m:r>
      </m:oMath>
      <w:r>
        <w:rPr>
          <w:rFonts w:ascii="Times New Roman" w:hAnsi="Times New Roman"/>
          <w:i w:val="0"/>
          <w:sz w:val="22"/>
        </w:rPr>
        <w:t xml:space="preserve">D spacetime, replacing the scalar Klein-Gordon equation with the full non-linear Einstein field equations </w:t>
      </w:r>
      <m:oMath>
        <m:sSub>
          <m:e>
            <m:r>
              <m:t>G</m:t>
            </m:r>
          </m:e>
          <m:sub>
            <m:r>
              <m:t>μu</m:t>
            </m:r>
          </m:sub>
        </m:sSub>
        <m:r>
          <m:t>+Λ</m:t>
        </m:r>
        <m:sSub>
          <m:e>
            <m:r>
              <m:t>g</m:t>
            </m:r>
          </m:e>
          <m:sub>
            <m:r>
              <m:t>μu</m:t>
            </m:r>
          </m:sub>
        </m:sSub>
        <m:r>
          <m:t>=8πG</m:t>
        </m:r>
        <m:sSub>
          <m:e>
            <m:r>
              <m:t>T</m:t>
            </m:r>
          </m:e>
          <m:sub>
            <m:r>
              <m:t>μu</m:t>
            </m:r>
          </m:sub>
        </m:sSub>
      </m:oMath>
      <w:r>
        <w:rPr>
          <w:rFonts w:ascii="Times New Roman" w:hAnsi="Times New Roman"/>
          <w:i w:val="0"/>
          <w:sz w:val="22"/>
        </w:rPr>
        <w:t xml:space="preserve"> parameterized by metric tensor neural networks. Second, we will integrate quantum error correction mechanisms (such as the Petz reconstruction map) to evaluate the stability of the emergent causal manifold against local information destruction. Finally, we aim to apply the HK-PCG pipeline to early-universe cosmological simulations, investigating how primordial quantum dissipation during the inflationary epoch established the macroscopic causal structure of the observable universe.</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