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76" w:lineRule="auto"/>
        <w:jc w:val="center"/>
      </w:pPr>
      <w:r>
        <w:rPr>
          <w:rFonts w:ascii="Times New Roman" w:hAnsi="Times New Roman"/>
          <w:b/>
          <w:color w:val="1E4E79"/>
          <w:sz w:val="26"/>
        </w:rPr>
        <w:t>VELLORE INSTITUTE OF TECHNOLOGY, CHENNAI</w:t>
        <w:br/>
      </w:r>
      <w:r>
        <w:rPr>
          <w:rFonts w:ascii="Times New Roman" w:hAnsi="Times New Roman"/>
          <w:b/>
          <w:color w:val="2D3748"/>
          <w:sz w:val="24"/>
        </w:rPr>
        <w:t>SCHOOL OF COMPUTER SCIENCE AND ENGINEERING</w:t>
        <w:br/>
      </w:r>
    </w:p>
    <w:p>
      <w:pPr>
        <w:spacing w:before="120" w:after="360" w:line="276" w:lineRule="auto"/>
        <w:jc w:val="center"/>
      </w:pPr>
      <w:r>
        <w:rPr>
          <w:rFonts w:ascii="Times New Roman" w:hAnsi="Times New Roman"/>
          <w:color w:val="1E4E79"/>
          <w:sz w:val="22"/>
        </w:rPr>
        <w:t>━━━━━━━━━━━━━━━━━━━━━━━━━━━━━━━━━━━━━━━━━━━━</w:t>
      </w:r>
    </w:p>
    <w:p>
      <w:pPr>
        <w:spacing w:before="0" w:after="360" w:line="276" w:lineRule="auto"/>
        <w:jc w:val="center"/>
      </w:pPr>
      <w:r>
        <w:rPr>
          <w:rFonts w:ascii="Times New Roman" w:hAnsi="Times New Roman"/>
          <w:b/>
          <w:color w:val="4A5568"/>
          <w:sz w:val="23"/>
        </w:rPr>
        <w:t>BCSE415L HUMAN COMPUTER INTERACTION</w:t>
        <w:br/>
        <w:t>DIGITAL ASSIGNMENT-3 (DA-3) RESEARCH PAPER</w:t>
        <w:br/>
        <w:t>ACADEMIC YEAR 2026–27</w:t>
      </w:r>
    </w:p>
    <w:p>
      <w:pPr>
        <w:spacing w:before="360" w:after="240" w:line="276" w:lineRule="auto"/>
        <w:jc w:val="center"/>
      </w:pPr>
      <w:r>
        <w:rPr>
          <w:rFonts w:ascii="Times New Roman" w:hAnsi="Times New Roman"/>
          <w:b/>
          <w:color w:val="0F294A"/>
          <w:sz w:val="36"/>
        </w:rPr>
        <w:t>HUMAN-IN-THE-LOOP EXPLAINABLE GRAPH NEURAL NETWORK FOR FINANCIAL FRAUD DETECTION</w:t>
        <w:br/>
      </w:r>
    </w:p>
    <w:p>
      <w:pPr>
        <w:spacing w:before="0" w:after="720" w:line="276" w:lineRule="auto"/>
        <w:jc w:val="center"/>
      </w:pPr>
      <w:r>
        <w:rPr>
          <w:rFonts w:ascii="Times New Roman" w:hAnsi="Times New Roman"/>
          <w:i/>
          <w:color w:val="4A5568"/>
          <w:sz w:val="24"/>
        </w:rPr>
        <w:t>A Topological Deep Learning and Interactive Decision Support Framework for Cryptocurrency Anti-Money Laundering Forensics</w:t>
      </w:r>
    </w:p>
    <w:p>
      <w:pPr>
        <w:spacing w:before="240" w:after="120" w:line="276" w:lineRule="auto"/>
        <w:jc w:val="center"/>
      </w:pPr>
      <w:r>
        <w:rPr>
          <w:rFonts w:ascii="Times New Roman" w:hAnsi="Times New Roman"/>
          <w:i/>
          <w:sz w:val="22"/>
        </w:rPr>
        <w:t>Submitted by:</w:t>
      </w:r>
    </w:p>
    <w:p>
      <w:pPr>
        <w:spacing w:before="0" w:after="480" w:line="276" w:lineRule="auto"/>
        <w:jc w:val="center"/>
      </w:pPr>
      <w:r>
        <w:rPr>
          <w:rFonts w:ascii="Times New Roman" w:hAnsi="Times New Roman"/>
          <w:b/>
          <w:color w:val="1A202C"/>
          <w:sz w:val="25"/>
        </w:rPr>
        <w:t>Kahlar Bhandary — 23BCE1442</w:t>
        <w:br/>
      </w:r>
      <w:r>
        <w:rPr>
          <w:rFonts w:ascii="Times New Roman" w:hAnsi="Times New Roman"/>
          <w:b/>
          <w:color w:val="1A202C"/>
          <w:sz w:val="25"/>
        </w:rPr>
        <w:t>Medarametla Sudeep — 23BCE1819</w:t>
        <w:br/>
      </w:r>
      <w:r>
        <w:rPr>
          <w:rFonts w:ascii="Times New Roman" w:hAnsi="Times New Roman"/>
          <w:color w:val="4A5568"/>
          <w:sz w:val="22"/>
        </w:rPr>
        <w:t>Department of Computer Science and Engineering</w:t>
        <w:br/>
        <w:t>Vellore Institute of Technology, Chennai, India</w:t>
      </w:r>
    </w:p>
    <w:p>
      <w:pPr>
        <w:spacing w:before="240" w:after="80" w:line="276" w:lineRule="auto"/>
        <w:jc w:val="center"/>
      </w:pPr>
      <w:r>
        <w:rPr>
          <w:rFonts w:ascii="Times New Roman" w:hAnsi="Times New Roman"/>
          <w:i/>
          <w:sz w:val="22"/>
        </w:rPr>
        <w:t>Under the Guidance of:</w:t>
      </w:r>
    </w:p>
    <w:p>
      <w:pPr>
        <w:spacing w:before="0" w:after="720" w:line="276" w:lineRule="auto"/>
        <w:jc w:val="center"/>
      </w:pPr>
      <w:r>
        <w:rPr>
          <w:rFonts w:ascii="Times New Roman" w:hAnsi="Times New Roman"/>
          <w:b/>
          <w:color w:val="1E4E79"/>
          <w:sz w:val="25"/>
        </w:rPr>
        <w:t>Dr. Anita Christaline J</w:t>
        <w:br/>
      </w:r>
      <w:r>
        <w:rPr>
          <w:rFonts w:ascii="Times New Roman" w:hAnsi="Times New Roman"/>
          <w:color w:val="4A5568"/>
          <w:sz w:val="22"/>
        </w:rPr>
        <w:t>School of Computer Science and Engineering</w:t>
        <w:br/>
        <w:t>Vellore Institute of Technology, Chennai</w:t>
      </w:r>
    </w:p>
    <w:p>
      <w:pPr>
        <w:spacing w:before="480" w:after="0" w:line="276" w:lineRule="auto"/>
        <w:jc w:val="center"/>
      </w:pPr>
      <w:r>
        <w:rPr>
          <w:rFonts w:ascii="Times New Roman" w:hAnsi="Times New Roman"/>
          <w:color w:val="718096"/>
          <w:sz w:val="21"/>
        </w:rPr>
        <w:t>Vellore Institute of Technology (VIT), Chennai Campus</w:t>
        <w:br/>
        <w:t>March 2026</w:t>
      </w:r>
    </w:p>
    <w:p>
      <w:r>
        <w:br w:type="page"/>
      </w:r>
    </w:p>
    <w:p>
      <w:pPr>
        <w:spacing w:before="120" w:after="120" w:line="276" w:lineRule="auto"/>
        <w:jc w:val="center"/>
      </w:pPr>
      <w:r>
        <w:rPr>
          <w:rFonts w:ascii="Times New Roman" w:hAnsi="Times New Roman"/>
          <w:b/>
          <w:color w:val="0F294A"/>
          <w:sz w:val="25"/>
        </w:rPr>
        <w:t>ABSTRACT</w:t>
      </w:r>
    </w:p>
    <w:p>
      <w:pPr>
        <w:spacing w:before="0" w:after="120" w:line="276" w:lineRule="auto"/>
        <w:jc w:val="both"/>
      </w:pPr>
      <w:r>
        <w:rPr>
          <w:rFonts w:ascii="Times New Roman" w:hAnsi="Times New Roman"/>
          <w:sz w:val="22"/>
        </w:rPr>
        <w:t>Financial transaction networks on public decentralized blockchains present significant forensic challenges characterized by extreme class imbalance, severe transaction pseudonymity, high proportion of unlabelled entities, non-stationary temporal dynamics, and critical regulatory audit requirements. Automated black-box artificial intelligence systems frequently fail in operational compliance settings due to automation bias, opaque risk scoring, alert fatigue, and an inability to adapt to macro-environmental distribution shifts. In this paper, we present an end-to-end, zero-transductive-leakage Human-in-the-Loop (HITL) Explainable Graph Neural Network (XGNN) framework designed specifically to bridge advanced topological deep learning with human decision-making workflows in cryptocurrency Anti-Money Laundering (AML) forensics. Evaluated on the benchmark Elliptic Bitcoin dataset spanning 203,769 transactions and 234,355 directed payment edges across 49 chronological timesteps, our empirical investigations establish five pivotal findings: (1) GraphSAGE with inductive mean aggregation and ego-feature concatenation outperforms spectral GCN and GAT architectures on sparse, unlabelled graphs (Test F1 = 0.5175, Val PR-AUC = 0.7966); (2) Focal Loss (α = 0.25, γ = 2.0) effectively stabilizes optimization under severe 9.25:1 labeled class imbalance, eliminating false-positive precision collapse; (3) Post-hoc subgraph masking via GNNExplainer achieves superior explanatory faithfulness (Fidelity⁺ = 0.1470, Fidelity⁻ = 0.0069) with high edge sparsity (0.6842) at sub-400ms inference latency; (4) Systematic temporal drift evaluation demonstrates severe topological vulnerability during macro-environmental regulatory shocks (such as darknet marketplace shutdowns at t ∈ [43, 46] where illicit prevalence drops to 0.28% and topological F1 collapses to 0.0000), contrasted against static tabular tree baselines (XGBoost Test F1 = 0.7223); and (5) Active learning feedback queried via entropy-based uncertainty sampling achieves a +6.29% F1 sample efficiency improvement over random querying (F1 = 0.5030 vs 0.4401 at a 20% feedback budget). Furthermore, we formalize a production-grade Human-Computer Interaction (HCI) visual analytics interface that integrates interactive 2-hop Cytoscape topological exploration, dual-channel feature attribution, and structured triage overrides, directly mitigating analyst cognitive overload and alert fatigue in mission-critical financial surveillance.</w:t>
      </w:r>
    </w:p>
    <w:p>
      <w:pPr>
        <w:spacing w:before="80" w:after="280" w:line="276" w:lineRule="auto"/>
        <w:jc w:val="both"/>
      </w:pPr>
      <w:r>
        <w:rPr>
          <w:rFonts w:ascii="Times New Roman" w:hAnsi="Times New Roman"/>
          <w:b/>
          <w:sz w:val="21"/>
        </w:rPr>
        <w:t xml:space="preserve">Keywords: </w:t>
      </w:r>
      <w:r>
        <w:rPr>
          <w:rFonts w:ascii="Times New Roman" w:hAnsi="Times New Roman"/>
          <w:i/>
          <w:sz w:val="21"/>
        </w:rPr>
        <w:t>Human-in-the-Loop (HITL), Explainable AI (XAI), Graph Neural Networks (GNN), Financial Fraud Detection, Anti-Money Laundering (AML), Bitcoin Blockchain, Interactive Decision Support, GNNExplainer, Temporal Concept Drift, Human-Computer Interaction (HCI).</w:t>
      </w:r>
    </w:p>
    <w:p>
      <w:pPr>
        <w:spacing w:before="280" w:after="100" w:line="276" w:lineRule="auto"/>
        <w:jc w:val="left"/>
      </w:pPr>
      <w:r>
        <w:rPr>
          <w:rFonts w:ascii="Times New Roman" w:hAnsi="Times New Roman"/>
          <w:b/>
          <w:color w:val="0F294A"/>
          <w:sz w:val="28"/>
        </w:rPr>
        <w:t>1. INTRODUCTION</w:t>
      </w:r>
    </w:p>
    <w:p>
      <w:pPr>
        <w:spacing w:before="200" w:after="80" w:line="276" w:lineRule="auto"/>
        <w:jc w:val="left"/>
      </w:pPr>
      <w:r>
        <w:rPr>
          <w:rFonts w:ascii="Times New Roman" w:hAnsi="Times New Roman"/>
          <w:b/>
          <w:color w:val="1E4E79"/>
          <w:sz w:val="24"/>
        </w:rPr>
        <w:t>1.1 Context and Operational Motivation</w:t>
      </w:r>
    </w:p>
    <w:p>
      <w:pPr>
        <w:spacing w:before="0" w:after="120" w:line="276" w:lineRule="auto"/>
        <w:jc w:val="both"/>
      </w:pPr>
      <w:r>
        <w:rPr>
          <w:rFonts w:ascii="Times New Roman" w:hAnsi="Times New Roman"/>
          <w:sz w:val="22"/>
        </w:rPr>
        <w:t>The proliferation of decentralized, pseudonymous public blockchain networks—most prominently Bitcoin—has revolutionized global digital commerce and asset transfer. However, the absence of centralized financial intermediaries and the pseudo-anonymous structure of cryptographic addresses have simultaneously rendered public distributed ledgers fertile ground for sophisticated financial malfeasance, including narcotics trafficking, ransomware extortion settlements, terrorist financing, and structured anti-money laundering (AML) evasion schemes [1]. Regulatory bodies worldwide, including the Financial Action Task Force (FATF), the European Union (under AMLD5/AMLD6 directives), and the U.S. Financial Crimes Enforcement Network (FinCEN), have mandated stringent transaction monitoring, suspicious activity reporting (SAR), and provenance tracking for Virtual Asset Service Providers (VASPs).</w:t>
      </w:r>
    </w:p>
    <w:p>
      <w:pPr>
        <w:spacing w:before="0" w:after="120" w:line="276" w:lineRule="auto"/>
        <w:jc w:val="both"/>
      </w:pPr>
      <w:r>
        <w:rPr>
          <w:rFonts w:ascii="Times New Roman" w:hAnsi="Times New Roman"/>
          <w:sz w:val="22"/>
        </w:rPr>
        <w:t>Traditional automated AML surveillance pipelines rely heavily on hand-crafted rule-based heuristics, threshold filters, and static tabular machine learning models (e.g., gradient-boosted decision trees). While tabular ensembles excel at identifying localized transactional anomalies (such as extreme transfer amounts or atypical transaction fees), they operate under the flawed assumption of independent and identically distributed (i.i.d.) records. In reality, money laundering in cryptocurrency ecosystems is inherently structural and multi-hop: illicit actors utilize complex graph topological obfuscations—including peel chains, multi-input consolidation transactions, and tumbling/mixing mechanisms—to deliberately fragment traceable fund flows across dozens of intermediate hops [1, 2].</w:t>
      </w:r>
    </w:p>
    <w:p>
      <w:pPr>
        <w:spacing w:before="200" w:after="80" w:line="276" w:lineRule="auto"/>
        <w:jc w:val="left"/>
      </w:pPr>
      <w:r>
        <w:rPr>
          <w:rFonts w:ascii="Times New Roman" w:hAnsi="Times New Roman"/>
          <w:b/>
          <w:color w:val="1E4E79"/>
          <w:sz w:val="24"/>
        </w:rPr>
        <w:t>1.2 The Forensic Trilemma in Blockchain Surveillance</w:t>
      </w:r>
    </w:p>
    <w:p>
      <w:pPr>
        <w:spacing w:before="0" w:after="120" w:line="276" w:lineRule="auto"/>
        <w:jc w:val="both"/>
      </w:pPr>
      <w:r>
        <w:rPr>
          <w:rFonts w:ascii="Times New Roman" w:hAnsi="Times New Roman"/>
          <w:sz w:val="22"/>
        </w:rPr>
        <w:t>Deploying deep learning systems for topological financial surveillance presents three fundamental scientific and practical barriers, which together constitute the forensic graph trilemma:</w:t>
      </w:r>
    </w:p>
    <w:p>
      <w:pPr>
        <w:pStyle w:val="ListBullet"/>
        <w:spacing w:before="20" w:after="60" w:line="276" w:lineRule="auto"/>
        <w:jc w:val="both"/>
      </w:pPr>
      <w:r>
        <w:rPr>
          <w:rFonts w:ascii="Times New Roman" w:hAnsi="Times New Roman"/>
          <w:b/>
          <w:sz w:val="22"/>
        </w:rPr>
        <w:t xml:space="preserve">1. Severe Class Imbalance: </w:t>
      </w:r>
      <w:r>
        <w:rPr>
          <w:rFonts w:ascii="Times New Roman" w:hAnsi="Times New Roman"/>
          <w:sz w:val="22"/>
        </w:rPr>
        <w:t>Confirmed illicit transactions represent an extreme minority of overall network volume. In the canonical Elliptic benchmark, illicit transactions account for merely 2.23% of all nodes, creating a 9.245:1 licit-to-illicit ratio among labeled samples. Standard loss functions collapse toward majority-class licit predictions, yielding severe false-negative rates in illicit detection.</w:t>
      </w:r>
    </w:p>
    <w:p>
      <w:pPr>
        <w:pStyle w:val="ListBullet"/>
        <w:spacing w:before="20" w:after="60" w:line="276" w:lineRule="auto"/>
        <w:jc w:val="both"/>
      </w:pPr>
      <w:r>
        <w:rPr>
          <w:rFonts w:ascii="Times New Roman" w:hAnsi="Times New Roman"/>
          <w:b/>
          <w:sz w:val="22"/>
        </w:rPr>
        <w:t xml:space="preserve">2. Massive Unlabelled Background Topology: </w:t>
      </w:r>
      <w:r>
        <w:rPr>
          <w:rFonts w:ascii="Times New Roman" w:hAnsi="Times New Roman"/>
          <w:sz w:val="22"/>
        </w:rPr>
        <w:t>Due to the prohibitive cost and operational delay of forensic ground-truth verification, over 77.15% of all transactions in the blockchain network remain completely unlabelled. Graph convolutions must navigate highly incomplete relational structures without succumbing to over-smoothing or propagating noisy unlabelled signals.</w:t>
      </w:r>
    </w:p>
    <w:p>
      <w:pPr>
        <w:pStyle w:val="ListBullet"/>
        <w:spacing w:before="20" w:after="60" w:line="276" w:lineRule="auto"/>
        <w:jc w:val="both"/>
      </w:pPr>
      <w:r>
        <w:rPr>
          <w:rFonts w:ascii="Times New Roman" w:hAnsi="Times New Roman"/>
          <w:b/>
          <w:sz w:val="22"/>
        </w:rPr>
        <w:t xml:space="preserve">3. Non-Stationary Temporal Shocks: </w:t>
      </w:r>
      <w:r>
        <w:rPr>
          <w:rFonts w:ascii="Times New Roman" w:hAnsi="Times New Roman"/>
          <w:sz w:val="22"/>
        </w:rPr>
        <w:t>Cryptocurrency networks are subject to abrupt macroeconomic and law enforcement shocks. Law enforcement seizures, darknet marketplace takedowns, and exchange policy shifts cause rapid, non-stationary concept drift where historical structural patterns abruptly cease to exist, blinding static models to newly emerging laundering typologies.</w:t>
      </w:r>
    </w:p>
    <w:p>
      <w:pPr>
        <w:spacing w:before="200" w:after="80" w:line="276" w:lineRule="auto"/>
        <w:jc w:val="left"/>
      </w:pPr>
      <w:r>
        <w:rPr>
          <w:rFonts w:ascii="Times New Roman" w:hAnsi="Times New Roman"/>
          <w:b/>
          <w:color w:val="1E4E79"/>
          <w:sz w:val="24"/>
        </w:rPr>
        <w:t>1.3 The Human-Computer Interaction (HCI) Imperative in Forensic Analytics</w:t>
      </w:r>
    </w:p>
    <w:p>
      <w:pPr>
        <w:spacing w:before="0" w:after="120" w:line="276" w:lineRule="auto"/>
        <w:jc w:val="both"/>
      </w:pPr>
      <w:r>
        <w:rPr>
          <w:rFonts w:ascii="Times New Roman" w:hAnsi="Times New Roman"/>
          <w:sz w:val="22"/>
        </w:rPr>
        <w:t>In high-stakes financial surveillance, a fully autonomous 'black-box' artificial intelligence model is neither operationally viable nor legally compliant. Compliance officers and forensic investigators carry statutory legal responsibility for filing Suspicious Activity Reports. Autonomous AI deployments introduce critical Human-Computer Interaction vulnerabilities:</w:t>
      </w:r>
    </w:p>
    <w:p>
      <w:pPr>
        <w:pStyle w:val="ListBullet"/>
        <w:spacing w:before="20" w:after="60" w:line="276" w:lineRule="auto"/>
        <w:jc w:val="both"/>
      </w:pPr>
      <w:r>
        <w:rPr>
          <w:rFonts w:ascii="Times New Roman" w:hAnsi="Times New Roman"/>
          <w:b/>
          <w:sz w:val="22"/>
        </w:rPr>
        <w:t xml:space="preserve">Automation Bias and Algorithmic Distrust: </w:t>
      </w:r>
      <w:r>
        <w:rPr>
          <w:rFonts w:ascii="Times New Roman" w:hAnsi="Times New Roman"/>
          <w:sz w:val="22"/>
        </w:rPr>
        <w:t>When forensic tools present uncalibrated risk probabilities without structural justification, human analysts exhibit automation bias (passively accepting automated outputs without scrutiny) or extreme distrust (rejecting valid AI flags due to opaque false positives) [9].</w:t>
      </w:r>
    </w:p>
    <w:p>
      <w:pPr>
        <w:pStyle w:val="ListBullet"/>
        <w:spacing w:before="20" w:after="60" w:line="276" w:lineRule="auto"/>
        <w:jc w:val="both"/>
      </w:pPr>
      <w:r>
        <w:rPr>
          <w:rFonts w:ascii="Times New Roman" w:hAnsi="Times New Roman"/>
          <w:b/>
          <w:sz w:val="22"/>
        </w:rPr>
        <w:t xml:space="preserve">Cognitive Overload and Alert Fatigue: </w:t>
      </w:r>
      <w:r>
        <w:rPr>
          <w:rFonts w:ascii="Times New Roman" w:hAnsi="Times New Roman"/>
          <w:sz w:val="22"/>
        </w:rPr>
        <w:t>Surveillance teams investigate hundreds of transaction flags daily. Without localized visual graph explanations and salient feature attributions, analysts suffer severe cognitive fatigue from manually navigating complex raw blockchain ledgers.</w:t>
      </w:r>
    </w:p>
    <w:p>
      <w:pPr>
        <w:pStyle w:val="ListBullet"/>
        <w:spacing w:before="20" w:after="60" w:line="276" w:lineRule="auto"/>
        <w:jc w:val="both"/>
      </w:pPr>
      <w:r>
        <w:rPr>
          <w:rFonts w:ascii="Times New Roman" w:hAnsi="Times New Roman"/>
          <w:b/>
          <w:sz w:val="22"/>
        </w:rPr>
        <w:t xml:space="preserve">Regulatory Right to Explanation: </w:t>
      </w:r>
      <w:r>
        <w:rPr>
          <w:rFonts w:ascii="Times New Roman" w:hAnsi="Times New Roman"/>
          <w:sz w:val="22"/>
        </w:rPr>
        <w:t>International regulatory frameworks (e.g., EU GDPR Article 22, FATF Travel Rule) establish an enforceable 'right to explanation,' requiring forensic investigations to document the specific causal evidence and fund-flow subgraphs justifying account freezing or regulatory reporting [4].</w:t>
      </w:r>
    </w:p>
    <w:p>
      <w:pPr>
        <w:spacing w:before="0" w:after="120" w:line="276" w:lineRule="auto"/>
        <w:jc w:val="both"/>
      </w:pPr>
      <w:r>
        <w:rPr>
          <w:rFonts w:ascii="Times New Roman" w:hAnsi="Times New Roman"/>
          <w:sz w:val="22"/>
        </w:rPr>
        <w:t>To overcome these operational barriers, this paper proposes an integrated Human-in-the-Loop (HITL) Explainable Graph Neural Network architecture that couples inductive topological learning with an interactive visual decision support interface. By transforming the AI model from an opaque oracle into an explainable, interactive collaborative partner, our system reduces cognitive search costs, mitigates automation bias, and enables continuous active model adaptation through targeted analyst feedback.</w:t>
      </w:r>
    </w:p>
    <w:p>
      <w:pPr>
        <w:spacing w:before="200" w:after="80" w:line="276" w:lineRule="auto"/>
        <w:jc w:val="left"/>
      </w:pPr>
      <w:r>
        <w:rPr>
          <w:rFonts w:ascii="Times New Roman" w:hAnsi="Times New Roman"/>
          <w:b/>
          <w:color w:val="1E4E79"/>
          <w:sz w:val="24"/>
        </w:rPr>
        <w:t>1.4 Summary of Key Contributions</w:t>
      </w:r>
    </w:p>
    <w:p>
      <w:pPr>
        <w:pStyle w:val="ListBullet"/>
        <w:spacing w:before="20" w:after="60" w:line="276" w:lineRule="auto"/>
        <w:jc w:val="both"/>
      </w:pPr>
      <w:r>
        <w:rPr>
          <w:rFonts w:ascii="Times New Roman" w:hAnsi="Times New Roman"/>
          <w:b/>
          <w:sz w:val="22"/>
        </w:rPr>
        <w:t xml:space="preserve">1. Zero-Leakage Benchmark &amp; Inductive Modeling: </w:t>
      </w:r>
      <w:r>
        <w:rPr>
          <w:rFonts w:ascii="Times New Roman" w:hAnsi="Times New Roman"/>
          <w:sz w:val="22"/>
        </w:rPr>
        <w:t>We implement a rigorous zero-transductive-leakage temporal evaluation framework on the complete 49-timestep Elliptic dataset, isolating scaling parameters exclusively to training timesteps t ∈ [1, 34] and benchmarking tabular ensembles against GCN, GAT, and GraphSAGE architectures.</w:t>
      </w:r>
    </w:p>
    <w:p>
      <w:pPr>
        <w:pStyle w:val="ListBullet"/>
        <w:spacing w:before="20" w:after="60" w:line="276" w:lineRule="auto"/>
        <w:jc w:val="both"/>
      </w:pPr>
      <w:r>
        <w:rPr>
          <w:rFonts w:ascii="Times New Roman" w:hAnsi="Times New Roman"/>
          <w:b/>
          <w:sz w:val="22"/>
        </w:rPr>
        <w:t xml:space="preserve">2. Imbalance Loss Optimization: </w:t>
      </w:r>
      <w:r>
        <w:rPr>
          <w:rFonts w:ascii="Times New Roman" w:hAnsi="Times New Roman"/>
          <w:sz w:val="22"/>
        </w:rPr>
        <w:t>We systematically evaluate Focal Loss (α = 0.25, γ = 2.0) against Standard and Weighted Cross-Entropy, demonstrating how dynamic easy-negative down-weighting resolves severe 9.25:1 imbalance without catastrophic precision collapse.</w:t>
      </w:r>
    </w:p>
    <w:p>
      <w:pPr>
        <w:pStyle w:val="ListBullet"/>
        <w:spacing w:before="20" w:after="60" w:line="276" w:lineRule="auto"/>
        <w:jc w:val="both"/>
      </w:pPr>
      <w:r>
        <w:rPr>
          <w:rFonts w:ascii="Times New Roman" w:hAnsi="Times New Roman"/>
          <w:b/>
          <w:sz w:val="22"/>
        </w:rPr>
        <w:t xml:space="preserve">3. Auditable Post-Hoc Explainability: </w:t>
      </w:r>
      <w:r>
        <w:rPr>
          <w:rFonts w:ascii="Times New Roman" w:hAnsi="Times New Roman"/>
          <w:sz w:val="22"/>
        </w:rPr>
        <w:t>We integrate post-hoc subgraph explainability using GNNExplainer, quantifying explanation faithfulness via Fidelity⁺ (0.1470), Fidelity⁻ (0.0069), and Edge Sparsity (0.6842) across 48 canonical fraud instances at sub-400ms interactive latency.</w:t>
      </w:r>
    </w:p>
    <w:p>
      <w:pPr>
        <w:pStyle w:val="ListBullet"/>
        <w:spacing w:before="20" w:after="60" w:line="276" w:lineRule="auto"/>
        <w:jc w:val="both"/>
      </w:pPr>
      <w:r>
        <w:rPr>
          <w:rFonts w:ascii="Times New Roman" w:hAnsi="Times New Roman"/>
          <w:b/>
          <w:sz w:val="22"/>
        </w:rPr>
        <w:t xml:space="preserve">4. Macro-Shock Characterization: </w:t>
      </w:r>
      <w:r>
        <w:rPr>
          <w:rFonts w:ascii="Times New Roman" w:hAnsi="Times New Roman"/>
          <w:sz w:val="22"/>
        </w:rPr>
        <w:t>We provide an empirical post-mortem of topological model degradation across the historical darknet marketplace seizure shock (t ∈ [43, 46]), documenting the mechanism of relational disconnection.</w:t>
      </w:r>
    </w:p>
    <w:p>
      <w:pPr>
        <w:pStyle w:val="ListBullet"/>
        <w:spacing w:before="20" w:after="60" w:line="276" w:lineRule="auto"/>
        <w:jc w:val="both"/>
      </w:pPr>
      <w:r>
        <w:rPr>
          <w:rFonts w:ascii="Times New Roman" w:hAnsi="Times New Roman"/>
          <w:b/>
          <w:sz w:val="22"/>
        </w:rPr>
        <w:t xml:space="preserve">5. Sample-Efficient Active Learning: </w:t>
      </w:r>
      <w:r>
        <w:rPr>
          <w:rFonts w:ascii="Times New Roman" w:hAnsi="Times New Roman"/>
          <w:sz w:val="22"/>
        </w:rPr>
        <w:t>We evaluate an uncertainty-driven active learning query strategy that achieves a +6.29% relative F1 sample efficiency improvement over random querying under a 20% review budget.</w:t>
      </w:r>
    </w:p>
    <w:p>
      <w:pPr>
        <w:pStyle w:val="ListBullet"/>
        <w:spacing w:before="20" w:after="60" w:line="276" w:lineRule="auto"/>
        <w:jc w:val="both"/>
      </w:pPr>
      <w:r>
        <w:rPr>
          <w:rFonts w:ascii="Times New Roman" w:hAnsi="Times New Roman"/>
          <w:b/>
          <w:sz w:val="22"/>
        </w:rPr>
        <w:t xml:space="preserve">6. Interactive HCI Decision Support Interface: </w:t>
      </w:r>
      <w:r>
        <w:rPr>
          <w:rFonts w:ascii="Times New Roman" w:hAnsi="Times New Roman"/>
          <w:sz w:val="22"/>
        </w:rPr>
        <w:t>We implement an analyst-centric React/Cytoscape/FastAPI visual dashboard providing interactive 2-hop topological ego-network exploration, dual-channel feature attribution, and structured triage review workflows.</w:t>
      </w:r>
    </w:p>
    <w:p>
      <w:pPr>
        <w:spacing w:before="280" w:after="100" w:line="276" w:lineRule="auto"/>
        <w:jc w:val="left"/>
      </w:pPr>
      <w:r>
        <w:rPr>
          <w:rFonts w:ascii="Times New Roman" w:hAnsi="Times New Roman"/>
          <w:b/>
          <w:color w:val="0F294A"/>
          <w:sz w:val="28"/>
        </w:rPr>
        <w:t>2. RESEARCH OBJECTIVES</w:t>
      </w:r>
    </w:p>
    <w:p>
      <w:pPr>
        <w:spacing w:before="0" w:after="120" w:line="276" w:lineRule="auto"/>
        <w:jc w:val="both"/>
      </w:pPr>
      <w:r>
        <w:rPr>
          <w:rFonts w:ascii="Times New Roman" w:hAnsi="Times New Roman"/>
          <w:sz w:val="22"/>
        </w:rPr>
        <w:t>This research is structured around six core scientific, algorithmic, and human-computer interaction objectives:</w:t>
      </w:r>
    </w:p>
    <w:p>
      <w:pPr>
        <w:pStyle w:val="ListBullet"/>
        <w:spacing w:before="20" w:after="60" w:line="276" w:lineRule="auto"/>
        <w:jc w:val="both"/>
      </w:pPr>
      <w:r>
        <w:rPr>
          <w:rFonts w:ascii="Times New Roman" w:hAnsi="Times New Roman"/>
          <w:b/>
          <w:sz w:val="22"/>
        </w:rPr>
        <w:t xml:space="preserve">Objective 1 (Zero-Leakage Experimental Governance): </w:t>
      </w:r>
      <w:r>
        <w:rPr>
          <w:rFonts w:ascii="Times New Roman" w:hAnsi="Times New Roman"/>
          <w:sz w:val="22"/>
        </w:rPr>
        <w:t>To establish a mathematically rigorous, zero-transductive-leakage benchmarking methodology that isolates historical feature normalization and model training from out-of-time validation and quarantine test evaluation on discrete blockchain graphs.</w:t>
      </w:r>
    </w:p>
    <w:p>
      <w:pPr>
        <w:pStyle w:val="ListBullet"/>
        <w:spacing w:before="20" w:after="60" w:line="276" w:lineRule="auto"/>
        <w:jc w:val="both"/>
      </w:pPr>
      <w:r>
        <w:rPr>
          <w:rFonts w:ascii="Times New Roman" w:hAnsi="Times New Roman"/>
          <w:b/>
          <w:sz w:val="22"/>
        </w:rPr>
        <w:t xml:space="preserve">Objective 2 (Topological &amp; Tabular Modeling): </w:t>
      </w:r>
      <w:r>
        <w:rPr>
          <w:rFonts w:ascii="Times New Roman" w:hAnsi="Times New Roman"/>
          <w:sz w:val="22"/>
        </w:rPr>
        <w:t>To formulate, train, and evaluate inductive Graph Neural Network architectures (GraphSAGE, GAT, GCN) against competitive gradient-boosted decision trees (XGBoost, LightGBM, Random Forest) on topological fraud detection under extreme class imbalance.</w:t>
      </w:r>
    </w:p>
    <w:p>
      <w:pPr>
        <w:pStyle w:val="ListBullet"/>
        <w:spacing w:before="20" w:after="60" w:line="276" w:lineRule="auto"/>
        <w:jc w:val="both"/>
      </w:pPr>
      <w:r>
        <w:rPr>
          <w:rFonts w:ascii="Times New Roman" w:hAnsi="Times New Roman"/>
          <w:b/>
          <w:sz w:val="22"/>
        </w:rPr>
        <w:t xml:space="preserve">Objective 3 (Class Imbalance Optimization): </w:t>
      </w:r>
      <w:r>
        <w:rPr>
          <w:rFonts w:ascii="Times New Roman" w:hAnsi="Times New Roman"/>
          <w:sz w:val="22"/>
        </w:rPr>
        <w:t>To formulate and optimize dynamic Focal Loss parameters to suppress gradient interference from uninformative licit transactions, preventing false-positive explosion.</w:t>
      </w:r>
    </w:p>
    <w:p>
      <w:pPr>
        <w:pStyle w:val="ListBullet"/>
        <w:spacing w:before="20" w:after="60" w:line="276" w:lineRule="auto"/>
        <w:jc w:val="both"/>
      </w:pPr>
      <w:r>
        <w:rPr>
          <w:rFonts w:ascii="Times New Roman" w:hAnsi="Times New Roman"/>
          <w:b/>
          <w:sz w:val="22"/>
        </w:rPr>
        <w:t xml:space="preserve">Objective 4 (Post-Hoc Explainability &amp; Auditability): </w:t>
      </w:r>
      <w:r>
        <w:rPr>
          <w:rFonts w:ascii="Times New Roman" w:hAnsi="Times New Roman"/>
          <w:sz w:val="22"/>
        </w:rPr>
        <w:t>To implement and benchmark post-hoc subgraph explainability (GNNExplainer), quantitatively validating explanation faithfulness (Fidelity⁺, Fidelity⁻), graph sparsity, and execution latency for compliance.</w:t>
      </w:r>
    </w:p>
    <w:p>
      <w:pPr>
        <w:pStyle w:val="ListBullet"/>
        <w:spacing w:before="20" w:after="60" w:line="276" w:lineRule="auto"/>
        <w:jc w:val="both"/>
      </w:pPr>
      <w:r>
        <w:rPr>
          <w:rFonts w:ascii="Times New Roman" w:hAnsi="Times New Roman"/>
          <w:b/>
          <w:sz w:val="22"/>
        </w:rPr>
        <w:t xml:space="preserve">Objective 5 (Temporal Robustness &amp; Shock Analysis): </w:t>
      </w:r>
      <w:r>
        <w:rPr>
          <w:rFonts w:ascii="Times New Roman" w:hAnsi="Times New Roman"/>
          <w:sz w:val="22"/>
        </w:rPr>
        <w:t>To analyze out-of-time temporal performance trajectories across sudden macroeconomic/regulatory distribution shifts, identifying topological model vulnerabilities during structural network shocks.</w:t>
      </w:r>
    </w:p>
    <w:p>
      <w:pPr>
        <w:pStyle w:val="ListBullet"/>
        <w:spacing w:before="20" w:after="60" w:line="276" w:lineRule="auto"/>
        <w:jc w:val="both"/>
      </w:pPr>
      <w:r>
        <w:rPr>
          <w:rFonts w:ascii="Times New Roman" w:hAnsi="Times New Roman"/>
          <w:b/>
          <w:sz w:val="22"/>
        </w:rPr>
        <w:t xml:space="preserve">Objective 6 (HCI Visual Analytics &amp; HITL Active Learning): </w:t>
      </w:r>
      <w:r>
        <w:rPr>
          <w:rFonts w:ascii="Times New Roman" w:hAnsi="Times New Roman"/>
          <w:sz w:val="22"/>
        </w:rPr>
        <w:t>To design, deploy, and validate a Human-in-the-Loop active learning pipeline and interactive visual decision support interface that maximizes analyst sample efficiency, reduces cognitive load, and mitigates automation bias.</w:t>
      </w:r>
    </w:p>
    <w:p>
      <w:pPr>
        <w:spacing w:before="280" w:after="100" w:line="276" w:lineRule="auto"/>
        <w:jc w:val="left"/>
      </w:pPr>
      <w:r>
        <w:rPr>
          <w:rFonts w:ascii="Times New Roman" w:hAnsi="Times New Roman"/>
          <w:b/>
          <w:color w:val="0F294A"/>
          <w:sz w:val="28"/>
        </w:rPr>
        <w:t>3. LITERATURE REVIEW</w:t>
      </w:r>
    </w:p>
    <w:p>
      <w:pPr>
        <w:spacing w:before="200" w:after="80" w:line="276" w:lineRule="auto"/>
        <w:jc w:val="left"/>
      </w:pPr>
      <w:r>
        <w:rPr>
          <w:rFonts w:ascii="Times New Roman" w:hAnsi="Times New Roman"/>
          <w:b/>
          <w:color w:val="1E4E79"/>
          <w:sz w:val="24"/>
        </w:rPr>
        <w:t>3.1 Machine Learning in Financial Forensics and AML</w:t>
      </w:r>
    </w:p>
    <w:p>
      <w:pPr>
        <w:spacing w:before="0" w:after="120" w:line="276" w:lineRule="auto"/>
        <w:jc w:val="both"/>
      </w:pPr>
      <w:r>
        <w:rPr>
          <w:rFonts w:ascii="Times New Roman" w:hAnsi="Times New Roman"/>
          <w:sz w:val="22"/>
        </w:rPr>
        <w:t>The application of machine learning to financial fraud detection and anti-money laundering has evolved from early rule-based expert systems to statistical classification and ensemble learning [11, 13]. Weber et al. [1] established the seminal benchmark for cryptocurrency forensics by releasing the Elliptic Bitcoin dataset, demonstrating that supervised tree ensembles (such as Random Forest and XGBoost) utilizing handcrafted 1-hop neighborhood aggregations achieve robust performance on static transaction classifications. However, tabular classifiers treat pre-aggregated features as static attributes, failing to model multi-hop transitive flow structures or end-to-end topological message passing.</w:t>
      </w:r>
    </w:p>
    <w:p>
      <w:pPr>
        <w:spacing w:before="200" w:after="80" w:line="276" w:lineRule="auto"/>
        <w:jc w:val="left"/>
      </w:pPr>
      <w:r>
        <w:rPr>
          <w:rFonts w:ascii="Times New Roman" w:hAnsi="Times New Roman"/>
          <w:b/>
          <w:color w:val="1E4E79"/>
          <w:sz w:val="24"/>
        </w:rPr>
        <w:t>3.2 Graph Neural Networks for Blockchain Networks</w:t>
      </w:r>
    </w:p>
    <w:p>
      <w:pPr>
        <w:spacing w:before="0" w:after="120" w:line="276" w:lineRule="auto"/>
        <w:jc w:val="both"/>
      </w:pPr>
      <w:r>
        <w:rPr>
          <w:rFonts w:ascii="Times New Roman" w:hAnsi="Times New Roman"/>
          <w:sz w:val="22"/>
        </w:rPr>
        <w:t>Graph Neural Networks (GNNs) extend deep learning to non-Euclidean graph-structured data by iteratively propagating and aggregating neural state representations across topological neighborhoods [2, 5, 6]. Kipf and Welling [6] introduced Graph Convolutional Networks (GCNs) utilizing a first-order spectral approximation of localized graph convolutions. While effective on dense, fully observed citation graphs, GCNs employ symmetric normalized averaging across entire node neighborhoods, which causes severe feature dilution (over-smoothing) when deployed on sparse transaction graphs dominated by unlabelled entities. Veličković et al. [5] introduced Graph Attention Networks (GATs), incorporating anisotropic self-attention to weight neighbor importance. However, in low-degree transaction networks (mean degree d̄ ≈ 1.15), attention mechanisms suffer from parameter over-fitting. Hamilton et al. [2] formulated GraphSAGE, an inductive representation learning framework that concatenates ego-node embeddings with aggregated neighborhood representations. This explicit concatenation preserves the unique transaction identity while extracting relational context.</w:t>
      </w:r>
    </w:p>
    <w:p>
      <w:pPr>
        <w:spacing w:before="200" w:after="80" w:line="276" w:lineRule="auto"/>
        <w:jc w:val="left"/>
      </w:pPr>
      <w:r>
        <w:rPr>
          <w:rFonts w:ascii="Times New Roman" w:hAnsi="Times New Roman"/>
          <w:b/>
          <w:color w:val="1E4E79"/>
          <w:sz w:val="24"/>
        </w:rPr>
        <w:t>3.3 Post-Hoc Explainability in Graph Neural Networks</w:t>
      </w:r>
    </w:p>
    <w:p>
      <w:pPr>
        <w:spacing w:before="0" w:after="120" w:line="276" w:lineRule="auto"/>
        <w:jc w:val="both"/>
      </w:pPr>
      <w:r>
        <w:rPr>
          <w:rFonts w:ascii="Times New Roman" w:hAnsi="Times New Roman"/>
          <w:sz w:val="22"/>
        </w:rPr>
        <w:t>As GNNs grow in architectural complexity, their non-linear neighborhood aggregation mechanisms become opaque black boxes. Ying et al. [4] formulated GNNExplainer, a model-agnostic post-hoc explainability framework that identifies compact, salient subgraphs and node feature subsets that maximize mutual information with the model's original prediction. While attention weights from GAT architectures provide heuristic importance scores, studies have shown that raw attention does not reliably correlate with causal explanation faithfulness [4]. Systematic quantification of XAI metrics—specifically Fidelity⁺ (prediction drop upon masking salient subgraphs) and Fidelity⁻ (prediction retention on salient subgraphs alone)—is essential to establish legal auditability for financial compliance.</w:t>
      </w:r>
    </w:p>
    <w:p>
      <w:pPr>
        <w:spacing w:before="200" w:after="80" w:line="276" w:lineRule="auto"/>
        <w:jc w:val="left"/>
      </w:pPr>
      <w:r>
        <w:rPr>
          <w:rFonts w:ascii="Times New Roman" w:hAnsi="Times New Roman"/>
          <w:b/>
          <w:color w:val="1E4E79"/>
          <w:sz w:val="24"/>
        </w:rPr>
        <w:t>3.4 Human-in-the-Loop Active Learning &amp; Decision Support Systems</w:t>
      </w:r>
    </w:p>
    <w:p>
      <w:pPr>
        <w:spacing w:before="0" w:after="120" w:line="276" w:lineRule="auto"/>
        <w:jc w:val="both"/>
      </w:pPr>
      <w:r>
        <w:rPr>
          <w:rFonts w:ascii="Times New Roman" w:hAnsi="Times New Roman"/>
          <w:sz w:val="22"/>
        </w:rPr>
        <w:t>Active learning formalizes the paradigm where a machine learning algorithm selectively queries an information oracle (such as a human domain expert) to label ambiguous or highly informative data points [7]. In financial surveillance, where expert labeling bandwidth is severely constrained, uncertainty sampling (querying transactions nearest the maximum-entropy decision boundary) offers significant sample efficiency gains over passive random sampling. From an HCI perspective, Shneiderman's visual information seeking mantra ('Overview first, zoom and filter, then details-on-demand') [8] and Parasuraman's human-automation interaction models [9] emphasize that decision support systems must present calibrated risk confidence, visual graph context, and structured feedback mechanisms to prevent automation bias and minimize cognitive friction.</w:t>
      </w:r>
    </w:p>
    <w:p>
      <w:pPr>
        <w:spacing w:before="200" w:after="80" w:line="276" w:lineRule="auto"/>
        <w:jc w:val="left"/>
      </w:pPr>
      <w:r>
        <w:rPr>
          <w:rFonts w:ascii="Times New Roman" w:hAnsi="Times New Roman"/>
          <w:b/>
          <w:color w:val="1E4E79"/>
          <w:sz w:val="24"/>
        </w:rPr>
        <w:t>3.5 Structured Comparison of Existing Literature</w:t>
      </w:r>
    </w:p>
    <w:p>
      <w:pPr>
        <w:spacing w:before="0" w:after="120" w:line="276" w:lineRule="auto"/>
        <w:jc w:val="both"/>
      </w:pPr>
      <w:r>
        <w:rPr>
          <w:rFonts w:ascii="Times New Roman" w:hAnsi="Times New Roman"/>
          <w:sz w:val="22"/>
        </w:rPr>
        <w:t>Table 1 provides a systematic comparative synthesis of our proposed HITL-XGNN framework against representative foundational and recent literature in cryptocurrency forensics, graph representation learning, and explainable AI.</w:t>
      </w:r>
    </w:p>
    <w:p>
      <w:pPr>
        <w:spacing w:before="200" w:after="60" w:line="276" w:lineRule="auto"/>
        <w:jc w:val="left"/>
      </w:pPr>
      <w:r>
        <w:rPr>
          <w:rFonts w:ascii="Times New Roman" w:hAnsi="Times New Roman"/>
          <w:b/>
          <w:color w:val="1E4E79"/>
          <w:sz w:val="20"/>
        </w:rPr>
        <w:t>Table 1: Comprehensive Literature Comparison Matrix</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337"/>
        <w:gridCol w:w="1337"/>
        <w:gridCol w:w="1337"/>
        <w:gridCol w:w="1337"/>
        <w:gridCol w:w="1337"/>
        <w:gridCol w:w="1337"/>
        <w:gridCol w:w="1337"/>
      </w:tblGrid>
      <w:tr>
        <w:tc>
          <w:tcPr>
            <w:tcW w:type="dxa" w:w="1584"/>
            <w:shd w:fill="1E4E79"/>
            <w:tcMar>
              <w:top w:w="100" w:type="dxa"/>
              <w:bottom w:w="100" w:type="dxa"/>
              <w:left w:w="100" w:type="dxa"/>
              <w:right w:w="100" w:type="dxa"/>
            </w:tcMar>
          </w:tcPr>
          <w:p>
            <w:pPr>
              <w:spacing w:before="0" w:after="0"/>
              <w:jc w:val="left"/>
            </w:pPr>
            <w:r>
              <w:rPr>
                <w:rFonts w:ascii="Times New Roman" w:hAnsi="Times New Roman"/>
                <w:b/>
                <w:color w:val="FFFFFF"/>
                <w:sz w:val="19"/>
              </w:rPr>
              <w:t>Study / Reference</w:t>
            </w:r>
          </w:p>
        </w:tc>
        <w:tc>
          <w:tcPr>
            <w:tcW w:type="dxa" w:w="1584"/>
            <w:shd w:fill="1E4E79"/>
            <w:tcMar>
              <w:top w:w="100" w:type="dxa"/>
              <w:bottom w:w="100" w:type="dxa"/>
              <w:left w:w="100" w:type="dxa"/>
              <w:right w:w="100" w:type="dxa"/>
            </w:tcMar>
          </w:tcPr>
          <w:p>
            <w:pPr>
              <w:spacing w:before="0" w:after="0"/>
              <w:jc w:val="left"/>
            </w:pPr>
            <w:r>
              <w:rPr>
                <w:rFonts w:ascii="Times New Roman" w:hAnsi="Times New Roman"/>
                <w:b/>
                <w:color w:val="FFFFFF"/>
                <w:sz w:val="19"/>
              </w:rPr>
              <w:t>Core Methodology</w:t>
            </w:r>
          </w:p>
        </w:tc>
        <w:tc>
          <w:tcPr>
            <w:tcW w:type="dxa" w:w="1296"/>
            <w:shd w:fill="1E4E79"/>
            <w:tcMar>
              <w:top w:w="100" w:type="dxa"/>
              <w:bottom w:w="100" w:type="dxa"/>
              <w:left w:w="100" w:type="dxa"/>
              <w:right w:w="100" w:type="dxa"/>
            </w:tcMar>
          </w:tcPr>
          <w:p>
            <w:pPr>
              <w:spacing w:before="0" w:after="0"/>
              <w:jc w:val="left"/>
            </w:pPr>
            <w:r>
              <w:rPr>
                <w:rFonts w:ascii="Times New Roman" w:hAnsi="Times New Roman"/>
                <w:b/>
                <w:color w:val="FFFFFF"/>
                <w:sz w:val="19"/>
              </w:rPr>
              <w:t>Graph Topology</w:t>
            </w:r>
          </w:p>
        </w:tc>
        <w:tc>
          <w:tcPr>
            <w:tcW w:type="dxa" w:w="1296"/>
            <w:shd w:fill="1E4E79"/>
            <w:tcMar>
              <w:top w:w="100" w:type="dxa"/>
              <w:bottom w:w="100" w:type="dxa"/>
              <w:left w:w="100" w:type="dxa"/>
              <w:right w:w="100" w:type="dxa"/>
            </w:tcMar>
          </w:tcPr>
          <w:p>
            <w:pPr>
              <w:spacing w:before="0" w:after="0"/>
              <w:jc w:val="left"/>
            </w:pPr>
            <w:r>
              <w:rPr>
                <w:rFonts w:ascii="Times New Roman" w:hAnsi="Times New Roman"/>
                <w:b/>
                <w:color w:val="FFFFFF"/>
                <w:sz w:val="19"/>
              </w:rPr>
              <w:t>XAI Method</w:t>
            </w:r>
          </w:p>
        </w:tc>
        <w:tc>
          <w:tcPr>
            <w:tcW w:type="dxa" w:w="1296"/>
            <w:shd w:fill="1E4E79"/>
            <w:tcMar>
              <w:top w:w="100" w:type="dxa"/>
              <w:bottom w:w="100" w:type="dxa"/>
              <w:left w:w="100" w:type="dxa"/>
              <w:right w:w="100" w:type="dxa"/>
            </w:tcMar>
          </w:tcPr>
          <w:p>
            <w:pPr>
              <w:spacing w:before="0" w:after="0"/>
              <w:jc w:val="left"/>
            </w:pPr>
            <w:r>
              <w:rPr>
                <w:rFonts w:ascii="Times New Roman" w:hAnsi="Times New Roman"/>
                <w:b/>
                <w:color w:val="FFFFFF"/>
                <w:sz w:val="19"/>
              </w:rPr>
              <w:t>HITL / Active Learning</w:t>
            </w:r>
          </w:p>
        </w:tc>
        <w:tc>
          <w:tcPr>
            <w:tcW w:type="dxa" w:w="1152"/>
            <w:shd w:fill="1E4E79"/>
            <w:tcMar>
              <w:top w:w="100" w:type="dxa"/>
              <w:bottom w:w="100" w:type="dxa"/>
              <w:left w:w="100" w:type="dxa"/>
              <w:right w:w="100" w:type="dxa"/>
            </w:tcMar>
          </w:tcPr>
          <w:p>
            <w:pPr>
              <w:spacing w:before="0" w:after="0"/>
              <w:jc w:val="left"/>
            </w:pPr>
            <w:r>
              <w:rPr>
                <w:rFonts w:ascii="Times New Roman" w:hAnsi="Times New Roman"/>
                <w:b/>
                <w:color w:val="FFFFFF"/>
                <w:sz w:val="19"/>
              </w:rPr>
              <w:t>HCI Interface</w:t>
            </w:r>
          </w:p>
        </w:tc>
        <w:tc>
          <w:tcPr>
            <w:tcW w:type="dxa" w:w="1152"/>
            <w:shd w:fill="1E4E79"/>
            <w:tcMar>
              <w:top w:w="100" w:type="dxa"/>
              <w:bottom w:w="100" w:type="dxa"/>
              <w:left w:w="100" w:type="dxa"/>
              <w:right w:w="100" w:type="dxa"/>
            </w:tcMar>
          </w:tcPr>
          <w:p>
            <w:pPr>
              <w:spacing w:before="0" w:after="0"/>
              <w:jc w:val="left"/>
            </w:pPr>
            <w:r>
              <w:rPr>
                <w:rFonts w:ascii="Times New Roman" w:hAnsi="Times New Roman"/>
                <w:b/>
                <w:color w:val="FFFFFF"/>
                <w:sz w:val="19"/>
              </w:rPr>
              <w:t>Key Limitations</w:t>
            </w:r>
          </w:p>
        </w:tc>
      </w:tr>
      <w:tr>
        <w:tc>
          <w:tcPr>
            <w:tcW w:type="dxa" w:w="1584"/>
            <w:shd w:fill="FFFFFF"/>
            <w:tcMar>
              <w:top w:w="80" w:type="dxa"/>
              <w:bottom w:w="80" w:type="dxa"/>
              <w:left w:w="100" w:type="dxa"/>
              <w:right w:w="100" w:type="dxa"/>
            </w:tcMar>
          </w:tcPr>
          <w:p>
            <w:pPr>
              <w:spacing w:before="0" w:after="0"/>
              <w:jc w:val="left"/>
            </w:pPr>
            <w:r>
              <w:rPr>
                <w:rFonts w:ascii="Times New Roman" w:hAnsi="Times New Roman"/>
                <w:sz w:val="19"/>
              </w:rPr>
              <w:t>Weber et al. (2019) [1]</w:t>
            </w:r>
          </w:p>
        </w:tc>
        <w:tc>
          <w:tcPr>
            <w:tcW w:type="dxa" w:w="1584"/>
            <w:shd w:fill="FFFFFF"/>
            <w:tcMar>
              <w:top w:w="80" w:type="dxa"/>
              <w:bottom w:w="80" w:type="dxa"/>
              <w:left w:w="100" w:type="dxa"/>
              <w:right w:w="100" w:type="dxa"/>
            </w:tcMar>
          </w:tcPr>
          <w:p>
            <w:pPr>
              <w:spacing w:before="0" w:after="0"/>
              <w:jc w:val="left"/>
            </w:pPr>
            <w:r>
              <w:rPr>
                <w:rFonts w:ascii="Times New Roman" w:hAnsi="Times New Roman"/>
                <w:sz w:val="19"/>
              </w:rPr>
              <w:t>Random Forest, GCN, EvolveGCN</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Static 49 Timesteps</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None</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None (Static split)</w:t>
            </w:r>
          </w:p>
        </w:tc>
        <w:tc>
          <w:tcPr>
            <w:tcW w:type="dxa" w:w="1152"/>
            <w:shd w:fill="FFFFFF"/>
            <w:tcMar>
              <w:top w:w="80" w:type="dxa"/>
              <w:bottom w:w="80" w:type="dxa"/>
              <w:left w:w="100" w:type="dxa"/>
              <w:right w:w="100" w:type="dxa"/>
            </w:tcMar>
          </w:tcPr>
          <w:p>
            <w:pPr>
              <w:spacing w:before="0" w:after="0"/>
              <w:jc w:val="left"/>
            </w:pPr>
            <w:r>
              <w:rPr>
                <w:rFonts w:ascii="Times New Roman" w:hAnsi="Times New Roman"/>
                <w:sz w:val="19"/>
              </w:rPr>
              <w:t>None (CLI/Scripts)</w:t>
            </w:r>
          </w:p>
        </w:tc>
        <w:tc>
          <w:tcPr>
            <w:tcW w:type="dxa" w:w="1152"/>
            <w:shd w:fill="FFFFFF"/>
            <w:tcMar>
              <w:top w:w="80" w:type="dxa"/>
              <w:bottom w:w="80" w:type="dxa"/>
              <w:left w:w="100" w:type="dxa"/>
              <w:right w:w="100" w:type="dxa"/>
            </w:tcMar>
          </w:tcPr>
          <w:p>
            <w:pPr>
              <w:spacing w:before="0" w:after="0"/>
              <w:jc w:val="left"/>
            </w:pPr>
            <w:r>
              <w:rPr>
                <w:rFonts w:ascii="Times New Roman" w:hAnsi="Times New Roman"/>
                <w:sz w:val="19"/>
              </w:rPr>
              <w:t>No XAI; temporal shock unaddressed; no analyst loop</w:t>
            </w:r>
          </w:p>
        </w:tc>
      </w:tr>
      <w:tr>
        <w:tc>
          <w:tcPr>
            <w:tcW w:type="dxa" w:w="1584"/>
            <w:shd w:fill="F7FAFC"/>
            <w:tcMar>
              <w:top w:w="80" w:type="dxa"/>
              <w:bottom w:w="80" w:type="dxa"/>
              <w:left w:w="100" w:type="dxa"/>
              <w:right w:w="100" w:type="dxa"/>
            </w:tcMar>
          </w:tcPr>
          <w:p>
            <w:pPr>
              <w:spacing w:before="0" w:after="0"/>
              <w:jc w:val="left"/>
            </w:pPr>
            <w:r>
              <w:rPr>
                <w:rFonts w:ascii="Times New Roman" w:hAnsi="Times New Roman"/>
                <w:sz w:val="19"/>
              </w:rPr>
              <w:t>Hamilton et al. (2017) [2]</w:t>
            </w:r>
          </w:p>
        </w:tc>
        <w:tc>
          <w:tcPr>
            <w:tcW w:type="dxa" w:w="1584"/>
            <w:shd w:fill="F7FAFC"/>
            <w:tcMar>
              <w:top w:w="80" w:type="dxa"/>
              <w:bottom w:w="80" w:type="dxa"/>
              <w:left w:w="100" w:type="dxa"/>
              <w:right w:w="100" w:type="dxa"/>
            </w:tcMar>
          </w:tcPr>
          <w:p>
            <w:pPr>
              <w:spacing w:before="0" w:after="0"/>
              <w:jc w:val="left"/>
            </w:pPr>
            <w:r>
              <w:rPr>
                <w:rFonts w:ascii="Times New Roman" w:hAnsi="Times New Roman"/>
                <w:sz w:val="19"/>
              </w:rPr>
              <w:t>GraphSAGE Inductive Learning</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General Benchmark Graphs</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None</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None</w:t>
            </w:r>
          </w:p>
        </w:tc>
        <w:tc>
          <w:tcPr>
            <w:tcW w:type="dxa" w:w="1152"/>
            <w:shd w:fill="F7FAFC"/>
            <w:tcMar>
              <w:top w:w="80" w:type="dxa"/>
              <w:bottom w:w="80" w:type="dxa"/>
              <w:left w:w="100" w:type="dxa"/>
              <w:right w:w="100" w:type="dxa"/>
            </w:tcMar>
          </w:tcPr>
          <w:p>
            <w:pPr>
              <w:spacing w:before="0" w:after="0"/>
              <w:jc w:val="left"/>
            </w:pPr>
            <w:r>
              <w:rPr>
                <w:rFonts w:ascii="Times New Roman" w:hAnsi="Times New Roman"/>
                <w:sz w:val="19"/>
              </w:rPr>
              <w:t>None</w:t>
            </w:r>
          </w:p>
        </w:tc>
        <w:tc>
          <w:tcPr>
            <w:tcW w:type="dxa" w:w="1152"/>
            <w:shd w:fill="F7FAFC"/>
            <w:tcMar>
              <w:top w:w="80" w:type="dxa"/>
              <w:bottom w:w="80" w:type="dxa"/>
              <w:left w:w="100" w:type="dxa"/>
              <w:right w:w="100" w:type="dxa"/>
            </w:tcMar>
          </w:tcPr>
          <w:p>
            <w:pPr>
              <w:spacing w:before="0" w:after="0"/>
              <w:jc w:val="left"/>
            </w:pPr>
            <w:r>
              <w:rPr>
                <w:rFonts w:ascii="Times New Roman" w:hAnsi="Times New Roman"/>
                <w:sz w:val="19"/>
              </w:rPr>
              <w:t>General graph domains; uncalibrated for extreme imbalance</w:t>
            </w:r>
          </w:p>
        </w:tc>
      </w:tr>
      <w:tr>
        <w:tc>
          <w:tcPr>
            <w:tcW w:type="dxa" w:w="1584"/>
            <w:shd w:fill="FFFFFF"/>
            <w:tcMar>
              <w:top w:w="80" w:type="dxa"/>
              <w:bottom w:w="80" w:type="dxa"/>
              <w:left w:w="100" w:type="dxa"/>
              <w:right w:w="100" w:type="dxa"/>
            </w:tcMar>
          </w:tcPr>
          <w:p>
            <w:pPr>
              <w:spacing w:before="0" w:after="0"/>
              <w:jc w:val="left"/>
            </w:pPr>
            <w:r>
              <w:rPr>
                <w:rFonts w:ascii="Times New Roman" w:hAnsi="Times New Roman"/>
                <w:sz w:val="19"/>
              </w:rPr>
              <w:t>Lin et al. (2017) [3]</w:t>
            </w:r>
          </w:p>
        </w:tc>
        <w:tc>
          <w:tcPr>
            <w:tcW w:type="dxa" w:w="1584"/>
            <w:shd w:fill="FFFFFF"/>
            <w:tcMar>
              <w:top w:w="80" w:type="dxa"/>
              <w:bottom w:w="80" w:type="dxa"/>
              <w:left w:w="100" w:type="dxa"/>
              <w:right w:w="100" w:type="dxa"/>
            </w:tcMar>
          </w:tcPr>
          <w:p>
            <w:pPr>
              <w:spacing w:before="0" w:after="0"/>
              <w:jc w:val="left"/>
            </w:pPr>
            <w:r>
              <w:rPr>
                <w:rFonts w:ascii="Times New Roman" w:hAnsi="Times New Roman"/>
                <w:sz w:val="19"/>
              </w:rPr>
              <w:t>Focal Loss Object Detection</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Computer Vision Grids</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None</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None</w:t>
            </w:r>
          </w:p>
        </w:tc>
        <w:tc>
          <w:tcPr>
            <w:tcW w:type="dxa" w:w="1152"/>
            <w:shd w:fill="FFFFFF"/>
            <w:tcMar>
              <w:top w:w="80" w:type="dxa"/>
              <w:bottom w:w="80" w:type="dxa"/>
              <w:left w:w="100" w:type="dxa"/>
              <w:right w:w="100" w:type="dxa"/>
            </w:tcMar>
          </w:tcPr>
          <w:p>
            <w:pPr>
              <w:spacing w:before="0" w:after="0"/>
              <w:jc w:val="left"/>
            </w:pPr>
            <w:r>
              <w:rPr>
                <w:rFonts w:ascii="Times New Roman" w:hAnsi="Times New Roman"/>
                <w:sz w:val="19"/>
              </w:rPr>
              <w:t>None</w:t>
            </w:r>
          </w:p>
        </w:tc>
        <w:tc>
          <w:tcPr>
            <w:tcW w:type="dxa" w:w="1152"/>
            <w:shd w:fill="FFFFFF"/>
            <w:tcMar>
              <w:top w:w="80" w:type="dxa"/>
              <w:bottom w:w="80" w:type="dxa"/>
              <w:left w:w="100" w:type="dxa"/>
              <w:right w:w="100" w:type="dxa"/>
            </w:tcMar>
          </w:tcPr>
          <w:p>
            <w:pPr>
              <w:spacing w:before="0" w:after="0"/>
              <w:jc w:val="left"/>
            </w:pPr>
            <w:r>
              <w:rPr>
                <w:rFonts w:ascii="Times New Roman" w:hAnsi="Times New Roman"/>
                <w:sz w:val="19"/>
              </w:rPr>
              <w:t>Formulated for vision; not evaluated on relational AML graphs</w:t>
            </w:r>
          </w:p>
        </w:tc>
      </w:tr>
      <w:tr>
        <w:tc>
          <w:tcPr>
            <w:tcW w:type="dxa" w:w="1584"/>
            <w:shd w:fill="F7FAFC"/>
            <w:tcMar>
              <w:top w:w="80" w:type="dxa"/>
              <w:bottom w:w="80" w:type="dxa"/>
              <w:left w:w="100" w:type="dxa"/>
              <w:right w:w="100" w:type="dxa"/>
            </w:tcMar>
          </w:tcPr>
          <w:p>
            <w:pPr>
              <w:spacing w:before="0" w:after="0"/>
              <w:jc w:val="left"/>
            </w:pPr>
            <w:r>
              <w:rPr>
                <w:rFonts w:ascii="Times New Roman" w:hAnsi="Times New Roman"/>
                <w:sz w:val="19"/>
              </w:rPr>
              <w:t>Ying et al. (2019) [4]</w:t>
            </w:r>
          </w:p>
        </w:tc>
        <w:tc>
          <w:tcPr>
            <w:tcW w:type="dxa" w:w="1584"/>
            <w:shd w:fill="F7FAFC"/>
            <w:tcMar>
              <w:top w:w="80" w:type="dxa"/>
              <w:bottom w:w="80" w:type="dxa"/>
              <w:left w:w="100" w:type="dxa"/>
              <w:right w:w="100" w:type="dxa"/>
            </w:tcMar>
          </w:tcPr>
          <w:p>
            <w:pPr>
              <w:spacing w:before="0" w:after="0"/>
              <w:jc w:val="left"/>
            </w:pPr>
            <w:r>
              <w:rPr>
                <w:rFonts w:ascii="Times New Roman" w:hAnsi="Times New Roman"/>
                <w:sz w:val="19"/>
              </w:rPr>
              <w:t>GNNExplainer Subgraph Masking</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Synthetic / Bio / Chem Graphs</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Mutual Information Subgraph</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None</w:t>
            </w:r>
          </w:p>
        </w:tc>
        <w:tc>
          <w:tcPr>
            <w:tcW w:type="dxa" w:w="1152"/>
            <w:shd w:fill="F7FAFC"/>
            <w:tcMar>
              <w:top w:w="80" w:type="dxa"/>
              <w:bottom w:w="80" w:type="dxa"/>
              <w:left w:w="100" w:type="dxa"/>
              <w:right w:w="100" w:type="dxa"/>
            </w:tcMar>
          </w:tcPr>
          <w:p>
            <w:pPr>
              <w:spacing w:before="0" w:after="0"/>
              <w:jc w:val="left"/>
            </w:pPr>
            <w:r>
              <w:rPr>
                <w:rFonts w:ascii="Times New Roman" w:hAnsi="Times New Roman"/>
                <w:sz w:val="19"/>
              </w:rPr>
              <w:t>None</w:t>
            </w:r>
          </w:p>
        </w:tc>
        <w:tc>
          <w:tcPr>
            <w:tcW w:type="dxa" w:w="1152"/>
            <w:shd w:fill="F7FAFC"/>
            <w:tcMar>
              <w:top w:w="80" w:type="dxa"/>
              <w:bottom w:w="80" w:type="dxa"/>
              <w:left w:w="100" w:type="dxa"/>
              <w:right w:w="100" w:type="dxa"/>
            </w:tcMar>
          </w:tcPr>
          <w:p>
            <w:pPr>
              <w:spacing w:before="0" w:after="0"/>
              <w:jc w:val="left"/>
            </w:pPr>
            <w:r>
              <w:rPr>
                <w:rFonts w:ascii="Times New Roman" w:hAnsi="Times New Roman"/>
                <w:sz w:val="19"/>
              </w:rPr>
              <w:t>Evaluated on small graphs; lacking real-time interactive UI</w:t>
            </w:r>
          </w:p>
        </w:tc>
      </w:tr>
      <w:tr>
        <w:tc>
          <w:tcPr>
            <w:tcW w:type="dxa" w:w="1584"/>
            <w:shd w:fill="FFFFFF"/>
            <w:tcMar>
              <w:top w:w="80" w:type="dxa"/>
              <w:bottom w:w="80" w:type="dxa"/>
              <w:left w:w="100" w:type="dxa"/>
              <w:right w:w="100" w:type="dxa"/>
            </w:tcMar>
          </w:tcPr>
          <w:p>
            <w:pPr>
              <w:spacing w:before="0" w:after="0"/>
              <w:jc w:val="left"/>
            </w:pPr>
            <w:r>
              <w:rPr>
                <w:rFonts w:ascii="Times New Roman" w:hAnsi="Times New Roman"/>
                <w:sz w:val="19"/>
              </w:rPr>
              <w:t>Veličković et al. (2018) [5]</w:t>
            </w:r>
          </w:p>
        </w:tc>
        <w:tc>
          <w:tcPr>
            <w:tcW w:type="dxa" w:w="1584"/>
            <w:shd w:fill="FFFFFF"/>
            <w:tcMar>
              <w:top w:w="80" w:type="dxa"/>
              <w:bottom w:w="80" w:type="dxa"/>
              <w:left w:w="100" w:type="dxa"/>
              <w:right w:w="100" w:type="dxa"/>
            </w:tcMar>
          </w:tcPr>
          <w:p>
            <w:pPr>
              <w:spacing w:before="0" w:after="0"/>
              <w:jc w:val="left"/>
            </w:pPr>
            <w:r>
              <w:rPr>
                <w:rFonts w:ascii="Times New Roman" w:hAnsi="Times New Roman"/>
                <w:sz w:val="19"/>
              </w:rPr>
              <w:t>Graph Attention Networks (GAT)</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Transductive Benchmarks</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Attention Weights</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None</w:t>
            </w:r>
          </w:p>
        </w:tc>
        <w:tc>
          <w:tcPr>
            <w:tcW w:type="dxa" w:w="1152"/>
            <w:shd w:fill="FFFFFF"/>
            <w:tcMar>
              <w:top w:w="80" w:type="dxa"/>
              <w:bottom w:w="80" w:type="dxa"/>
              <w:left w:w="100" w:type="dxa"/>
              <w:right w:w="100" w:type="dxa"/>
            </w:tcMar>
          </w:tcPr>
          <w:p>
            <w:pPr>
              <w:spacing w:before="0" w:after="0"/>
              <w:jc w:val="left"/>
            </w:pPr>
            <w:r>
              <w:rPr>
                <w:rFonts w:ascii="Times New Roman" w:hAnsi="Times New Roman"/>
                <w:sz w:val="19"/>
              </w:rPr>
              <w:t>None</w:t>
            </w:r>
          </w:p>
        </w:tc>
        <w:tc>
          <w:tcPr>
            <w:tcW w:type="dxa" w:w="1152"/>
            <w:shd w:fill="FFFFFF"/>
            <w:tcMar>
              <w:top w:w="80" w:type="dxa"/>
              <w:bottom w:w="80" w:type="dxa"/>
              <w:left w:w="100" w:type="dxa"/>
              <w:right w:w="100" w:type="dxa"/>
            </w:tcMar>
          </w:tcPr>
          <w:p>
            <w:pPr>
              <w:spacing w:before="0" w:after="0"/>
              <w:jc w:val="left"/>
            </w:pPr>
            <w:r>
              <w:rPr>
                <w:rFonts w:ascii="Times New Roman" w:hAnsi="Times New Roman"/>
                <w:sz w:val="19"/>
              </w:rPr>
              <w:t>Attention instability in sparse degree (d̄ ≈ 1.15) graphs</w:t>
            </w:r>
          </w:p>
        </w:tc>
      </w:tr>
      <w:tr>
        <w:tc>
          <w:tcPr>
            <w:tcW w:type="dxa" w:w="1584"/>
            <w:shd w:fill="F7FAFC"/>
            <w:tcMar>
              <w:top w:w="80" w:type="dxa"/>
              <w:bottom w:w="80" w:type="dxa"/>
              <w:left w:w="100" w:type="dxa"/>
              <w:right w:w="100" w:type="dxa"/>
            </w:tcMar>
          </w:tcPr>
          <w:p>
            <w:pPr>
              <w:spacing w:before="0" w:after="0"/>
              <w:jc w:val="left"/>
            </w:pPr>
            <w:r>
              <w:rPr>
                <w:rFonts w:ascii="Times New Roman" w:hAnsi="Times New Roman"/>
                <w:sz w:val="19"/>
              </w:rPr>
              <w:t>Settles (2009) [7]</w:t>
            </w:r>
          </w:p>
        </w:tc>
        <w:tc>
          <w:tcPr>
            <w:tcW w:type="dxa" w:w="1584"/>
            <w:shd w:fill="F7FAFC"/>
            <w:tcMar>
              <w:top w:w="80" w:type="dxa"/>
              <w:bottom w:w="80" w:type="dxa"/>
              <w:left w:w="100" w:type="dxa"/>
              <w:right w:w="100" w:type="dxa"/>
            </w:tcMar>
          </w:tcPr>
          <w:p>
            <w:pPr>
              <w:spacing w:before="0" w:after="0"/>
              <w:jc w:val="left"/>
            </w:pPr>
            <w:r>
              <w:rPr>
                <w:rFonts w:ascii="Times New Roman" w:hAnsi="Times New Roman"/>
                <w:sz w:val="19"/>
              </w:rPr>
              <w:t>Active Learning Survey</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Tabular / Text Datasets</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None</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Uncertainty / Query-by-Committee</w:t>
            </w:r>
          </w:p>
        </w:tc>
        <w:tc>
          <w:tcPr>
            <w:tcW w:type="dxa" w:w="1152"/>
            <w:shd w:fill="F7FAFC"/>
            <w:tcMar>
              <w:top w:w="80" w:type="dxa"/>
              <w:bottom w:w="80" w:type="dxa"/>
              <w:left w:w="100" w:type="dxa"/>
              <w:right w:w="100" w:type="dxa"/>
            </w:tcMar>
          </w:tcPr>
          <w:p>
            <w:pPr>
              <w:spacing w:before="0" w:after="0"/>
              <w:jc w:val="left"/>
            </w:pPr>
            <w:r>
              <w:rPr>
                <w:rFonts w:ascii="Times New Roman" w:hAnsi="Times New Roman"/>
                <w:sz w:val="19"/>
              </w:rPr>
              <w:t>None</w:t>
            </w:r>
          </w:p>
        </w:tc>
        <w:tc>
          <w:tcPr>
            <w:tcW w:type="dxa" w:w="1152"/>
            <w:shd w:fill="F7FAFC"/>
            <w:tcMar>
              <w:top w:w="80" w:type="dxa"/>
              <w:bottom w:w="80" w:type="dxa"/>
              <w:left w:w="100" w:type="dxa"/>
              <w:right w:w="100" w:type="dxa"/>
            </w:tcMar>
          </w:tcPr>
          <w:p>
            <w:pPr>
              <w:spacing w:before="0" w:after="0"/>
              <w:jc w:val="left"/>
            </w:pPr>
            <w:r>
              <w:rPr>
                <w:rFonts w:ascii="Times New Roman" w:hAnsi="Times New Roman"/>
                <w:sz w:val="19"/>
              </w:rPr>
              <w:t>Lacks graph topological integration &amp; visual triage UI</w:t>
            </w:r>
          </w:p>
        </w:tc>
      </w:tr>
      <w:tr>
        <w:tc>
          <w:tcPr>
            <w:tcW w:type="dxa" w:w="1584"/>
            <w:shd w:fill="FFFFFF"/>
            <w:tcMar>
              <w:top w:w="80" w:type="dxa"/>
              <w:bottom w:w="80" w:type="dxa"/>
              <w:left w:w="100" w:type="dxa"/>
              <w:right w:w="100" w:type="dxa"/>
            </w:tcMar>
          </w:tcPr>
          <w:p>
            <w:pPr>
              <w:spacing w:before="0" w:after="0"/>
              <w:jc w:val="left"/>
            </w:pPr>
            <w:r>
              <w:rPr>
                <w:rFonts w:ascii="Times New Roman" w:hAnsi="Times New Roman"/>
                <w:b/>
                <w:sz w:val="19"/>
              </w:rPr>
              <w:t>Proposed HITL-XGNN</w:t>
            </w:r>
          </w:p>
        </w:tc>
        <w:tc>
          <w:tcPr>
            <w:tcW w:type="dxa" w:w="1584"/>
            <w:shd w:fill="FFFFFF"/>
            <w:tcMar>
              <w:top w:w="80" w:type="dxa"/>
              <w:bottom w:w="80" w:type="dxa"/>
              <w:left w:w="100" w:type="dxa"/>
              <w:right w:w="100" w:type="dxa"/>
            </w:tcMar>
          </w:tcPr>
          <w:p>
            <w:pPr>
              <w:spacing w:before="0" w:after="0"/>
              <w:jc w:val="left"/>
            </w:pPr>
            <w:r>
              <w:rPr>
                <w:rFonts w:ascii="Times New Roman" w:hAnsi="Times New Roman"/>
                <w:b/>
                <w:sz w:val="19"/>
              </w:rPr>
              <w:t>GraphSAGE + Focal Loss + XGBoost</w:t>
            </w:r>
          </w:p>
        </w:tc>
        <w:tc>
          <w:tcPr>
            <w:tcW w:type="dxa" w:w="1296"/>
            <w:shd w:fill="FFFFFF"/>
            <w:tcMar>
              <w:top w:w="80" w:type="dxa"/>
              <w:bottom w:w="80" w:type="dxa"/>
              <w:left w:w="100" w:type="dxa"/>
              <w:right w:w="100" w:type="dxa"/>
            </w:tcMar>
          </w:tcPr>
          <w:p>
            <w:pPr>
              <w:spacing w:before="0" w:after="0"/>
              <w:jc w:val="left"/>
            </w:pPr>
            <w:r>
              <w:rPr>
                <w:rFonts w:ascii="Times New Roman" w:hAnsi="Times New Roman"/>
                <w:b/>
                <w:sz w:val="19"/>
              </w:rPr>
              <w:t>49 Timesteps (Zero-Leakage)</w:t>
            </w:r>
          </w:p>
        </w:tc>
        <w:tc>
          <w:tcPr>
            <w:tcW w:type="dxa" w:w="1296"/>
            <w:shd w:fill="FFFFFF"/>
            <w:tcMar>
              <w:top w:w="80" w:type="dxa"/>
              <w:bottom w:w="80" w:type="dxa"/>
              <w:left w:w="100" w:type="dxa"/>
              <w:right w:w="100" w:type="dxa"/>
            </w:tcMar>
          </w:tcPr>
          <w:p>
            <w:pPr>
              <w:spacing w:before="0" w:after="0"/>
              <w:jc w:val="left"/>
            </w:pPr>
            <w:r>
              <w:rPr>
                <w:rFonts w:ascii="Times New Roman" w:hAnsi="Times New Roman"/>
                <w:b/>
                <w:sz w:val="19"/>
              </w:rPr>
              <w:t>GNNExplainer (Fid⁺/Fid⁻)</w:t>
            </w:r>
          </w:p>
        </w:tc>
        <w:tc>
          <w:tcPr>
            <w:tcW w:type="dxa" w:w="1296"/>
            <w:shd w:fill="FFFFFF"/>
            <w:tcMar>
              <w:top w:w="80" w:type="dxa"/>
              <w:bottom w:w="80" w:type="dxa"/>
              <w:left w:w="100" w:type="dxa"/>
              <w:right w:w="100" w:type="dxa"/>
            </w:tcMar>
          </w:tcPr>
          <w:p>
            <w:pPr>
              <w:spacing w:before="0" w:after="0"/>
              <w:jc w:val="left"/>
            </w:pPr>
            <w:r>
              <w:rPr>
                <w:rFonts w:ascii="Times New Roman" w:hAnsi="Times New Roman"/>
                <w:b/>
                <w:sz w:val="19"/>
              </w:rPr>
              <w:t>Uncertainty Sampling (20%)</w:t>
            </w:r>
          </w:p>
        </w:tc>
        <w:tc>
          <w:tcPr>
            <w:tcW w:type="dxa" w:w="1152"/>
            <w:shd w:fill="FFFFFF"/>
            <w:tcMar>
              <w:top w:w="80" w:type="dxa"/>
              <w:bottom w:w="80" w:type="dxa"/>
              <w:left w:w="100" w:type="dxa"/>
              <w:right w:w="100" w:type="dxa"/>
            </w:tcMar>
          </w:tcPr>
          <w:p>
            <w:pPr>
              <w:spacing w:before="0" w:after="0"/>
              <w:jc w:val="left"/>
            </w:pPr>
            <w:r>
              <w:rPr>
                <w:rFonts w:ascii="Times New Roman" w:hAnsi="Times New Roman"/>
                <w:b/>
                <w:sz w:val="19"/>
              </w:rPr>
              <w:t>React + Cytoscape + FastAPI</w:t>
            </w:r>
          </w:p>
        </w:tc>
        <w:tc>
          <w:tcPr>
            <w:tcW w:type="dxa" w:w="1152"/>
            <w:shd w:fill="FFFFFF"/>
            <w:tcMar>
              <w:top w:w="80" w:type="dxa"/>
              <w:bottom w:w="80" w:type="dxa"/>
              <w:left w:w="100" w:type="dxa"/>
              <w:right w:w="100" w:type="dxa"/>
            </w:tcMar>
          </w:tcPr>
          <w:p>
            <w:pPr>
              <w:spacing w:before="0" w:after="0"/>
              <w:jc w:val="left"/>
            </w:pPr>
            <w:r>
              <w:rPr>
                <w:rFonts w:ascii="Times New Roman" w:hAnsi="Times New Roman"/>
                <w:b/>
                <w:sz w:val="19"/>
              </w:rPr>
              <w:t>Dataset capped at t = 49; simulated validation oracle</w:t>
            </w:r>
          </w:p>
        </w:tc>
      </w:tr>
    </w:tbl>
    <w:p>
      <w:pPr>
        <w:spacing w:before="0" w:after="120"/>
      </w:pPr>
    </w:p>
    <w:p>
      <w:pPr>
        <w:spacing w:before="280" w:after="100" w:line="276" w:lineRule="auto"/>
        <w:jc w:val="left"/>
      </w:pPr>
      <w:r>
        <w:rPr>
          <w:rFonts w:ascii="Times New Roman" w:hAnsi="Times New Roman"/>
          <w:b/>
          <w:color w:val="0F294A"/>
          <w:sz w:val="28"/>
        </w:rPr>
        <w:t>4. METHODOLOGY &amp; MATHEMATICAL FORMULATION</w:t>
      </w:r>
    </w:p>
    <w:p>
      <w:pPr>
        <w:spacing w:before="200" w:after="80" w:line="276" w:lineRule="auto"/>
        <w:jc w:val="left"/>
      </w:pPr>
      <w:r>
        <w:rPr>
          <w:rFonts w:ascii="Times New Roman" w:hAnsi="Times New Roman"/>
          <w:b/>
          <w:color w:val="1E4E79"/>
          <w:sz w:val="24"/>
        </w:rPr>
        <w:t>4.1 Dataset Formalization and Graph Topology</w:t>
      </w:r>
    </w:p>
    <w:p>
      <w:pPr>
        <w:spacing w:before="0" w:after="120" w:line="276" w:lineRule="auto"/>
        <w:jc w:val="both"/>
      </w:pPr>
      <w:r>
        <w:rPr>
          <w:rFonts w:ascii="Times New Roman" w:hAnsi="Times New Roman"/>
          <w:sz w:val="22"/>
        </w:rPr>
        <w:t>We formalize the financial transaction network as a sequence of discrete, chronological directed attributed graph snapshots 𝒢 = {G₁, G₂, ..., G_T} spanning T = 49 discrete timesteps. Each snapshot G_t = (𝒱_t, ℰ_t, 𝐗_t, 𝐘_t) is characterized by:</w:t>
      </w:r>
    </w:p>
    <w:p>
      <w:pPr>
        <w:pStyle w:val="ListBullet"/>
        <w:spacing w:before="20" w:after="60" w:line="276" w:lineRule="auto"/>
        <w:jc w:val="both"/>
      </w:pPr>
      <w:r>
        <w:rPr>
          <w:rFonts w:ascii="Times New Roman" w:hAnsi="Times New Roman"/>
          <w:b/>
          <w:sz w:val="22"/>
        </w:rPr>
        <w:t xml:space="preserve">Nodes (Transactions): </w:t>
      </w:r>
      <w:r>
        <w:rPr>
          <w:rFonts w:ascii="Times New Roman" w:hAnsi="Times New Roman"/>
          <w:sz w:val="22"/>
        </w:rPr>
        <w:t>A set of 𝒱_t transaction nodes representing distinct Bitcoin transactions occurring within a discrete time window of approximately 2 weeks. Total nodes across all 49 timesteps equal |𝒱| = 203,769.</w:t>
      </w:r>
    </w:p>
    <w:p>
      <w:pPr>
        <w:pStyle w:val="ListBullet"/>
        <w:spacing w:before="20" w:after="60" w:line="276" w:lineRule="auto"/>
        <w:jc w:val="both"/>
      </w:pPr>
      <w:r>
        <w:rPr>
          <w:rFonts w:ascii="Times New Roman" w:hAnsi="Times New Roman"/>
          <w:b/>
          <w:sz w:val="22"/>
        </w:rPr>
        <w:t xml:space="preserve">Edges (Payment Flows): </w:t>
      </w:r>
      <w:r>
        <w:rPr>
          <w:rFonts w:ascii="Times New Roman" w:hAnsi="Times New Roman"/>
          <w:sz w:val="22"/>
        </w:rPr>
        <w:t>A set of directed payment edges ℰ_t ⊆ (𝒱_t × 𝒱_t) representing explicit Bitcoin transfers from input transaction outputs to output recipient transactions. Total directed edges equal |ℰ| = 234,355.</w:t>
      </w:r>
    </w:p>
    <w:p>
      <w:pPr>
        <w:pStyle w:val="ListBullet"/>
        <w:spacing w:before="20" w:after="60" w:line="276" w:lineRule="auto"/>
        <w:jc w:val="both"/>
      </w:pPr>
      <w:r>
        <w:rPr>
          <w:rFonts w:ascii="Times New Roman" w:hAnsi="Times New Roman"/>
          <w:b/>
          <w:sz w:val="22"/>
        </w:rPr>
        <w:t xml:space="preserve">Intra-Timestep Structural Invariant: </w:t>
      </w:r>
      <w:r>
        <w:rPr>
          <w:rFonts w:ascii="Times New Roman" w:hAnsi="Times New Roman"/>
          <w:sz w:val="22"/>
        </w:rPr>
        <w:t>Every directed edge e = (u, v) ∈ ℰ satisfies timestep(u) = timestep(v). There are strictly 0 cross-timestep edges; the network consists of 49 completely disjoint directed subgraphs.</w:t>
      </w:r>
    </w:p>
    <w:p>
      <w:pPr>
        <w:pStyle w:val="ListBullet"/>
        <w:spacing w:before="20" w:after="60" w:line="276" w:lineRule="auto"/>
        <w:jc w:val="both"/>
      </w:pPr>
      <w:r>
        <w:rPr>
          <w:rFonts w:ascii="Times New Roman" w:hAnsi="Times New Roman"/>
          <w:b/>
          <w:sz w:val="22"/>
        </w:rPr>
        <w:t xml:space="preserve">Class Distribution: </w:t>
      </w:r>
      <w:r>
        <w:rPr>
          <w:rFonts w:ascii="Times New Roman" w:hAnsi="Times New Roman"/>
          <w:sz w:val="22"/>
        </w:rPr>
        <w:t>Transactions are partitioned into three ground-truth classes: Illicit (Class 1, N = 4,545, 2.23%), Licit (Class 2, N = 42,019, 20.62%), and Unknown/Unlabelled (Class 3, N = 157,205, 77.15%). Labeled class imbalance ratio is 9.245 : 1 (Licit : Illicit).</w:t>
      </w:r>
    </w:p>
    <w:p>
      <w:pPr>
        <w:spacing w:before="200" w:after="80" w:line="276" w:lineRule="auto"/>
        <w:jc w:val="left"/>
      </w:pPr>
      <w:r>
        <w:rPr>
          <w:rFonts w:ascii="Times New Roman" w:hAnsi="Times New Roman"/>
          <w:b/>
          <w:color w:val="1E4E79"/>
          <w:sz w:val="24"/>
        </w:rPr>
        <w:t>4.2 Feature Space Formalization</w:t>
      </w:r>
    </w:p>
    <w:p>
      <w:pPr>
        <w:spacing w:before="0" w:after="120" w:line="276" w:lineRule="auto"/>
        <w:jc w:val="both"/>
      </w:pPr>
      <w:r>
        <w:rPr>
          <w:rFonts w:ascii="Times New Roman" w:hAnsi="Times New Roman"/>
          <w:sz w:val="22"/>
        </w:rPr>
        <w:t>Each transaction node v ∈ 𝒱 is parameterized by a continuous feature vector 𝐱_v ∈ ℝ¹⁶⁵ (or ℝ¹⁷⁰ when appending explicit engineered topological metrics):</w:t>
      </w:r>
    </w:p>
    <w:p>
      <w:pPr>
        <w:pStyle w:val="ListBullet"/>
        <w:spacing w:before="20" w:after="60" w:line="276" w:lineRule="auto"/>
        <w:jc w:val="both"/>
      </w:pPr>
      <w:r>
        <w:rPr>
          <w:rFonts w:ascii="Times New Roman" w:hAnsi="Times New Roman"/>
          <w:b/>
          <w:sz w:val="22"/>
        </w:rPr>
        <w:t xml:space="preserve">Local Transaction Features (93 features): </w:t>
      </w:r>
      <w:r>
        <w:rPr>
          <w:rFonts w:ascii="Times New Roman" w:hAnsi="Times New Roman"/>
          <w:sz w:val="22"/>
        </w:rPr>
        <w:t>Features indices 0..92 capture instantaneous transaction properties, including transaction fee, BTC output volume, input/output address counts, transaction script properties, and aggregated BTC flow statistics.</w:t>
      </w:r>
    </w:p>
    <w:p>
      <w:pPr>
        <w:pStyle w:val="ListBullet"/>
        <w:spacing w:before="20" w:after="60" w:line="276" w:lineRule="auto"/>
        <w:jc w:val="both"/>
      </w:pPr>
      <w:r>
        <w:rPr>
          <w:rFonts w:ascii="Times New Roman" w:hAnsi="Times New Roman"/>
          <w:b/>
          <w:sz w:val="22"/>
        </w:rPr>
        <w:t xml:space="preserve">Neighborhood Aggregated Features (72 features): </w:t>
      </w:r>
      <w:r>
        <w:rPr>
          <w:rFonts w:ascii="Times New Roman" w:hAnsi="Times New Roman"/>
          <w:sz w:val="22"/>
        </w:rPr>
        <w:t>Features indices 93..164 capture precomputed summary statistics across 1-hop forward and backward transaction neighborhoods, including mean, standard deviation, minimum, and maximum of local attributes.</w:t>
      </w:r>
    </w:p>
    <w:p>
      <w:pPr>
        <w:pStyle w:val="ListBullet"/>
        <w:spacing w:before="20" w:after="60" w:line="276" w:lineRule="auto"/>
        <w:jc w:val="both"/>
      </w:pPr>
      <w:r>
        <w:rPr>
          <w:rFonts w:ascii="Times New Roman" w:hAnsi="Times New Roman"/>
          <w:b/>
          <w:sz w:val="22"/>
        </w:rPr>
        <w:t xml:space="preserve">Engineered Topological Metrics (5 features): </w:t>
      </w:r>
      <w:r>
        <w:rPr>
          <w:rFonts w:ascii="Times New Roman" w:hAnsi="Times New Roman"/>
          <w:sz w:val="22"/>
        </w:rPr>
        <w:t>Features indices 165..169 capture explicit node graph properties: In-degree k_in(v) = |{u ∈ 𝒱 : (u, v) ∈ ℰ}|, Out-degree k_out(v) = |{w ∈ 𝒱 : (v, w) ∈ ℰ}|, Total degree k_tot(v) = k_in(v) + k_out(v), In-Out flow ratio R_io(v) = (k_in(v) + ε) / (k_out(v) + ε), and Normalized flow balance B(v) = (k_in(v) - k_out(v)) / (k_tot(v) + ε), with stability parameter ε = 10⁻⁵.</w:t>
      </w:r>
    </w:p>
    <w:p>
      <w:pPr>
        <w:spacing w:before="200" w:after="80" w:line="276" w:lineRule="auto"/>
        <w:jc w:val="left"/>
      </w:pPr>
      <w:r>
        <w:rPr>
          <w:rFonts w:ascii="Times New Roman" w:hAnsi="Times New Roman"/>
          <w:b/>
          <w:color w:val="1E4E79"/>
          <w:sz w:val="24"/>
        </w:rPr>
        <w:t>4.3 Zero-Leakage Temporal Splitting Protocol</w:t>
      </w:r>
    </w:p>
    <w:p>
      <w:pPr>
        <w:spacing w:before="0" w:after="120" w:line="276" w:lineRule="auto"/>
        <w:jc w:val="both"/>
      </w:pPr>
      <w:r>
        <w:rPr>
          <w:rFonts w:ascii="Times New Roman" w:hAnsi="Times New Roman"/>
          <w:sz w:val="22"/>
        </w:rPr>
        <w:t>To faithfully mirror real-world deployment where future transactions cannot inform historical training, the 49 discrete timesteps are partitioned into three non-overlapping chronological partitions:</w:t>
      </w:r>
    </w:p>
    <w:p>
      <w:pPr>
        <w:pStyle w:val="ListBullet"/>
        <w:spacing w:before="20" w:after="60" w:line="276" w:lineRule="auto"/>
        <w:jc w:val="both"/>
      </w:pPr>
      <w:r>
        <w:rPr>
          <w:rFonts w:ascii="Times New Roman" w:hAnsi="Times New Roman"/>
          <w:b/>
          <w:sz w:val="22"/>
        </w:rPr>
        <w:t xml:space="preserve">Training Partition (t = 1..34): </w:t>
      </w:r>
      <w:r>
        <w:rPr>
          <w:rFonts w:ascii="Times New Roman" w:hAnsi="Times New Roman"/>
          <w:sz w:val="22"/>
        </w:rPr>
        <w:t>Timesteps t ∈ [1, 34] comprising 136,875 total nodes and 29,894 labeled nodes (3,462 illicit, 26,432 licit; 7.63:1 imbalance). Used exclusively for model training and fitting feature standardization scalers.</w:t>
      </w:r>
    </w:p>
    <w:p>
      <w:pPr>
        <w:pStyle w:val="ListBullet"/>
        <w:spacing w:before="20" w:after="60" w:line="276" w:lineRule="auto"/>
        <w:jc w:val="both"/>
      </w:pPr>
      <w:r>
        <w:rPr>
          <w:rFonts w:ascii="Times New Roman" w:hAnsi="Times New Roman"/>
          <w:b/>
          <w:sz w:val="22"/>
        </w:rPr>
        <w:t xml:space="preserve">Validation Partition (t = 35..39): </w:t>
      </w:r>
      <w:r>
        <w:rPr>
          <w:rFonts w:ascii="Times New Roman" w:hAnsi="Times New Roman"/>
          <w:sz w:val="22"/>
        </w:rPr>
        <w:t>Timesteps t ∈ [35, 39] comprising 24,064 total nodes and 5,486 labeled nodes (447 illicit, 5,039 licit; 11.27:1 imbalance). Used for hyperparameter tuning, early stopping, decision threshold calibration (τ*), and the active learning query pool.</w:t>
      </w:r>
    </w:p>
    <w:p>
      <w:pPr>
        <w:pStyle w:val="ListBullet"/>
        <w:spacing w:before="20" w:after="60" w:line="276" w:lineRule="auto"/>
        <w:jc w:val="both"/>
      </w:pPr>
      <w:r>
        <w:rPr>
          <w:rFonts w:ascii="Times New Roman" w:hAnsi="Times New Roman"/>
          <w:b/>
          <w:sz w:val="22"/>
        </w:rPr>
        <w:t xml:space="preserve">Quarantine Test Partition (t = 40..49): </w:t>
      </w:r>
      <w:r>
        <w:rPr>
          <w:rFonts w:ascii="Times New Roman" w:hAnsi="Times New Roman"/>
          <w:sz w:val="22"/>
        </w:rPr>
        <w:t>Timesteps t ∈ [40, 49] comprising 42,830 total nodes and 11,184 labeled nodes (636 illicit, 10,548 licit; 16.59:1 imbalance). Held out as a strict quarantine partition for out-of-time evaluation.</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1A365D"/>
              <w:bottom w:val="none"/>
              <w:right w:val="none"/>
            </w:tcBorders>
            <w:tcMar>
              <w:top w:w="140" w:type="dxa"/>
              <w:bottom w:w="140" w:type="dxa"/>
              <w:left w:w="180" w:type="dxa"/>
              <w:right w:w="180" w:type="dxa"/>
            </w:tcMar>
          </w:tcPr>
          <w:p>
            <w:pPr>
              <w:spacing w:before="40" w:after="40" w:line="276" w:lineRule="auto"/>
            </w:pPr>
            <w:r>
              <w:rPr>
                <w:rFonts w:ascii="Times New Roman" w:hAnsi="Times New Roman"/>
                <w:b/>
                <w:color w:val="1A365D"/>
                <w:sz w:val="21"/>
              </w:rPr>
              <w:t>CRITICAL METHODOLOGICAL INVARIANT: LEAKAGE ISOLATION</w:t>
              <w:br/>
            </w:r>
            <w:r>
              <w:rPr>
                <w:rFonts w:ascii="Times New Roman" w:hAnsi="Times New Roman"/>
                <w:i/>
                <w:sz w:val="20"/>
              </w:rPr>
              <w:t>Zero Transductive Data Leakage Protocol (TrainOnlyScaler): Feature normalization parameters (mean μ_train and standard deviation σ_train) were computed strictly on labeled nodes in the training partition (t ∈ [1, 34]). No validation or test node attributes or graph adjacency matrices were exposed during scaling. Unlabelled background nodes participated in graph message passing during forward passes, but loss was computed exclusively over labeled nodes.</w:t>
            </w:r>
          </w:p>
        </w:tc>
      </w:tr>
    </w:tbl>
    <w:p>
      <w:pPr>
        <w:spacing w:before="0" w:after="120"/>
      </w:pPr>
    </w:p>
    <w:p>
      <w:pPr>
        <w:spacing w:before="200" w:after="80" w:line="276" w:lineRule="auto"/>
        <w:jc w:val="left"/>
      </w:pPr>
      <w:r>
        <w:rPr>
          <w:rFonts w:ascii="Times New Roman" w:hAnsi="Times New Roman"/>
          <w:b/>
          <w:color w:val="1E4E79"/>
          <w:sz w:val="24"/>
        </w:rPr>
        <w:t>4.4 Graph Neural Network Formulations</w:t>
      </w:r>
    </w:p>
    <w:p>
      <w:pPr>
        <w:spacing w:before="0" w:after="120" w:line="276" w:lineRule="auto"/>
        <w:jc w:val="both"/>
      </w:pPr>
      <w:r>
        <w:rPr>
          <w:rFonts w:ascii="Times New Roman" w:hAnsi="Times New Roman"/>
          <w:sz w:val="22"/>
        </w:rPr>
        <w:t>We formalize and benchmark three distinct graph representation learning architectures:</w:t>
      </w:r>
    </w:p>
    <w:p>
      <w:pPr>
        <w:spacing w:before="0" w:after="120" w:line="276" w:lineRule="auto"/>
        <w:jc w:val="both"/>
      </w:pPr>
      <w:r>
        <w:rPr>
          <w:rFonts w:ascii="Times New Roman" w:hAnsi="Times New Roman"/>
          <w:sz w:val="22"/>
        </w:rPr>
        <w:t>1. Graph Convolutional Network (GCN): Operates via a first-order spectral approximation of localized convolutions across the normalized graph adjacency with self-loops:</w:t>
        <w:br/>
        <w:t>𝐇⁽ᵏ⁺¹⁾ = σ( 𝐃̃⁻¹ᐟ² 𝐀̃ 𝐃̃⁻¹ᐟ² 𝐇⁽ᵏ⁾ 𝐖⁽ᵏ⁾ )</w:t>
        <w:br/>
        <w:t>where 𝐀̃ = 𝐀 + 𝐈_N and 𝐃̃_ii = ∑_j 𝐀̃_ij.</w:t>
      </w:r>
    </w:p>
    <w:p>
      <w:pPr>
        <w:spacing w:before="0" w:after="120" w:line="276" w:lineRule="auto"/>
        <w:jc w:val="both"/>
      </w:pPr>
      <w:r>
        <w:rPr>
          <w:rFonts w:ascii="Times New Roman" w:hAnsi="Times New Roman"/>
          <w:sz w:val="22"/>
        </w:rPr>
        <w:t>2. Graph Attention Network (GAT): Employs multi-head anisotropic self-attention to dynamically weight incoming payment edges:</w:t>
        <w:br/>
        <w:t>𝐡_v⁽ᵏ⁺¹⁾ = σ( ∑_{u ∈ 𝒩(v)} α_{vu}⁽ᵏ⁾ 𝐖⁽ᵏ⁾ 𝐡_u⁽ᵏ⁾ )</w:t>
        <w:br/>
        <w:t>α_{vu}⁽ᵏ⁾ = exp(LeakyReLU(𝐚ᵀ [𝐖𝐡_v ∥ 𝐖𝐡_u])) / ∑_{j ∈ 𝒩(v)} exp(LeakyReLU(𝐚ᵀ [𝐖𝐡_v ∥ 𝐖𝐡_j]))</w:t>
      </w:r>
    </w:p>
    <w:p>
      <w:pPr>
        <w:spacing w:before="0" w:after="120" w:line="276" w:lineRule="auto"/>
        <w:jc w:val="both"/>
      </w:pPr>
      <w:r>
        <w:rPr>
          <w:rFonts w:ascii="Times New Roman" w:hAnsi="Times New Roman"/>
          <w:sz w:val="22"/>
        </w:rPr>
        <w:t>3. GraphSAGE (Sample and Aggregate): Employs localized inductive neighborhood mean aggregation concatenated directly with the ego-node representation:</w:t>
        <w:br/>
        <w:t>𝐡_𝒩(v)⁽ᵏ⁺¹⁾ = MEAN({ 𝐡_u⁽ᵏ⁾, ∀ u ∈ 𝒩(v) })</w:t>
        <w:br/>
        <w:t>𝐡_v⁽ᵏ⁺¹⁾ = σ( 𝐖⁽ᵏ⁾ · [ 𝐡_v⁽ᵏ⁾ ∥ 𝐡_𝒩(v)⁽ᵏ⁺¹⁾ ] )</w:t>
        <w:br/>
        <w:t>The explicit concatenation [ 𝐡_v⁽ᵏ⁾ ∥ 𝐡_𝒩(v)⁽ᵏ⁺¹⁾ ] ensures ego-feature preservation in sparse graphs dominated by unlabelled entities.</w:t>
      </w:r>
    </w:p>
    <w:p>
      <w:pPr>
        <w:spacing w:before="200" w:after="80" w:line="276" w:lineRule="auto"/>
        <w:jc w:val="left"/>
      </w:pPr>
      <w:r>
        <w:rPr>
          <w:rFonts w:ascii="Times New Roman" w:hAnsi="Times New Roman"/>
          <w:b/>
          <w:color w:val="1E4E79"/>
          <w:sz w:val="24"/>
        </w:rPr>
        <w:t>4.5 Loss Function Optimization under Severe Imbalance</w:t>
      </w:r>
    </w:p>
    <w:p>
      <w:pPr>
        <w:spacing w:before="0" w:after="120" w:line="276" w:lineRule="auto"/>
        <w:jc w:val="both"/>
      </w:pPr>
      <w:r>
        <w:rPr>
          <w:rFonts w:ascii="Times New Roman" w:hAnsi="Times New Roman"/>
          <w:sz w:val="22"/>
        </w:rPr>
        <w:t>To overcome extreme 9.25:1 labeled class imbalance, we evaluate three objective loss formulations:</w:t>
      </w:r>
    </w:p>
    <w:p>
      <w:pPr>
        <w:pStyle w:val="ListBullet"/>
        <w:spacing w:before="20" w:after="60" w:line="276" w:lineRule="auto"/>
        <w:jc w:val="both"/>
      </w:pPr>
      <w:r>
        <w:rPr>
          <w:rFonts w:ascii="Times New Roman" w:hAnsi="Times New Roman"/>
          <w:b/>
          <w:sz w:val="22"/>
        </w:rPr>
        <w:t xml:space="preserve">1. Standard Cross-Entropy: </w:t>
      </w:r>
      <w:r>
        <w:rPr>
          <w:rFonts w:ascii="Times New Roman" w:hAnsi="Times New Roman"/>
          <w:sz w:val="22"/>
        </w:rPr>
        <w:t>ℒ_CE(p_t) = -log(p_t), where p_t = p if y=1 and p_t = 1-p if y=0.</w:t>
      </w:r>
    </w:p>
    <w:p>
      <w:pPr>
        <w:pStyle w:val="ListBullet"/>
        <w:spacing w:before="20" w:after="60" w:line="276" w:lineRule="auto"/>
        <w:jc w:val="both"/>
      </w:pPr>
      <w:r>
        <w:rPr>
          <w:rFonts w:ascii="Times New Roman" w:hAnsi="Times New Roman"/>
          <w:b/>
          <w:sz w:val="22"/>
        </w:rPr>
        <w:t xml:space="preserve">2. Class-Weighted Cross-Entropy: </w:t>
      </w:r>
      <w:r>
        <w:rPr>
          <w:rFonts w:ascii="Times New Roman" w:hAnsi="Times New Roman"/>
          <w:sz w:val="22"/>
        </w:rPr>
        <w:t>ℒ_WCE(y, p) = - [ w · y log(p) + (1-y) log(1-p) ], with class weight w = |𝒱_licit,train| / |𝒱_illicit,train| = 26,432 / 3,462 ≈ 7.6349.</w:t>
      </w:r>
    </w:p>
    <w:p>
      <w:pPr>
        <w:pStyle w:val="ListBullet"/>
        <w:spacing w:before="20" w:after="60" w:line="276" w:lineRule="auto"/>
        <w:jc w:val="both"/>
      </w:pPr>
      <w:r>
        <w:rPr>
          <w:rFonts w:ascii="Times New Roman" w:hAnsi="Times New Roman"/>
          <w:b/>
          <w:sz w:val="22"/>
        </w:rPr>
        <w:t xml:space="preserve">3. Focal Loss: </w:t>
      </w:r>
      <w:r>
        <w:rPr>
          <w:rFonts w:ascii="Times New Roman" w:hAnsi="Times New Roman"/>
          <w:sz w:val="22"/>
        </w:rPr>
        <w:t>ℒ_Focal(p_t) = - α_t (1 - p_t)^γ log(p_t), parameterized with focusing parameter γ = 2.0 and weighting factor α₁ = 0.25 (illicit), α₀ = 0.75 (licit). The modulating factor (1 - p_t)² suppresses gradient contributions from easily classified licit transactions, focusing gradient updates on hard, ambiguous boundary transactions.</w:t>
      </w:r>
    </w:p>
    <w:p>
      <w:pPr>
        <w:spacing w:before="200" w:after="80" w:line="276" w:lineRule="auto"/>
        <w:jc w:val="left"/>
      </w:pPr>
      <w:r>
        <w:rPr>
          <w:rFonts w:ascii="Times New Roman" w:hAnsi="Times New Roman"/>
          <w:b/>
          <w:color w:val="1E4E79"/>
          <w:sz w:val="24"/>
        </w:rPr>
        <w:t>4.6 Post-Hoc Subgraph Explainability Formulation</w:t>
      </w:r>
    </w:p>
    <w:p>
      <w:pPr>
        <w:spacing w:before="0" w:after="120" w:line="276" w:lineRule="auto"/>
        <w:jc w:val="both"/>
      </w:pPr>
      <w:r>
        <w:rPr>
          <w:rFonts w:ascii="Times New Roman" w:hAnsi="Times New Roman"/>
          <w:sz w:val="22"/>
        </w:rPr>
        <w:t>For a flagged transaction node v with 2-hop computation graph G_c = (𝒱_c, ℰ_c) and node features 𝐗_c, GNNExplainer [4] learns an edge mask 𝐌 ∈ [0, 1]^|ℰ_c| and feature mask 𝐅 ∈ [0, 1]^d that maximize mutual information MI(Y, (G_s, 𝐗_s)) with the model prediction:</w:t>
      </w:r>
    </w:p>
    <w:p>
      <w:pPr>
        <w:spacing w:before="0" w:after="120" w:line="276" w:lineRule="auto"/>
        <w:jc w:val="both"/>
      </w:pPr>
      <w:r>
        <w:rPr>
          <w:rFonts w:ascii="Times New Roman" w:hAnsi="Times New Roman"/>
          <w:sz w:val="22"/>
        </w:rPr>
        <w:t>min_{𝐌, 𝐅} ℒ_xai = - ∑_{c=1}^C 𝟙(y=c) log P(Y=c | G_c ⊙ σ(𝐌), 𝐗_c ⊙ σ(𝐅)) + λ₁ ∥𝐌∥₁ + λ₂ H(𝐌) + λ₃ ∥𝐅∥₁ + λ₄ H(𝐅)</w:t>
        <w:br/>
        <w:t>where H(𝐌) is the entropy penalty encouraging discrete binary masking.</w:t>
      </w:r>
    </w:p>
    <w:p>
      <w:pPr>
        <w:spacing w:before="0" w:after="120" w:line="276" w:lineRule="auto"/>
        <w:jc w:val="both"/>
      </w:pPr>
      <w:r>
        <w:rPr>
          <w:rFonts w:ascii="Times New Roman" w:hAnsi="Times New Roman"/>
          <w:sz w:val="22"/>
        </w:rPr>
        <w:t>We quantify explanation faithfulness and compactness using four rigorous metrics:</w:t>
      </w:r>
    </w:p>
    <w:p>
      <w:pPr>
        <w:pStyle w:val="ListBullet"/>
        <w:spacing w:before="20" w:after="60" w:line="276" w:lineRule="auto"/>
        <w:jc w:val="both"/>
      </w:pPr>
      <w:r>
        <w:rPr>
          <w:rFonts w:ascii="Times New Roman" w:hAnsi="Times New Roman"/>
          <w:b/>
          <w:sz w:val="22"/>
        </w:rPr>
        <w:t xml:space="preserve">Fidelity⁺ (Higher is better): </w:t>
      </w:r>
      <w:r>
        <w:rPr>
          <w:rFonts w:ascii="Times New Roman" w:hAnsi="Times New Roman"/>
          <w:sz w:val="22"/>
        </w:rPr>
        <w:t>Fidelity⁺ = y(𝒢) - y(𝒢 ∖ G_s): Drop in model fraud probability when salient subgraph G_s is masked out. Higher positive values indicate the explainer correctly identified necessary fraud pathways.</w:t>
      </w:r>
    </w:p>
    <w:p>
      <w:pPr>
        <w:pStyle w:val="ListBullet"/>
        <w:spacing w:before="20" w:after="60" w:line="276" w:lineRule="auto"/>
        <w:jc w:val="both"/>
      </w:pPr>
      <w:r>
        <w:rPr>
          <w:rFonts w:ascii="Times New Roman" w:hAnsi="Times New Roman"/>
          <w:b/>
          <w:sz w:val="22"/>
        </w:rPr>
        <w:t xml:space="preserve">Fidelity⁻ (Lower is better): </w:t>
      </w:r>
      <w:r>
        <w:rPr>
          <w:rFonts w:ascii="Times New Roman" w:hAnsi="Times New Roman"/>
          <w:sz w:val="22"/>
        </w:rPr>
        <w:t>Fidelity⁻ = y(𝒢) - y(G_s): Drop in model fraud probability when evaluating ONLY the salient subgraph G_s. Near-zero values indicate the extracted subgraph is fully sufficient to preserve original prediction confidence.</w:t>
      </w:r>
    </w:p>
    <w:p>
      <w:pPr>
        <w:pStyle w:val="ListBullet"/>
        <w:spacing w:before="20" w:after="60" w:line="276" w:lineRule="auto"/>
        <w:jc w:val="both"/>
      </w:pPr>
      <w:r>
        <w:rPr>
          <w:rFonts w:ascii="Times New Roman" w:hAnsi="Times New Roman"/>
          <w:b/>
          <w:sz w:val="22"/>
        </w:rPr>
        <w:t xml:space="preserve">Edge Sparsity: </w:t>
      </w:r>
      <w:r>
        <w:rPr>
          <w:rFonts w:ascii="Times New Roman" w:hAnsi="Times New Roman"/>
          <w:sz w:val="22"/>
        </w:rPr>
        <w:t>S_edge = 1 - (|ℰ_salient| / |ℰ_computation_graph|), measuring topological compression.</w:t>
      </w:r>
    </w:p>
    <w:p>
      <w:pPr>
        <w:pStyle w:val="ListBullet"/>
        <w:spacing w:before="20" w:after="60" w:line="276" w:lineRule="auto"/>
        <w:jc w:val="both"/>
      </w:pPr>
      <w:r>
        <w:rPr>
          <w:rFonts w:ascii="Times New Roman" w:hAnsi="Times New Roman"/>
          <w:b/>
          <w:sz w:val="22"/>
        </w:rPr>
        <w:t xml:space="preserve">Feature Sparsity: </w:t>
      </w:r>
      <w:r>
        <w:rPr>
          <w:rFonts w:ascii="Times New Roman" w:hAnsi="Times New Roman"/>
          <w:sz w:val="22"/>
        </w:rPr>
        <w:t>S_feat = 1 - (|ℱ_salient| / |ℱ_total|), measuring feature space compression.</w:t>
      </w:r>
    </w:p>
    <w:p>
      <w:pPr>
        <w:spacing w:before="200" w:after="80" w:line="276" w:lineRule="auto"/>
        <w:jc w:val="left"/>
      </w:pPr>
      <w:r>
        <w:rPr>
          <w:rFonts w:ascii="Times New Roman" w:hAnsi="Times New Roman"/>
          <w:b/>
          <w:color w:val="1E4E79"/>
          <w:sz w:val="24"/>
        </w:rPr>
        <w:t>4.7 Human-in-the-Loop Active Learning Query Formulations</w:t>
      </w:r>
    </w:p>
    <w:p>
      <w:pPr>
        <w:spacing w:before="0" w:after="120" w:line="276" w:lineRule="auto"/>
        <w:jc w:val="both"/>
      </w:pPr>
      <w:r>
        <w:rPr>
          <w:rFonts w:ascii="Times New Roman" w:hAnsi="Times New Roman"/>
          <w:sz w:val="22"/>
        </w:rPr>
        <w:t>To simulate active analyst engagement, the active learning pipeline queries candidate transactions from the validation pool (t ∈ [35, 39]) under fixed labeling budgets ℬ ∈ {5%, 10%, 20%} corresponding to N ∈ {274, 548, 1,097} reviews:</w:t>
      </w:r>
    </w:p>
    <w:p>
      <w:pPr>
        <w:pStyle w:val="ListBullet"/>
        <w:spacing w:before="20" w:after="60" w:line="276" w:lineRule="auto"/>
        <w:jc w:val="both"/>
      </w:pPr>
      <w:r>
        <w:rPr>
          <w:rFonts w:ascii="Times New Roman" w:hAnsi="Times New Roman"/>
          <w:b/>
          <w:sz w:val="22"/>
        </w:rPr>
        <w:t xml:space="preserve">Uncertainty Sampling (Entropy): </w:t>
      </w:r>
      <w:r>
        <w:rPr>
          <w:rFonts w:ascii="Times New Roman" w:hAnsi="Times New Roman"/>
          <w:sz w:val="22"/>
        </w:rPr>
        <w:t>Selects nodes maximizing prediction entropy H(p_v) = -p_v log(p_v) - (1-p_v) log(1-p_v), capturing transactions where the model is most ambiguous (p_v ≈ 0.50).</w:t>
      </w:r>
    </w:p>
    <w:p>
      <w:pPr>
        <w:pStyle w:val="ListBullet"/>
        <w:spacing w:before="20" w:after="60" w:line="276" w:lineRule="auto"/>
        <w:jc w:val="both"/>
      </w:pPr>
      <w:r>
        <w:rPr>
          <w:rFonts w:ascii="Times New Roman" w:hAnsi="Times New Roman"/>
          <w:b/>
          <w:sz w:val="22"/>
        </w:rPr>
        <w:t xml:space="preserve">Random Sampling (Baseline): </w:t>
      </w:r>
      <w:r>
        <w:rPr>
          <w:rFonts w:ascii="Times New Roman" w:hAnsi="Times New Roman"/>
          <w:sz w:val="22"/>
        </w:rPr>
        <w:t>Selects nodes uniformly at random from the unlabelled candidate pool, serving as the empirical baseline.</w:t>
      </w:r>
    </w:p>
    <w:p>
      <w:pPr>
        <w:spacing w:before="0" w:after="120" w:line="276" w:lineRule="auto"/>
        <w:jc w:val="both"/>
      </w:pPr>
      <w:r>
        <w:rPr>
          <w:rFonts w:ascii="Times New Roman" w:hAnsi="Times New Roman"/>
          <w:sz w:val="22"/>
        </w:rPr>
        <w:t>Upon acquiring verified oracle labels 𝐘_ℬ for selected nodes 𝒱_ℬ, the base GraphSAGE model is fine-tuned for 20 epochs with a reduced learning rate (lr = 0.0005) and evaluated on the untouched quarantine test partition.</w:t>
      </w:r>
    </w:p>
    <w:p>
      <w:pPr>
        <w:spacing w:before="280" w:after="100" w:line="276" w:lineRule="auto"/>
        <w:jc w:val="left"/>
      </w:pPr>
      <w:r>
        <w:rPr>
          <w:rFonts w:ascii="Times New Roman" w:hAnsi="Times New Roman"/>
          <w:b/>
          <w:color w:val="0F294A"/>
          <w:sz w:val="28"/>
        </w:rPr>
        <w:t>5. SYSTEM ARCHITECTURE &amp; INTERACTIVE HCI IMPLEMENTATION</w:t>
      </w:r>
    </w:p>
    <w:p>
      <w:pPr>
        <w:spacing w:before="200" w:after="80" w:line="276" w:lineRule="auto"/>
        <w:jc w:val="left"/>
      </w:pPr>
      <w:r>
        <w:rPr>
          <w:rFonts w:ascii="Times New Roman" w:hAnsi="Times New Roman"/>
          <w:b/>
          <w:color w:val="1E4E79"/>
          <w:sz w:val="24"/>
        </w:rPr>
        <w:t>5.1 End-to-End System Topology</w:t>
      </w:r>
    </w:p>
    <w:p>
      <w:pPr>
        <w:spacing w:before="0" w:after="120" w:line="276" w:lineRule="auto"/>
        <w:jc w:val="both"/>
      </w:pPr>
      <w:r>
        <w:rPr>
          <w:rFonts w:ascii="Times New Roman" w:hAnsi="Times New Roman"/>
          <w:sz w:val="22"/>
        </w:rPr>
        <w:t>The HITL-XGNN platform is structured as a decoupled, multi-tier microservice architecture designed for sub-second analytical response times and high concurrency. The system comprises five primary subsystems:</w:t>
      </w:r>
    </w:p>
    <w:p>
      <w:pPr>
        <w:pStyle w:val="ListBullet"/>
        <w:spacing w:before="20" w:after="60" w:line="276" w:lineRule="auto"/>
        <w:jc w:val="both"/>
      </w:pPr>
      <w:r>
        <w:rPr>
          <w:rFonts w:ascii="Times New Roman" w:hAnsi="Times New Roman"/>
          <w:b/>
          <w:sz w:val="22"/>
        </w:rPr>
        <w:t xml:space="preserve">1. Relational Persistence Layer: </w:t>
      </w:r>
      <w:r>
        <w:rPr>
          <w:rFonts w:ascii="Times New Roman" w:hAnsi="Times New Roman"/>
          <w:sz w:val="22"/>
        </w:rPr>
        <w:t>PostgreSQL 16 relational database with SQLAlchemy 2.x async ORM and asyncpg connection pooling. Persists transactions, payment edges, precomputed GNNExplainer JSON explanation artifacts, analyst feedback logs, and model registry metadata.</w:t>
      </w:r>
    </w:p>
    <w:p>
      <w:pPr>
        <w:pStyle w:val="ListBullet"/>
        <w:spacing w:before="20" w:after="60" w:line="276" w:lineRule="auto"/>
        <w:jc w:val="both"/>
      </w:pPr>
      <w:r>
        <w:rPr>
          <w:rFonts w:ascii="Times New Roman" w:hAnsi="Times New Roman"/>
          <w:b/>
          <w:sz w:val="22"/>
        </w:rPr>
        <w:t xml:space="preserve">2. Asynchronous API Service: </w:t>
      </w:r>
      <w:r>
        <w:rPr>
          <w:rFonts w:ascii="Times New Roman" w:hAnsi="Times New Roman"/>
          <w:sz w:val="22"/>
        </w:rPr>
        <w:t>High-performance FastAPI asynchronous backend exposing 8 REST endpoints for health checks, paginated transaction queries, 2-hop ego-graph extraction, real-time XAI generation, HITL feedback logging, and active queue streaming.</w:t>
      </w:r>
    </w:p>
    <w:p>
      <w:pPr>
        <w:pStyle w:val="ListBullet"/>
        <w:spacing w:before="20" w:after="60" w:line="276" w:lineRule="auto"/>
        <w:jc w:val="both"/>
      </w:pPr>
      <w:r>
        <w:rPr>
          <w:rFonts w:ascii="Times New Roman" w:hAnsi="Times New Roman"/>
          <w:b/>
          <w:sz w:val="22"/>
        </w:rPr>
        <w:t xml:space="preserve">3. Dual-Model Inference Pipeline: </w:t>
      </w:r>
      <w:r>
        <w:rPr>
          <w:rFonts w:ascii="Times New Roman" w:hAnsi="Times New Roman"/>
          <w:sz w:val="22"/>
        </w:rPr>
        <w:t>Dual-engine architecture pairing a high-throughput XGBoost tabular screener (processing raw transactions at &lt;1ms latency) with an inductive GraphSAGE GNN checkpoint for deep topological inference.</w:t>
      </w:r>
    </w:p>
    <w:p>
      <w:pPr>
        <w:pStyle w:val="ListBullet"/>
        <w:spacing w:before="20" w:after="60" w:line="276" w:lineRule="auto"/>
        <w:jc w:val="both"/>
      </w:pPr>
      <w:r>
        <w:rPr>
          <w:rFonts w:ascii="Times New Roman" w:hAnsi="Times New Roman"/>
          <w:b/>
          <w:sz w:val="22"/>
        </w:rPr>
        <w:t xml:space="preserve">4. Real-Time Explainability Engine: </w:t>
      </w:r>
      <w:r>
        <w:rPr>
          <w:rFonts w:ascii="Times New Roman" w:hAnsi="Times New Roman"/>
          <w:sz w:val="22"/>
        </w:rPr>
        <w:t>PyTorch Geometric GNNExplainer worker optimizing mutual information masks in real time (mean latency 292.25 ms), returning normalized edge saliencies and top feature attributions.</w:t>
      </w:r>
    </w:p>
    <w:p>
      <w:pPr>
        <w:pStyle w:val="ListBullet"/>
        <w:spacing w:before="20" w:after="60" w:line="276" w:lineRule="auto"/>
        <w:jc w:val="both"/>
      </w:pPr>
      <w:r>
        <w:rPr>
          <w:rFonts w:ascii="Times New Roman" w:hAnsi="Times New Roman"/>
          <w:b/>
          <w:sz w:val="22"/>
        </w:rPr>
        <w:t xml:space="preserve">5. Interactive HCI Frontend: </w:t>
      </w:r>
      <w:r>
        <w:rPr>
          <w:rFonts w:ascii="Times New Roman" w:hAnsi="Times New Roman"/>
          <w:sz w:val="22"/>
        </w:rPr>
        <w:t>Single-page web application built with React 18, TypeScript, Vite, Tailwind CSS, Lucide icons, and Cytoscape.js for hardware-accelerated interactive graph rendering.</w:t>
      </w:r>
    </w:p>
    <w:p>
      <w:pPr>
        <w:spacing w:before="200" w:after="80" w:line="276" w:lineRule="auto"/>
        <w:jc w:val="left"/>
      </w:pPr>
      <w:r>
        <w:rPr>
          <w:rFonts w:ascii="Times New Roman" w:hAnsi="Times New Roman"/>
          <w:b/>
          <w:color w:val="1E4E79"/>
          <w:sz w:val="24"/>
        </w:rPr>
        <w:t>5.2 Human-Centered Interface Design &amp; Decision Support Workflows</w:t>
      </w:r>
    </w:p>
    <w:p>
      <w:pPr>
        <w:spacing w:before="0" w:after="120" w:line="276" w:lineRule="auto"/>
        <w:jc w:val="both"/>
      </w:pPr>
      <w:r>
        <w:rPr>
          <w:rFonts w:ascii="Times New Roman" w:hAnsi="Times New Roman"/>
          <w:sz w:val="22"/>
        </w:rPr>
        <w:t>The user interface is engineered according to Human-Computer Interaction principles to minimize analyst cognitive workload, streamline triage verification, and eliminate automation bias across four primary operational views:</w:t>
      </w:r>
    </w:p>
    <w:p>
      <w:pPr>
        <w:pStyle w:val="ListBullet"/>
        <w:spacing w:before="20" w:after="60" w:line="276" w:lineRule="auto"/>
        <w:jc w:val="both"/>
      </w:pPr>
      <w:r>
        <w:rPr>
          <w:rFonts w:ascii="Times New Roman" w:hAnsi="Times New Roman"/>
          <w:b/>
          <w:sz w:val="22"/>
        </w:rPr>
        <w:t xml:space="preserve">1. Executive Overview Dashboard: </w:t>
      </w:r>
      <w:r>
        <w:rPr>
          <w:rFonts w:ascii="Times New Roman" w:hAnsi="Times New Roman"/>
          <w:sz w:val="22"/>
        </w:rPr>
        <w:t>Presents high-level operational metrics (total screened volume, flagged illicit count, queue backlog, model accuracy metrics) alongside temporal drift heatmaps illustrating illicit transaction prevalence across timesteps.</w:t>
      </w:r>
    </w:p>
    <w:p>
      <w:pPr>
        <w:pStyle w:val="ListBullet"/>
        <w:spacing w:before="20" w:after="60" w:line="276" w:lineRule="auto"/>
        <w:jc w:val="both"/>
      </w:pPr>
      <w:r>
        <w:rPr>
          <w:rFonts w:ascii="Times New Roman" w:hAnsi="Times New Roman"/>
          <w:b/>
          <w:sz w:val="22"/>
        </w:rPr>
        <w:t xml:space="preserve">2. Transaction Explorer: </w:t>
      </w:r>
      <w:r>
        <w:rPr>
          <w:rFonts w:ascii="Times New Roman" w:hAnsi="Times New Roman"/>
          <w:sz w:val="22"/>
        </w:rPr>
        <w:t>A high-throughput searchable data table supporting real-time transaction ID filtering (including canonical test ID 10487903), risk score stratification, status tagging (Pending, Reviewed, Overridden), and direct one-click triage inspection.</w:t>
      </w:r>
    </w:p>
    <w:p>
      <w:pPr>
        <w:pStyle w:val="ListBullet"/>
        <w:spacing w:before="20" w:after="60" w:line="276" w:lineRule="auto"/>
        <w:jc w:val="both"/>
      </w:pPr>
      <w:r>
        <w:rPr>
          <w:rFonts w:ascii="Times New Roman" w:hAnsi="Times New Roman"/>
          <w:b/>
          <w:sz w:val="22"/>
        </w:rPr>
        <w:t xml:space="preserve">3. Interactive 2-Hop Graph Visualizer: </w:t>
      </w:r>
      <w:r>
        <w:rPr>
          <w:rFonts w:ascii="Times New Roman" w:hAnsi="Times New Roman"/>
          <w:sz w:val="22"/>
        </w:rPr>
        <w:t>Renders dynamic 2-hop transaction neighborhoods using Cytoscape.js with directed bezier edge routing. Target nodes are highlighted with pulsing crimson rings, payment flow volumes are mapped to edge line thicknesses, and confirmed licit/illicit entities are visually distinguished with color-blind safe palettes.</w:t>
      </w:r>
    </w:p>
    <w:p>
      <w:pPr>
        <w:pStyle w:val="ListBullet"/>
        <w:spacing w:before="20" w:after="60" w:line="276" w:lineRule="auto"/>
        <w:jc w:val="both"/>
      </w:pPr>
      <w:r>
        <w:rPr>
          <w:rFonts w:ascii="Times New Roman" w:hAnsi="Times New Roman"/>
          <w:b/>
          <w:sz w:val="22"/>
        </w:rPr>
        <w:t xml:space="preserve">4. Explainability (XAI) Modal: </w:t>
      </w:r>
      <w:r>
        <w:rPr>
          <w:rFonts w:ascii="Times New Roman" w:hAnsi="Times New Roman"/>
          <w:sz w:val="22"/>
        </w:rPr>
        <w:t>Provides a dual-channel explanation view combining the pruned salient subgraph (dimming non-causal payment paths) with horizontal bar charts displaying top contributing local and neighborhood features.</w:t>
      </w:r>
    </w:p>
    <w:p>
      <w:pPr>
        <w:pStyle w:val="ListBullet"/>
        <w:spacing w:before="20" w:after="60" w:line="276" w:lineRule="auto"/>
        <w:jc w:val="both"/>
      </w:pPr>
      <w:r>
        <w:rPr>
          <w:rFonts w:ascii="Times New Roman" w:hAnsi="Times New Roman"/>
          <w:b/>
          <w:sz w:val="22"/>
        </w:rPr>
        <w:t xml:space="preserve">5. Structured Triage Modal &amp; HITL Feedback: </w:t>
      </w:r>
      <w:r>
        <w:rPr>
          <w:rFonts w:ascii="Times New Roman" w:hAnsi="Times New Roman"/>
          <w:sz w:val="22"/>
        </w:rPr>
        <w:t>An analyst triage drawer featuring a calibrated risk probability gauge, structured radio buttons for compliance confirmation (Confirm Illicit, Mark Licit, Inconclusive), confidence level sliders (0-100%), structured override reason dropdowns (e.g., Known Exchange Deposit, Mixing Service, Direct Ransomware Hop), and analyst notes fields.</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24" w:space="0" w:color="1A365D"/>
              <w:bottom w:val="none"/>
              <w:right w:val="none"/>
            </w:tcBorders>
            <w:tcMar>
              <w:top w:w="140" w:type="dxa"/>
              <w:bottom w:w="140" w:type="dxa"/>
              <w:left w:w="180" w:type="dxa"/>
              <w:right w:w="180" w:type="dxa"/>
            </w:tcMar>
          </w:tcPr>
          <w:p>
            <w:pPr>
              <w:spacing w:before="40" w:after="40" w:line="276" w:lineRule="auto"/>
            </w:pPr>
            <w:r>
              <w:rPr>
                <w:rFonts w:ascii="Times New Roman" w:hAnsi="Times New Roman"/>
                <w:b/>
                <w:color w:val="1A365D"/>
                <w:sz w:val="21"/>
              </w:rPr>
              <w:t>HUMAN-COMPUTER INTERACTION SAFEGUARD</w:t>
              <w:br/>
            </w:r>
            <w:r>
              <w:rPr>
                <w:rFonts w:ascii="Times New Roman" w:hAnsi="Times New Roman"/>
                <w:i/>
                <w:sz w:val="20"/>
              </w:rPr>
              <w:t>HCI Design Principle: Mitigation of Automation Bias</w:t>
              <w:br/>
              <w:t>To prevent analysts from passively accepting automated model predictions, the interface requires explicit multi-factor verification: (1) viewing the pruned GNNExplainer subgraph, (2) reviewing quantitative Fidelity⁺ / Fidelity⁻ metrics, (3) selecting a structured rationale for any classification override, and (4) rating analyst subjective confidence. This cognitive forcing function ensures deliberate, auditable human oversight.</w:t>
            </w:r>
          </w:p>
        </w:tc>
      </w:tr>
    </w:tbl>
    <w:p>
      <w:pPr>
        <w:spacing w:before="0" w:after="120"/>
      </w:pPr>
    </w:p>
    <w:p>
      <w:pPr>
        <w:spacing w:before="200" w:after="80" w:line="276" w:lineRule="auto"/>
        <w:jc w:val="left"/>
      </w:pPr>
      <w:r>
        <w:rPr>
          <w:rFonts w:ascii="Times New Roman" w:hAnsi="Times New Roman"/>
          <w:b/>
          <w:color w:val="1E4E79"/>
          <w:sz w:val="24"/>
        </w:rPr>
        <w:t>5.3 Backend API Endpoint Specifications</w:t>
      </w:r>
    </w:p>
    <w:p>
      <w:pPr>
        <w:spacing w:before="0" w:after="120" w:line="276" w:lineRule="auto"/>
        <w:jc w:val="both"/>
      </w:pPr>
      <w:r>
        <w:rPr>
          <w:rFonts w:ascii="Times New Roman" w:hAnsi="Times New Roman"/>
          <w:sz w:val="22"/>
        </w:rPr>
        <w:t>Table 2 documents the asynchronous REST API endpoints powering the interactive frontend and HITL feedback loop.</w:t>
      </w:r>
    </w:p>
    <w:p>
      <w:pPr>
        <w:spacing w:before="200" w:after="60" w:line="276" w:lineRule="auto"/>
        <w:jc w:val="left"/>
      </w:pPr>
      <w:r>
        <w:rPr>
          <w:rFonts w:ascii="Times New Roman" w:hAnsi="Times New Roman"/>
          <w:b/>
          <w:color w:val="1E4E79"/>
          <w:sz w:val="20"/>
        </w:rPr>
        <w:t>Table 2: FastAPI REST Service Endpoints and Operational Latency Budgets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2160"/>
            <w:shd w:fill="1E4E79"/>
            <w:tcMar>
              <w:top w:w="100" w:type="dxa"/>
              <w:bottom w:w="100" w:type="dxa"/>
              <w:left w:w="100" w:type="dxa"/>
              <w:right w:w="100" w:type="dxa"/>
            </w:tcMar>
          </w:tcPr>
          <w:p>
            <w:pPr>
              <w:spacing w:before="0" w:after="0"/>
              <w:jc w:val="left"/>
            </w:pPr>
            <w:r>
              <w:rPr>
                <w:rFonts w:ascii="Times New Roman" w:hAnsi="Times New Roman"/>
                <w:b/>
                <w:color w:val="FFFFFF"/>
                <w:sz w:val="19"/>
              </w:rPr>
              <w:t>HTTP Method &amp; Route</w:t>
            </w:r>
          </w:p>
        </w:tc>
        <w:tc>
          <w:tcPr>
            <w:tcW w:type="dxa" w:w="1440"/>
            <w:shd w:fill="1E4E79"/>
            <w:tcMar>
              <w:top w:w="100" w:type="dxa"/>
              <w:bottom w:w="100" w:type="dxa"/>
              <w:left w:w="100" w:type="dxa"/>
              <w:right w:w="100" w:type="dxa"/>
            </w:tcMar>
          </w:tcPr>
          <w:p>
            <w:pPr>
              <w:spacing w:before="0" w:after="0"/>
              <w:jc w:val="left"/>
            </w:pPr>
            <w:r>
              <w:rPr>
                <w:rFonts w:ascii="Times New Roman" w:hAnsi="Times New Roman"/>
                <w:b/>
                <w:color w:val="FFFFFF"/>
                <w:sz w:val="19"/>
              </w:rPr>
              <w:t>Module / Handler</w:t>
            </w:r>
          </w:p>
        </w:tc>
        <w:tc>
          <w:tcPr>
            <w:tcW w:type="dxa" w:w="2016"/>
            <w:shd w:fill="1E4E79"/>
            <w:tcMar>
              <w:top w:w="100" w:type="dxa"/>
              <w:bottom w:w="100" w:type="dxa"/>
              <w:left w:w="100" w:type="dxa"/>
              <w:right w:w="100" w:type="dxa"/>
            </w:tcMar>
          </w:tcPr>
          <w:p>
            <w:pPr>
              <w:spacing w:before="0" w:after="0"/>
              <w:jc w:val="left"/>
            </w:pPr>
            <w:r>
              <w:rPr>
                <w:rFonts w:ascii="Times New Roman" w:hAnsi="Times New Roman"/>
                <w:b/>
                <w:color w:val="FFFFFF"/>
                <w:sz w:val="19"/>
              </w:rPr>
              <w:t>Request Payload</w:t>
            </w:r>
          </w:p>
        </w:tc>
        <w:tc>
          <w:tcPr>
            <w:tcW w:type="dxa" w:w="2592"/>
            <w:shd w:fill="1E4E79"/>
            <w:tcMar>
              <w:top w:w="100" w:type="dxa"/>
              <w:bottom w:w="100" w:type="dxa"/>
              <w:left w:w="100" w:type="dxa"/>
              <w:right w:w="100" w:type="dxa"/>
            </w:tcMar>
          </w:tcPr>
          <w:p>
            <w:pPr>
              <w:spacing w:before="0" w:after="0"/>
              <w:jc w:val="left"/>
            </w:pPr>
            <w:r>
              <w:rPr>
                <w:rFonts w:ascii="Times New Roman" w:hAnsi="Times New Roman"/>
                <w:b/>
                <w:color w:val="FFFFFF"/>
                <w:sz w:val="19"/>
              </w:rPr>
              <w:t>Response Structure</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Target Latency</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sz w:val="19"/>
              </w:rPr>
              <w:t>GET /api/v1/health</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health.py</w:t>
            </w:r>
          </w:p>
        </w:tc>
        <w:tc>
          <w:tcPr>
            <w:tcW w:type="dxa" w:w="2016"/>
            <w:shd w:fill="FFFFFF"/>
            <w:tcMar>
              <w:top w:w="80" w:type="dxa"/>
              <w:bottom w:w="80" w:type="dxa"/>
              <w:left w:w="100" w:type="dxa"/>
              <w:right w:w="100" w:type="dxa"/>
            </w:tcMar>
          </w:tcPr>
          <w:p>
            <w:pPr>
              <w:spacing w:before="0" w:after="0"/>
              <w:jc w:val="left"/>
            </w:pPr>
            <w:r>
              <w:rPr>
                <w:rFonts w:ascii="Times New Roman" w:hAnsi="Times New Roman"/>
                <w:sz w:val="19"/>
              </w:rPr>
              <w:t>None</w:t>
            </w:r>
          </w:p>
        </w:tc>
        <w:tc>
          <w:tcPr>
            <w:tcW w:type="dxa" w:w="2592"/>
            <w:shd w:fill="FFFFFF"/>
            <w:tcMar>
              <w:top w:w="80" w:type="dxa"/>
              <w:bottom w:w="80" w:type="dxa"/>
              <w:left w:w="100" w:type="dxa"/>
              <w:right w:w="100" w:type="dxa"/>
            </w:tcMar>
          </w:tcPr>
          <w:p>
            <w:pPr>
              <w:spacing w:before="0" w:after="0"/>
              <w:jc w:val="left"/>
            </w:pPr>
            <w:r>
              <w:rPr>
                <w:rFonts w:ascii="Times New Roman" w:hAnsi="Times New Roman"/>
                <w:sz w:val="19"/>
              </w:rPr>
              <w:t>Service status, DB pool, model registry state</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&lt; 10 ms</w:t>
            </w:r>
          </w:p>
        </w:tc>
      </w:tr>
      <w:tr>
        <w:tc>
          <w:tcPr>
            <w:tcW w:type="dxa" w:w="2160"/>
            <w:shd w:fill="F7FAFC"/>
            <w:tcMar>
              <w:top w:w="80" w:type="dxa"/>
              <w:bottom w:w="80" w:type="dxa"/>
              <w:left w:w="100" w:type="dxa"/>
              <w:right w:w="100" w:type="dxa"/>
            </w:tcMar>
          </w:tcPr>
          <w:p>
            <w:pPr>
              <w:spacing w:before="0" w:after="0"/>
              <w:jc w:val="left"/>
            </w:pPr>
            <w:r>
              <w:rPr>
                <w:rFonts w:ascii="Times New Roman" w:hAnsi="Times New Roman"/>
                <w:sz w:val="19"/>
              </w:rPr>
              <w:t>GET /api/v1/transactions</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transactions.py</w:t>
            </w:r>
          </w:p>
        </w:tc>
        <w:tc>
          <w:tcPr>
            <w:tcW w:type="dxa" w:w="2016"/>
            <w:shd w:fill="F7FAFC"/>
            <w:tcMar>
              <w:top w:w="80" w:type="dxa"/>
              <w:bottom w:w="80" w:type="dxa"/>
              <w:left w:w="100" w:type="dxa"/>
              <w:right w:w="100" w:type="dxa"/>
            </w:tcMar>
          </w:tcPr>
          <w:p>
            <w:pPr>
              <w:spacing w:before="0" w:after="0"/>
              <w:jc w:val="left"/>
            </w:pPr>
            <w:r>
              <w:rPr>
                <w:rFonts w:ascii="Times New Roman" w:hAnsi="Times New Roman"/>
                <w:sz w:val="19"/>
              </w:rPr>
              <w:t>page, limit, search, status, risk_min</w:t>
            </w:r>
          </w:p>
        </w:tc>
        <w:tc>
          <w:tcPr>
            <w:tcW w:type="dxa" w:w="2592"/>
            <w:shd w:fill="F7FAFC"/>
            <w:tcMar>
              <w:top w:w="80" w:type="dxa"/>
              <w:bottom w:w="80" w:type="dxa"/>
              <w:left w:w="100" w:type="dxa"/>
              <w:right w:w="100" w:type="dxa"/>
            </w:tcMar>
          </w:tcPr>
          <w:p>
            <w:pPr>
              <w:spacing w:before="0" w:after="0"/>
              <w:jc w:val="left"/>
            </w:pPr>
            <w:r>
              <w:rPr>
                <w:rFonts w:ascii="Times New Roman" w:hAnsi="Times New Roman"/>
                <w:sz w:val="19"/>
              </w:rPr>
              <w:t>Paginated transaction list with risk scores</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&lt; 50 ms</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sz w:val="19"/>
              </w:rPr>
              <w:t>GET /api/v1/transactions/{id}</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transactions.py</w:t>
            </w:r>
          </w:p>
        </w:tc>
        <w:tc>
          <w:tcPr>
            <w:tcW w:type="dxa" w:w="2016"/>
            <w:shd w:fill="FFFFFF"/>
            <w:tcMar>
              <w:top w:w="80" w:type="dxa"/>
              <w:bottom w:w="80" w:type="dxa"/>
              <w:left w:w="100" w:type="dxa"/>
              <w:right w:w="100" w:type="dxa"/>
            </w:tcMar>
          </w:tcPr>
          <w:p>
            <w:pPr>
              <w:spacing w:before="0" w:after="0"/>
              <w:jc w:val="left"/>
            </w:pPr>
            <w:r>
              <w:rPr>
                <w:rFonts w:ascii="Times New Roman" w:hAnsi="Times New Roman"/>
                <w:sz w:val="19"/>
              </w:rPr>
              <w:t>tx_id path param</w:t>
            </w:r>
          </w:p>
        </w:tc>
        <w:tc>
          <w:tcPr>
            <w:tcW w:type="dxa" w:w="2592"/>
            <w:shd w:fill="FFFFFF"/>
            <w:tcMar>
              <w:top w:w="80" w:type="dxa"/>
              <w:bottom w:w="80" w:type="dxa"/>
              <w:left w:w="100" w:type="dxa"/>
              <w:right w:w="100" w:type="dxa"/>
            </w:tcMar>
          </w:tcPr>
          <w:p>
            <w:pPr>
              <w:spacing w:before="0" w:after="0"/>
              <w:jc w:val="left"/>
            </w:pPr>
            <w:r>
              <w:rPr>
                <w:rFonts w:ascii="Times New Roman" w:hAnsi="Times New Roman"/>
                <w:sz w:val="19"/>
              </w:rPr>
              <w:t>Detailed transaction attributes &amp; prediction</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&lt; 20 ms</w:t>
            </w:r>
          </w:p>
        </w:tc>
      </w:tr>
      <w:tr>
        <w:tc>
          <w:tcPr>
            <w:tcW w:type="dxa" w:w="2160"/>
            <w:shd w:fill="F7FAFC"/>
            <w:tcMar>
              <w:top w:w="80" w:type="dxa"/>
              <w:bottom w:w="80" w:type="dxa"/>
              <w:left w:w="100" w:type="dxa"/>
              <w:right w:w="100" w:type="dxa"/>
            </w:tcMar>
          </w:tcPr>
          <w:p>
            <w:pPr>
              <w:spacing w:before="0" w:after="0"/>
              <w:jc w:val="left"/>
            </w:pPr>
            <w:r>
              <w:rPr>
                <w:rFonts w:ascii="Times New Roman" w:hAnsi="Times New Roman"/>
                <w:sz w:val="19"/>
              </w:rPr>
              <w:t>GET /api/v1/graph/{id}/subgraph</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graph.py</w:t>
            </w:r>
          </w:p>
        </w:tc>
        <w:tc>
          <w:tcPr>
            <w:tcW w:type="dxa" w:w="2016"/>
            <w:shd w:fill="F7FAFC"/>
            <w:tcMar>
              <w:top w:w="80" w:type="dxa"/>
              <w:bottom w:w="80" w:type="dxa"/>
              <w:left w:w="100" w:type="dxa"/>
              <w:right w:w="100" w:type="dxa"/>
            </w:tcMar>
          </w:tcPr>
          <w:p>
            <w:pPr>
              <w:spacing w:before="0" w:after="0"/>
              <w:jc w:val="left"/>
            </w:pPr>
            <w:r>
              <w:rPr>
                <w:rFonts w:ascii="Times New Roman" w:hAnsi="Times New Roman"/>
                <w:sz w:val="19"/>
              </w:rPr>
              <w:t>tx_id, hops=2, max_nodes=50</w:t>
            </w:r>
          </w:p>
        </w:tc>
        <w:tc>
          <w:tcPr>
            <w:tcW w:type="dxa" w:w="2592"/>
            <w:shd w:fill="F7FAFC"/>
            <w:tcMar>
              <w:top w:w="80" w:type="dxa"/>
              <w:bottom w:w="80" w:type="dxa"/>
              <w:left w:w="100" w:type="dxa"/>
              <w:right w:w="100" w:type="dxa"/>
            </w:tcMar>
          </w:tcPr>
          <w:p>
            <w:pPr>
              <w:spacing w:before="0" w:after="0"/>
              <w:jc w:val="left"/>
            </w:pPr>
            <w:r>
              <w:rPr>
                <w:rFonts w:ascii="Times New Roman" w:hAnsi="Times New Roman"/>
                <w:sz w:val="19"/>
              </w:rPr>
              <w:t>Cytoscape node/edge JSON for 2-hop ego-net</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&lt; 80 ms</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sz w:val="19"/>
              </w:rPr>
              <w:t>GET /api/v1/explain/{id}</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xai.py</w:t>
            </w:r>
          </w:p>
        </w:tc>
        <w:tc>
          <w:tcPr>
            <w:tcW w:type="dxa" w:w="2016"/>
            <w:shd w:fill="FFFFFF"/>
            <w:tcMar>
              <w:top w:w="80" w:type="dxa"/>
              <w:bottom w:w="80" w:type="dxa"/>
              <w:left w:w="100" w:type="dxa"/>
              <w:right w:w="100" w:type="dxa"/>
            </w:tcMar>
          </w:tcPr>
          <w:p>
            <w:pPr>
              <w:spacing w:before="0" w:after="0"/>
              <w:jc w:val="left"/>
            </w:pPr>
            <w:r>
              <w:rPr>
                <w:rFonts w:ascii="Times New Roman" w:hAnsi="Times New Roman"/>
                <w:sz w:val="19"/>
              </w:rPr>
              <w:t>tx_id path param</w:t>
            </w:r>
          </w:p>
        </w:tc>
        <w:tc>
          <w:tcPr>
            <w:tcW w:type="dxa" w:w="2592"/>
            <w:shd w:fill="FFFFFF"/>
            <w:tcMar>
              <w:top w:w="80" w:type="dxa"/>
              <w:bottom w:w="80" w:type="dxa"/>
              <w:left w:w="100" w:type="dxa"/>
              <w:right w:w="100" w:type="dxa"/>
            </w:tcMar>
          </w:tcPr>
          <w:p>
            <w:pPr>
              <w:spacing w:before="0" w:after="0"/>
              <w:jc w:val="left"/>
            </w:pPr>
            <w:r>
              <w:rPr>
                <w:rFonts w:ascii="Times New Roman" w:hAnsi="Times New Roman"/>
                <w:sz w:val="19"/>
              </w:rPr>
              <w:t>GNNExplainer subgraph mask, top feats, Fidelity</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&lt; 400 ms</w:t>
            </w:r>
          </w:p>
        </w:tc>
      </w:tr>
      <w:tr>
        <w:tc>
          <w:tcPr>
            <w:tcW w:type="dxa" w:w="2160"/>
            <w:shd w:fill="F7FAFC"/>
            <w:tcMar>
              <w:top w:w="80" w:type="dxa"/>
              <w:bottom w:w="80" w:type="dxa"/>
              <w:left w:w="100" w:type="dxa"/>
              <w:right w:w="100" w:type="dxa"/>
            </w:tcMar>
          </w:tcPr>
          <w:p>
            <w:pPr>
              <w:spacing w:before="0" w:after="0"/>
              <w:jc w:val="left"/>
            </w:pPr>
            <w:r>
              <w:rPr>
                <w:rFonts w:ascii="Times New Roman" w:hAnsi="Times New Roman"/>
                <w:sz w:val="19"/>
              </w:rPr>
              <w:t>POST /api/v1/hitl/feedback</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hitl.py</w:t>
            </w:r>
          </w:p>
        </w:tc>
        <w:tc>
          <w:tcPr>
            <w:tcW w:type="dxa" w:w="2016"/>
            <w:shd w:fill="F7FAFC"/>
            <w:tcMar>
              <w:top w:w="80" w:type="dxa"/>
              <w:bottom w:w="80" w:type="dxa"/>
              <w:left w:w="100" w:type="dxa"/>
              <w:right w:w="100" w:type="dxa"/>
            </w:tcMar>
          </w:tcPr>
          <w:p>
            <w:pPr>
              <w:spacing w:before="0" w:after="0"/>
              <w:jc w:val="left"/>
            </w:pPr>
            <w:r>
              <w:rPr>
                <w:rFonts w:ascii="Times New Roman" w:hAnsi="Times New Roman"/>
                <w:sz w:val="19"/>
              </w:rPr>
              <w:t>tx_id, reviewer_label, confidence, reason</w:t>
            </w:r>
          </w:p>
        </w:tc>
        <w:tc>
          <w:tcPr>
            <w:tcW w:type="dxa" w:w="2592"/>
            <w:shd w:fill="F7FAFC"/>
            <w:tcMar>
              <w:top w:w="80" w:type="dxa"/>
              <w:bottom w:w="80" w:type="dxa"/>
              <w:left w:w="100" w:type="dxa"/>
              <w:right w:w="100" w:type="dxa"/>
            </w:tcMar>
          </w:tcPr>
          <w:p>
            <w:pPr>
              <w:spacing w:before="0" w:after="0"/>
              <w:jc w:val="left"/>
            </w:pPr>
            <w:r>
              <w:rPr>
                <w:rFonts w:ascii="Times New Roman" w:hAnsi="Times New Roman"/>
                <w:sz w:val="19"/>
              </w:rPr>
              <w:t>Feedback record confirmation &amp; queue update</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&lt; 30 ms</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sz w:val="19"/>
              </w:rPr>
              <w:t>GET /api/v1/hitl/queue</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hitl.py</w:t>
            </w:r>
          </w:p>
        </w:tc>
        <w:tc>
          <w:tcPr>
            <w:tcW w:type="dxa" w:w="2016"/>
            <w:shd w:fill="FFFFFF"/>
            <w:tcMar>
              <w:top w:w="80" w:type="dxa"/>
              <w:bottom w:w="80" w:type="dxa"/>
              <w:left w:w="100" w:type="dxa"/>
              <w:right w:w="100" w:type="dxa"/>
            </w:tcMar>
          </w:tcPr>
          <w:p>
            <w:pPr>
              <w:spacing w:before="0" w:after="0"/>
              <w:jc w:val="left"/>
            </w:pPr>
            <w:r>
              <w:rPr>
                <w:rFonts w:ascii="Times New Roman" w:hAnsi="Times New Roman"/>
                <w:sz w:val="19"/>
              </w:rPr>
              <w:t>strategy (uncertainty), limit=20</w:t>
            </w:r>
          </w:p>
        </w:tc>
        <w:tc>
          <w:tcPr>
            <w:tcW w:type="dxa" w:w="2592"/>
            <w:shd w:fill="FFFFFF"/>
            <w:tcMar>
              <w:top w:w="80" w:type="dxa"/>
              <w:bottom w:w="80" w:type="dxa"/>
              <w:left w:w="100" w:type="dxa"/>
              <w:right w:w="100" w:type="dxa"/>
            </w:tcMar>
          </w:tcPr>
          <w:p>
            <w:pPr>
              <w:spacing w:before="0" w:after="0"/>
              <w:jc w:val="left"/>
            </w:pPr>
            <w:r>
              <w:rPr>
                <w:rFonts w:ascii="Times New Roman" w:hAnsi="Times New Roman"/>
                <w:sz w:val="19"/>
              </w:rPr>
              <w:t>Ranked active learning triage candidate queue</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&lt; 50 ms</w:t>
            </w:r>
          </w:p>
        </w:tc>
      </w:tr>
      <w:tr>
        <w:tc>
          <w:tcPr>
            <w:tcW w:type="dxa" w:w="2160"/>
            <w:shd w:fill="F7FAFC"/>
            <w:tcMar>
              <w:top w:w="80" w:type="dxa"/>
              <w:bottom w:w="80" w:type="dxa"/>
              <w:left w:w="100" w:type="dxa"/>
              <w:right w:w="100" w:type="dxa"/>
            </w:tcMar>
          </w:tcPr>
          <w:p>
            <w:pPr>
              <w:spacing w:before="0" w:after="0"/>
              <w:jc w:val="left"/>
            </w:pPr>
            <w:r>
              <w:rPr>
                <w:rFonts w:ascii="Times New Roman" w:hAnsi="Times New Roman"/>
                <w:sz w:val="19"/>
              </w:rPr>
              <w:t>GET /api/v1/analytics/metrics</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analytics.py</w:t>
            </w:r>
          </w:p>
        </w:tc>
        <w:tc>
          <w:tcPr>
            <w:tcW w:type="dxa" w:w="2016"/>
            <w:shd w:fill="F7FAFC"/>
            <w:tcMar>
              <w:top w:w="80" w:type="dxa"/>
              <w:bottom w:w="80" w:type="dxa"/>
              <w:left w:w="100" w:type="dxa"/>
              <w:right w:w="100" w:type="dxa"/>
            </w:tcMar>
          </w:tcPr>
          <w:p>
            <w:pPr>
              <w:spacing w:before="0" w:after="0"/>
              <w:jc w:val="left"/>
            </w:pPr>
            <w:r>
              <w:rPr>
                <w:rFonts w:ascii="Times New Roman" w:hAnsi="Times New Roman"/>
                <w:sz w:val="19"/>
              </w:rPr>
              <w:t>None</w:t>
            </w:r>
          </w:p>
        </w:tc>
        <w:tc>
          <w:tcPr>
            <w:tcW w:type="dxa" w:w="2592"/>
            <w:shd w:fill="F7FAFC"/>
            <w:tcMar>
              <w:top w:w="80" w:type="dxa"/>
              <w:bottom w:w="80" w:type="dxa"/>
              <w:left w:w="100" w:type="dxa"/>
              <w:right w:w="100" w:type="dxa"/>
            </w:tcMar>
          </w:tcPr>
          <w:p>
            <w:pPr>
              <w:spacing w:before="0" w:after="0"/>
              <w:jc w:val="left"/>
            </w:pPr>
            <w:r>
              <w:rPr>
                <w:rFonts w:ascii="Times New Roman" w:hAnsi="Times New Roman"/>
                <w:sz w:val="19"/>
              </w:rPr>
              <w:t>EXP-01 to EXP-07 benchmark summary metrics</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&lt; 15 ms</w:t>
            </w:r>
          </w:p>
        </w:tc>
      </w:tr>
    </w:tbl>
    <w:p>
      <w:pPr>
        <w:spacing w:before="0" w:after="120"/>
      </w:pPr>
    </w:p>
    <w:p>
      <w:pPr>
        <w:spacing w:before="280" w:after="100" w:line="276" w:lineRule="auto"/>
        <w:jc w:val="left"/>
      </w:pPr>
      <w:r>
        <w:rPr>
          <w:rFonts w:ascii="Times New Roman" w:hAnsi="Times New Roman"/>
          <w:b/>
          <w:color w:val="0F294A"/>
          <w:sz w:val="28"/>
        </w:rPr>
        <w:t>6. EXPERIMENTAL RESULTS &amp; EMPIRICAL BENCHMARKS</w:t>
      </w:r>
    </w:p>
    <w:p>
      <w:pPr>
        <w:spacing w:before="200" w:after="80" w:line="276" w:lineRule="auto"/>
        <w:jc w:val="left"/>
      </w:pPr>
      <w:r>
        <w:rPr>
          <w:rFonts w:ascii="Times New Roman" w:hAnsi="Times New Roman"/>
          <w:b/>
          <w:color w:val="1E4E79"/>
          <w:sz w:val="24"/>
        </w:rPr>
        <w:t>6.1 EXP-01: Tabular Baseline Performance Comparison</w:t>
      </w:r>
    </w:p>
    <w:p>
      <w:pPr>
        <w:spacing w:before="0" w:after="120" w:line="276" w:lineRule="auto"/>
        <w:jc w:val="both"/>
      </w:pPr>
      <w:r>
        <w:rPr>
          <w:rFonts w:ascii="Times New Roman" w:hAnsi="Times New Roman"/>
          <w:sz w:val="22"/>
        </w:rPr>
        <w:t>We evaluated four competitive tabular classification models on the 165-dimensional node features across the quarantine test partition (t ∈ [40, 49]). Decision thresholds τ* were calibrated on the validation partition (t ∈ [35, 39]) to maximize minority-class F1 score.</w:t>
      </w:r>
    </w:p>
    <w:p>
      <w:pPr>
        <w:spacing w:before="200" w:after="60" w:line="276" w:lineRule="auto"/>
        <w:jc w:val="left"/>
      </w:pPr>
      <w:r>
        <w:rPr>
          <w:rFonts w:ascii="Times New Roman" w:hAnsi="Times New Roman"/>
          <w:b/>
          <w:color w:val="1E4E79"/>
          <w:sz w:val="20"/>
        </w:rPr>
        <w:t>Table 3: EXP-01 Tabular Baseline Benchmark Results (Quarantine Test Partition t=40..49)</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337"/>
        <w:gridCol w:w="1337"/>
        <w:gridCol w:w="1337"/>
        <w:gridCol w:w="1337"/>
        <w:gridCol w:w="1337"/>
        <w:gridCol w:w="1337"/>
        <w:gridCol w:w="1337"/>
      </w:tblGrid>
      <w:tr>
        <w:tc>
          <w:tcPr>
            <w:tcW w:type="dxa" w:w="2160"/>
            <w:shd w:fill="1E4E79"/>
            <w:tcMar>
              <w:top w:w="100" w:type="dxa"/>
              <w:bottom w:w="100" w:type="dxa"/>
              <w:left w:w="100" w:type="dxa"/>
              <w:right w:w="100" w:type="dxa"/>
            </w:tcMar>
          </w:tcPr>
          <w:p>
            <w:pPr>
              <w:spacing w:before="0" w:after="0"/>
              <w:jc w:val="left"/>
            </w:pPr>
            <w:r>
              <w:rPr>
                <w:rFonts w:ascii="Times New Roman" w:hAnsi="Times New Roman"/>
                <w:b/>
                <w:color w:val="FFFFFF"/>
                <w:sz w:val="19"/>
              </w:rPr>
              <w:t>Model Architecture</w:t>
            </w:r>
          </w:p>
        </w:tc>
        <w:tc>
          <w:tcPr>
            <w:tcW w:type="dxa" w:w="1296"/>
            <w:shd w:fill="1E4E79"/>
            <w:tcMar>
              <w:top w:w="100" w:type="dxa"/>
              <w:bottom w:w="100" w:type="dxa"/>
              <w:left w:w="100" w:type="dxa"/>
              <w:right w:w="100" w:type="dxa"/>
            </w:tcMar>
          </w:tcPr>
          <w:p>
            <w:pPr>
              <w:spacing w:before="0" w:after="0"/>
              <w:jc w:val="left"/>
            </w:pPr>
            <w:r>
              <w:rPr>
                <w:rFonts w:ascii="Times New Roman" w:hAnsi="Times New Roman"/>
                <w:b/>
                <w:color w:val="FFFFFF"/>
                <w:sz w:val="19"/>
              </w:rPr>
              <w:t>Input Features</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F1 Score</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PR-AUC</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Precision</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Recall</w:t>
            </w:r>
          </w:p>
        </w:tc>
        <w:tc>
          <w:tcPr>
            <w:tcW w:type="dxa" w:w="1296"/>
            <w:shd w:fill="1E4E79"/>
            <w:tcMar>
              <w:top w:w="100" w:type="dxa"/>
              <w:bottom w:w="100" w:type="dxa"/>
              <w:left w:w="100" w:type="dxa"/>
              <w:right w:w="100" w:type="dxa"/>
            </w:tcMar>
          </w:tcPr>
          <w:p>
            <w:pPr>
              <w:spacing w:before="0" w:after="0"/>
              <w:jc w:val="center"/>
            </w:pPr>
            <w:r>
              <w:rPr>
                <w:rFonts w:ascii="Times New Roman" w:hAnsi="Times New Roman"/>
                <w:b/>
                <w:color w:val="FFFFFF"/>
                <w:sz w:val="19"/>
              </w:rPr>
              <w:t>Optimal Threshold τ*</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b/>
                <w:sz w:val="19"/>
              </w:rPr>
              <w:t>XGBoost (Best Tabular)</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165 Features</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b/>
                <w:sz w:val="19"/>
              </w:rPr>
              <w:t>0.7223</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b/>
                <w:sz w:val="19"/>
              </w:rPr>
              <w:t>0.6712</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0.9608</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0.5786</w:t>
            </w:r>
          </w:p>
        </w:tc>
        <w:tc>
          <w:tcPr>
            <w:tcW w:type="dxa" w:w="1296"/>
            <w:shd w:fill="FFFFFF"/>
            <w:tcMar>
              <w:top w:w="80" w:type="dxa"/>
              <w:bottom w:w="80" w:type="dxa"/>
              <w:left w:w="100" w:type="dxa"/>
              <w:right w:w="100" w:type="dxa"/>
            </w:tcMar>
          </w:tcPr>
          <w:p>
            <w:pPr>
              <w:spacing w:before="0" w:after="0"/>
              <w:jc w:val="center"/>
            </w:pPr>
            <w:r>
              <w:rPr>
                <w:rFonts w:ascii="Times New Roman" w:hAnsi="Times New Roman"/>
                <w:sz w:val="19"/>
              </w:rPr>
              <w:t>0.9014</w:t>
            </w:r>
          </w:p>
        </w:tc>
      </w:tr>
      <w:tr>
        <w:tc>
          <w:tcPr>
            <w:tcW w:type="dxa" w:w="2160"/>
            <w:shd w:fill="F7FAFC"/>
            <w:tcMar>
              <w:top w:w="80" w:type="dxa"/>
              <w:bottom w:w="80" w:type="dxa"/>
              <w:left w:w="100" w:type="dxa"/>
              <w:right w:w="100" w:type="dxa"/>
            </w:tcMar>
          </w:tcPr>
          <w:p>
            <w:pPr>
              <w:spacing w:before="0" w:after="0"/>
              <w:jc w:val="left"/>
            </w:pPr>
            <w:r>
              <w:rPr>
                <w:rFonts w:ascii="Times New Roman" w:hAnsi="Times New Roman"/>
                <w:sz w:val="19"/>
              </w:rPr>
              <w:t>LightGBM</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165 Features</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0.7179</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0.6692</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0.9630</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0.5723</w:t>
            </w:r>
          </w:p>
        </w:tc>
        <w:tc>
          <w:tcPr>
            <w:tcW w:type="dxa" w:w="1296"/>
            <w:shd w:fill="F7FAFC"/>
            <w:tcMar>
              <w:top w:w="80" w:type="dxa"/>
              <w:bottom w:w="80" w:type="dxa"/>
              <w:left w:w="100" w:type="dxa"/>
              <w:right w:w="100" w:type="dxa"/>
            </w:tcMar>
          </w:tcPr>
          <w:p>
            <w:pPr>
              <w:spacing w:before="0" w:after="0"/>
              <w:jc w:val="center"/>
            </w:pPr>
            <w:r>
              <w:rPr>
                <w:rFonts w:ascii="Times New Roman" w:hAnsi="Times New Roman"/>
                <w:sz w:val="19"/>
              </w:rPr>
              <w:t>0.8915</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sz w:val="19"/>
              </w:rPr>
              <w:t>Random Forest</w:t>
            </w:r>
          </w:p>
        </w:tc>
        <w:tc>
          <w:tcPr>
            <w:tcW w:type="dxa" w:w="1296"/>
            <w:shd w:fill="FFFFFF"/>
            <w:tcMar>
              <w:top w:w="80" w:type="dxa"/>
              <w:bottom w:w="80" w:type="dxa"/>
              <w:left w:w="100" w:type="dxa"/>
              <w:right w:w="100" w:type="dxa"/>
            </w:tcMar>
          </w:tcPr>
          <w:p>
            <w:pPr>
              <w:spacing w:before="0" w:after="0"/>
              <w:jc w:val="left"/>
            </w:pPr>
            <w:r>
              <w:rPr>
                <w:rFonts w:ascii="Times New Roman" w:hAnsi="Times New Roman"/>
                <w:sz w:val="19"/>
              </w:rPr>
              <w:t>165 Features</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0.7061</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0.6662</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0.9215</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0.5723</w:t>
            </w:r>
          </w:p>
        </w:tc>
        <w:tc>
          <w:tcPr>
            <w:tcW w:type="dxa" w:w="1296"/>
            <w:shd w:fill="FFFFFF"/>
            <w:tcMar>
              <w:top w:w="80" w:type="dxa"/>
              <w:bottom w:w="80" w:type="dxa"/>
              <w:left w:w="100" w:type="dxa"/>
              <w:right w:w="100" w:type="dxa"/>
            </w:tcMar>
          </w:tcPr>
          <w:p>
            <w:pPr>
              <w:spacing w:before="0" w:after="0"/>
              <w:jc w:val="center"/>
            </w:pPr>
            <w:r>
              <w:rPr>
                <w:rFonts w:ascii="Times New Roman" w:hAnsi="Times New Roman"/>
                <w:sz w:val="19"/>
              </w:rPr>
              <w:t>0.6305</w:t>
            </w:r>
          </w:p>
        </w:tc>
      </w:tr>
      <w:tr>
        <w:tc>
          <w:tcPr>
            <w:tcW w:type="dxa" w:w="2160"/>
            <w:shd w:fill="F7FAFC"/>
            <w:tcMar>
              <w:top w:w="80" w:type="dxa"/>
              <w:bottom w:w="80" w:type="dxa"/>
              <w:left w:w="100" w:type="dxa"/>
              <w:right w:w="100" w:type="dxa"/>
            </w:tcMar>
          </w:tcPr>
          <w:p>
            <w:pPr>
              <w:spacing w:before="0" w:after="0"/>
              <w:jc w:val="left"/>
            </w:pPr>
            <w:r>
              <w:rPr>
                <w:rFonts w:ascii="Times New Roman" w:hAnsi="Times New Roman"/>
                <w:sz w:val="19"/>
              </w:rPr>
              <w:t>MLP (3-Layer Neural Net)</w:t>
            </w:r>
          </w:p>
        </w:tc>
        <w:tc>
          <w:tcPr>
            <w:tcW w:type="dxa" w:w="1296"/>
            <w:shd w:fill="F7FAFC"/>
            <w:tcMar>
              <w:top w:w="80" w:type="dxa"/>
              <w:bottom w:w="80" w:type="dxa"/>
              <w:left w:w="100" w:type="dxa"/>
              <w:right w:w="100" w:type="dxa"/>
            </w:tcMar>
          </w:tcPr>
          <w:p>
            <w:pPr>
              <w:spacing w:before="0" w:after="0"/>
              <w:jc w:val="left"/>
            </w:pPr>
            <w:r>
              <w:rPr>
                <w:rFonts w:ascii="Times New Roman" w:hAnsi="Times New Roman"/>
                <w:sz w:val="19"/>
              </w:rPr>
              <w:t>165 Features</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0.5714</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0.5321</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0.8034</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0.4434</w:t>
            </w:r>
          </w:p>
        </w:tc>
        <w:tc>
          <w:tcPr>
            <w:tcW w:type="dxa" w:w="1296"/>
            <w:shd w:fill="F7FAFC"/>
            <w:tcMar>
              <w:top w:w="80" w:type="dxa"/>
              <w:bottom w:w="80" w:type="dxa"/>
              <w:left w:w="100" w:type="dxa"/>
              <w:right w:w="100" w:type="dxa"/>
            </w:tcMar>
          </w:tcPr>
          <w:p>
            <w:pPr>
              <w:spacing w:before="0" w:after="0"/>
              <w:jc w:val="center"/>
            </w:pPr>
            <w:r>
              <w:rPr>
                <w:rFonts w:ascii="Times New Roman" w:hAnsi="Times New Roman"/>
                <w:sz w:val="19"/>
              </w:rPr>
              <w:t>0.9408</w:t>
            </w:r>
          </w:p>
        </w:tc>
      </w:tr>
    </w:tbl>
    <w:p>
      <w:pPr>
        <w:spacing w:before="0" w:after="120"/>
      </w:pPr>
    </w:p>
    <w:p>
      <w:pPr>
        <w:spacing w:before="0" w:after="120" w:line="276" w:lineRule="auto"/>
        <w:jc w:val="both"/>
      </w:pPr>
      <w:r>
        <w:rPr>
          <w:rFonts w:ascii="Times New Roman" w:hAnsi="Times New Roman"/>
          <w:sz w:val="22"/>
        </w:rPr>
        <w:t>Analysis: Gradient-boosted decision tree ensembles (XGBoost F1 = 0.7223, LightGBM F1 = 0.7179) achieve exceptional precision (&gt;96%) on out-of-time test partitions. Because the 165-dimensional feature space contains 72 precomputed 1-hop neighborhood aggregations, tree models effectively exploit high-order non-linear feature interactions without needing explicit graph convolutions.</w:t>
      </w:r>
    </w:p>
    <w:p>
      <w:pPr>
        <w:spacing w:before="200" w:after="80" w:line="276" w:lineRule="auto"/>
        <w:jc w:val="left"/>
      </w:pPr>
      <w:r>
        <w:rPr>
          <w:rFonts w:ascii="Times New Roman" w:hAnsi="Times New Roman"/>
          <w:b/>
          <w:color w:val="1E4E79"/>
          <w:sz w:val="24"/>
        </w:rPr>
        <w:t>6.2 EXP-02: Graph Neural Network Architectures and Inductive Biases</w:t>
      </w:r>
    </w:p>
    <w:p>
      <w:pPr>
        <w:spacing w:before="0" w:after="120" w:line="276" w:lineRule="auto"/>
        <w:jc w:val="both"/>
      </w:pPr>
      <w:r>
        <w:rPr>
          <w:rFonts w:ascii="Times New Roman" w:hAnsi="Times New Roman"/>
          <w:sz w:val="22"/>
        </w:rPr>
        <w:t>We trained GraphSAGE, GAT (4-Head), and GCN architectures with Focal Loss on training graphs (t ∈ [1, 34]) and evaluated out-of-time performance on quarantine test graphs (t ∈ [40, 49]).</w:t>
      </w:r>
    </w:p>
    <w:p>
      <w:pPr>
        <w:spacing w:before="200" w:after="60" w:line="276" w:lineRule="auto"/>
        <w:jc w:val="left"/>
      </w:pPr>
      <w:r>
        <w:rPr>
          <w:rFonts w:ascii="Times New Roman" w:hAnsi="Times New Roman"/>
          <w:b/>
          <w:color w:val="1E4E79"/>
          <w:sz w:val="20"/>
        </w:rPr>
        <w:t>Table 4: EXP-02 Graph Neural Network Architectural Comparison</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040"/>
        <w:gridCol w:w="1040"/>
        <w:gridCol w:w="1040"/>
        <w:gridCol w:w="1040"/>
        <w:gridCol w:w="1040"/>
        <w:gridCol w:w="1040"/>
        <w:gridCol w:w="1040"/>
        <w:gridCol w:w="1040"/>
        <w:gridCol w:w="1040"/>
      </w:tblGrid>
      <w:tr>
        <w:tc>
          <w:tcPr>
            <w:tcW w:type="dxa" w:w="2160"/>
            <w:shd w:fill="1E4E79"/>
            <w:tcMar>
              <w:top w:w="100" w:type="dxa"/>
              <w:bottom w:w="100" w:type="dxa"/>
              <w:left w:w="100" w:type="dxa"/>
              <w:right w:w="100" w:type="dxa"/>
            </w:tcMar>
          </w:tcPr>
          <w:p>
            <w:pPr>
              <w:spacing w:before="0" w:after="0"/>
              <w:jc w:val="left"/>
            </w:pPr>
            <w:r>
              <w:rPr>
                <w:rFonts w:ascii="Times New Roman" w:hAnsi="Times New Roman"/>
                <w:b/>
                <w:color w:val="FFFFFF"/>
                <w:sz w:val="19"/>
              </w:rPr>
              <w:t>GNN Architecture</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Parameters</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Val PR-AUC</w:t>
            </w:r>
          </w:p>
        </w:tc>
        <w:tc>
          <w:tcPr>
            <w:tcW w:type="dxa" w:w="864"/>
            <w:shd w:fill="1E4E79"/>
            <w:tcMar>
              <w:top w:w="100" w:type="dxa"/>
              <w:bottom w:w="100" w:type="dxa"/>
              <w:left w:w="100" w:type="dxa"/>
              <w:right w:w="100" w:type="dxa"/>
            </w:tcMar>
          </w:tcPr>
          <w:p>
            <w:pPr>
              <w:spacing w:before="0" w:after="0"/>
              <w:jc w:val="center"/>
            </w:pPr>
            <w:r>
              <w:rPr>
                <w:rFonts w:ascii="Times New Roman" w:hAnsi="Times New Roman"/>
                <w:b/>
                <w:color w:val="FFFFFF"/>
                <w:sz w:val="19"/>
              </w:rPr>
              <w:t>Val F1</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F1 Score</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PR-AUC</w:t>
            </w:r>
          </w:p>
        </w:tc>
        <w:tc>
          <w:tcPr>
            <w:tcW w:type="dxa" w:w="864"/>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Precision</w:t>
            </w:r>
          </w:p>
        </w:tc>
        <w:tc>
          <w:tcPr>
            <w:tcW w:type="dxa" w:w="720"/>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Recall</w:t>
            </w:r>
          </w:p>
        </w:tc>
        <w:tc>
          <w:tcPr>
            <w:tcW w:type="dxa" w:w="720"/>
            <w:shd w:fill="1E4E79"/>
            <w:tcMar>
              <w:top w:w="100" w:type="dxa"/>
              <w:bottom w:w="100" w:type="dxa"/>
              <w:left w:w="100" w:type="dxa"/>
              <w:right w:w="100" w:type="dxa"/>
            </w:tcMar>
          </w:tcPr>
          <w:p>
            <w:pPr>
              <w:spacing w:before="0" w:after="0"/>
              <w:jc w:val="center"/>
            </w:pPr>
            <w:r>
              <w:rPr>
                <w:rFonts w:ascii="Times New Roman" w:hAnsi="Times New Roman"/>
                <w:b/>
                <w:color w:val="FFFFFF"/>
                <w:sz w:val="19"/>
              </w:rPr>
              <w:t>Optimal τ*</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b/>
                <w:sz w:val="19"/>
              </w:rPr>
              <w:t>GraphSAGE (Focal Loss)</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43,138</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b/>
                <w:sz w:val="19"/>
              </w:rPr>
              <w:t>0.7966</w:t>
            </w:r>
          </w:p>
        </w:tc>
        <w:tc>
          <w:tcPr>
            <w:tcW w:type="dxa" w:w="864"/>
            <w:shd w:fill="FFFFFF"/>
            <w:tcMar>
              <w:top w:w="80" w:type="dxa"/>
              <w:bottom w:w="80" w:type="dxa"/>
              <w:left w:w="100" w:type="dxa"/>
              <w:right w:w="100" w:type="dxa"/>
            </w:tcMar>
          </w:tcPr>
          <w:p>
            <w:pPr>
              <w:spacing w:before="0" w:after="0"/>
              <w:jc w:val="center"/>
            </w:pPr>
            <w:r>
              <w:rPr>
                <w:rFonts w:ascii="Times New Roman" w:hAnsi="Times New Roman"/>
                <w:b/>
                <w:sz w:val="19"/>
              </w:rPr>
              <w:t>0.7818</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b/>
                <w:sz w:val="19"/>
              </w:rPr>
              <w:t>0.5175</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b/>
                <w:sz w:val="19"/>
              </w:rPr>
              <w:t>0.4499</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0.5342</w:t>
            </w:r>
          </w:p>
        </w:tc>
        <w:tc>
          <w:tcPr>
            <w:tcW w:type="dxa" w:w="720"/>
            <w:shd w:fill="FFFFFF"/>
            <w:tcMar>
              <w:top w:w="80" w:type="dxa"/>
              <w:bottom w:w="80" w:type="dxa"/>
              <w:left w:w="100" w:type="dxa"/>
              <w:right w:w="100" w:type="dxa"/>
            </w:tcMar>
          </w:tcPr>
          <w:p>
            <w:pPr>
              <w:spacing w:before="0" w:after="0"/>
              <w:jc w:val="center"/>
            </w:pPr>
            <w:r>
              <w:rPr>
                <w:rFonts w:ascii="Times New Roman" w:hAnsi="Times New Roman"/>
                <w:sz w:val="19"/>
              </w:rPr>
              <w:t>0.5016</w:t>
            </w:r>
          </w:p>
        </w:tc>
        <w:tc>
          <w:tcPr>
            <w:tcW w:type="dxa" w:w="720"/>
            <w:shd w:fill="FFFFFF"/>
            <w:tcMar>
              <w:top w:w="80" w:type="dxa"/>
              <w:bottom w:w="80" w:type="dxa"/>
              <w:left w:w="100" w:type="dxa"/>
              <w:right w:w="100" w:type="dxa"/>
            </w:tcMar>
          </w:tcPr>
          <w:p>
            <w:pPr>
              <w:spacing w:before="0" w:after="0"/>
              <w:jc w:val="center"/>
            </w:pPr>
            <w:r>
              <w:rPr>
                <w:rFonts w:ascii="Times New Roman" w:hAnsi="Times New Roman"/>
                <w:sz w:val="19"/>
              </w:rPr>
              <w:t>0.5517</w:t>
            </w:r>
          </w:p>
        </w:tc>
      </w:tr>
      <w:tr>
        <w:tc>
          <w:tcPr>
            <w:tcW w:type="dxa" w:w="2160"/>
            <w:shd w:fill="F7FAFC"/>
            <w:tcMar>
              <w:top w:w="80" w:type="dxa"/>
              <w:bottom w:w="80" w:type="dxa"/>
              <w:left w:w="100" w:type="dxa"/>
              <w:right w:w="100" w:type="dxa"/>
            </w:tcMar>
          </w:tcPr>
          <w:p>
            <w:pPr>
              <w:spacing w:before="0" w:after="0"/>
              <w:jc w:val="left"/>
            </w:pPr>
            <w:r>
              <w:rPr>
                <w:rFonts w:ascii="Times New Roman" w:hAnsi="Times New Roman"/>
                <w:sz w:val="19"/>
              </w:rPr>
              <w:t>GAT (4-Head Attention)</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22,022</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0.7198</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0.6866</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0.4097</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0.3183</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0.3800</w:t>
            </w:r>
          </w:p>
        </w:tc>
        <w:tc>
          <w:tcPr>
            <w:tcW w:type="dxa" w:w="720"/>
            <w:shd w:fill="F7FAFC"/>
            <w:tcMar>
              <w:top w:w="80" w:type="dxa"/>
              <w:bottom w:w="80" w:type="dxa"/>
              <w:left w:w="100" w:type="dxa"/>
              <w:right w:w="100" w:type="dxa"/>
            </w:tcMar>
          </w:tcPr>
          <w:p>
            <w:pPr>
              <w:spacing w:before="0" w:after="0"/>
              <w:jc w:val="center"/>
            </w:pPr>
            <w:r>
              <w:rPr>
                <w:rFonts w:ascii="Times New Roman" w:hAnsi="Times New Roman"/>
                <w:sz w:val="19"/>
              </w:rPr>
              <w:t>0.4450</w:t>
            </w:r>
          </w:p>
        </w:tc>
        <w:tc>
          <w:tcPr>
            <w:tcW w:type="dxa" w:w="720"/>
            <w:shd w:fill="F7FAFC"/>
            <w:tcMar>
              <w:top w:w="80" w:type="dxa"/>
              <w:bottom w:w="80" w:type="dxa"/>
              <w:left w:w="100" w:type="dxa"/>
              <w:right w:w="100" w:type="dxa"/>
            </w:tcMar>
          </w:tcPr>
          <w:p>
            <w:pPr>
              <w:spacing w:before="0" w:after="0"/>
              <w:jc w:val="center"/>
            </w:pPr>
            <w:r>
              <w:rPr>
                <w:rFonts w:ascii="Times New Roman" w:hAnsi="Times New Roman"/>
                <w:sz w:val="19"/>
              </w:rPr>
              <w:t>0.5468</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sz w:val="19"/>
              </w:rPr>
              <w:t>GCN (Spectral First-Order)</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21,762</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0.6074</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0.6272</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0.3067</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0.2087</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0.2308</w:t>
            </w:r>
          </w:p>
        </w:tc>
        <w:tc>
          <w:tcPr>
            <w:tcW w:type="dxa" w:w="720"/>
            <w:shd w:fill="FFFFFF"/>
            <w:tcMar>
              <w:top w:w="80" w:type="dxa"/>
              <w:bottom w:w="80" w:type="dxa"/>
              <w:left w:w="100" w:type="dxa"/>
              <w:right w:w="100" w:type="dxa"/>
            </w:tcMar>
          </w:tcPr>
          <w:p>
            <w:pPr>
              <w:spacing w:before="0" w:after="0"/>
              <w:jc w:val="center"/>
            </w:pPr>
            <w:r>
              <w:rPr>
                <w:rFonts w:ascii="Times New Roman" w:hAnsi="Times New Roman"/>
                <w:sz w:val="19"/>
              </w:rPr>
              <w:t>0.4575</w:t>
            </w:r>
          </w:p>
        </w:tc>
        <w:tc>
          <w:tcPr>
            <w:tcW w:type="dxa" w:w="720"/>
            <w:shd w:fill="FFFFFF"/>
            <w:tcMar>
              <w:top w:w="80" w:type="dxa"/>
              <w:bottom w:w="80" w:type="dxa"/>
              <w:left w:w="100" w:type="dxa"/>
              <w:right w:w="100" w:type="dxa"/>
            </w:tcMar>
          </w:tcPr>
          <w:p>
            <w:pPr>
              <w:spacing w:before="0" w:after="0"/>
              <w:jc w:val="center"/>
            </w:pPr>
            <w:r>
              <w:rPr>
                <w:rFonts w:ascii="Times New Roman" w:hAnsi="Times New Roman"/>
                <w:sz w:val="19"/>
              </w:rPr>
              <w:t>0.5665</w:t>
            </w:r>
          </w:p>
        </w:tc>
      </w:tr>
    </w:tbl>
    <w:p>
      <w:pPr>
        <w:spacing w:before="0" w:after="120"/>
      </w:pPr>
    </w:p>
    <w:p>
      <w:pPr>
        <w:spacing w:before="0" w:after="120" w:line="276" w:lineRule="auto"/>
        <w:jc w:val="both"/>
      </w:pPr>
      <w:r>
        <w:rPr>
          <w:rFonts w:ascii="Times New Roman" w:hAnsi="Times New Roman"/>
          <w:sz w:val="22"/>
        </w:rPr>
        <w:t>Analysis: GraphSAGE achieves a +68.7% higher Test F1 than GCN (0.5175 vs 0.3067). In transaction graphs where 77.15% of nodes are unlabelled, GCN's symmetric normalized averaging washes out localized fraud signals across unlabelled neighbors (over-smoothing). GraphSAGE's explicit concatenation of ego-node features [𝐡_v ∥ 𝐡_𝒩(v)] preserves transaction identity. GAT struggles (F1 = 0.4097) because low average node degree (d̄ ≈ 1.15) renders multi-head attention weights noisy and over-parameterized.</w:t>
      </w:r>
    </w:p>
    <w:p>
      <w:pPr>
        <w:spacing w:before="200" w:after="80" w:line="276" w:lineRule="auto"/>
        <w:jc w:val="left"/>
      </w:pPr>
      <w:r>
        <w:rPr>
          <w:rFonts w:ascii="Times New Roman" w:hAnsi="Times New Roman"/>
          <w:b/>
          <w:color w:val="1E4E79"/>
          <w:sz w:val="24"/>
        </w:rPr>
        <w:t>6.3 EXP-03: Feature Space Ablation Analysis</w:t>
      </w:r>
    </w:p>
    <w:p>
      <w:pPr>
        <w:spacing w:before="0" w:after="120" w:line="276" w:lineRule="auto"/>
        <w:jc w:val="both"/>
      </w:pPr>
      <w:r>
        <w:rPr>
          <w:rFonts w:ascii="Times New Roman" w:hAnsi="Times New Roman"/>
          <w:sz w:val="22"/>
        </w:rPr>
        <w:t>To isolate the marginal value of precomputed neighborhood aggregations versus explicit graph degree metrics, GraphSAGE was evaluated across four distinct feature configurations.</w:t>
      </w:r>
    </w:p>
    <w:p>
      <w:pPr>
        <w:spacing w:before="200" w:after="60" w:line="276" w:lineRule="auto"/>
        <w:jc w:val="left"/>
      </w:pPr>
      <w:r>
        <w:rPr>
          <w:rFonts w:ascii="Times New Roman" w:hAnsi="Times New Roman"/>
          <w:b/>
          <w:color w:val="1E4E79"/>
          <w:sz w:val="20"/>
        </w:rPr>
        <w:t>Table 5: EXP-03 Feature Space Ablation Benchmark Results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337"/>
        <w:gridCol w:w="1337"/>
        <w:gridCol w:w="1337"/>
        <w:gridCol w:w="1337"/>
        <w:gridCol w:w="1337"/>
        <w:gridCol w:w="1337"/>
        <w:gridCol w:w="1337"/>
      </w:tblGrid>
      <w:tr>
        <w:tc>
          <w:tcPr>
            <w:tcW w:type="dxa" w:w="2160"/>
            <w:shd w:fill="1E4E79"/>
            <w:tcMar>
              <w:top w:w="100" w:type="dxa"/>
              <w:bottom w:w="100" w:type="dxa"/>
              <w:left w:w="100" w:type="dxa"/>
              <w:right w:w="100" w:type="dxa"/>
            </w:tcMar>
          </w:tcPr>
          <w:p>
            <w:pPr>
              <w:spacing w:before="0" w:after="0"/>
              <w:jc w:val="left"/>
            </w:pPr>
            <w:r>
              <w:rPr>
                <w:rFonts w:ascii="Times New Roman" w:hAnsi="Times New Roman"/>
                <w:b/>
                <w:color w:val="FFFFFF"/>
                <w:sz w:val="19"/>
              </w:rPr>
              <w:t>Feature Configuration</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Feature Count</w:t>
            </w:r>
          </w:p>
        </w:tc>
        <w:tc>
          <w:tcPr>
            <w:tcW w:type="dxa" w:w="2592"/>
            <w:shd w:fill="1E4E79"/>
            <w:tcMar>
              <w:top w:w="100" w:type="dxa"/>
              <w:bottom w:w="100" w:type="dxa"/>
              <w:left w:w="100" w:type="dxa"/>
              <w:right w:w="100" w:type="dxa"/>
            </w:tcMar>
          </w:tcPr>
          <w:p>
            <w:pPr>
              <w:spacing w:before="0" w:after="0"/>
              <w:jc w:val="left"/>
            </w:pPr>
            <w:r>
              <w:rPr>
                <w:rFonts w:ascii="Times New Roman" w:hAnsi="Times New Roman"/>
                <w:b/>
                <w:color w:val="FFFFFF"/>
                <w:sz w:val="19"/>
              </w:rPr>
              <w:t>Feature Description</w:t>
            </w:r>
          </w:p>
        </w:tc>
        <w:tc>
          <w:tcPr>
            <w:tcW w:type="dxa" w:w="864"/>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F1 Score</w:t>
            </w:r>
          </w:p>
        </w:tc>
        <w:tc>
          <w:tcPr>
            <w:tcW w:type="dxa" w:w="864"/>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PR-AUC</w:t>
            </w:r>
          </w:p>
        </w:tc>
        <w:tc>
          <w:tcPr>
            <w:tcW w:type="dxa" w:w="864"/>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Precision</w:t>
            </w:r>
          </w:p>
        </w:tc>
        <w:tc>
          <w:tcPr>
            <w:tcW w:type="dxa" w:w="864"/>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Recall</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b/>
                <w:sz w:val="19"/>
              </w:rPr>
              <w:t>original_all (Full Elliptic)</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165 Features</w:t>
            </w:r>
          </w:p>
        </w:tc>
        <w:tc>
          <w:tcPr>
            <w:tcW w:type="dxa" w:w="2592"/>
            <w:shd w:fill="FFFFFF"/>
            <w:tcMar>
              <w:top w:w="80" w:type="dxa"/>
              <w:bottom w:w="80" w:type="dxa"/>
              <w:left w:w="100" w:type="dxa"/>
              <w:right w:w="100" w:type="dxa"/>
            </w:tcMar>
          </w:tcPr>
          <w:p>
            <w:pPr>
              <w:spacing w:before="0" w:after="0"/>
              <w:jc w:val="left"/>
            </w:pPr>
            <w:r>
              <w:rPr>
                <w:rFonts w:ascii="Times New Roman" w:hAnsi="Times New Roman"/>
                <w:sz w:val="19"/>
              </w:rPr>
              <w:t>93 Local + 72 Aggregated Features</w:t>
            </w:r>
          </w:p>
        </w:tc>
        <w:tc>
          <w:tcPr>
            <w:tcW w:type="dxa" w:w="864"/>
            <w:shd w:fill="FFFFFF"/>
            <w:tcMar>
              <w:top w:w="80" w:type="dxa"/>
              <w:bottom w:w="80" w:type="dxa"/>
              <w:left w:w="100" w:type="dxa"/>
              <w:right w:w="100" w:type="dxa"/>
            </w:tcMar>
          </w:tcPr>
          <w:p>
            <w:pPr>
              <w:spacing w:before="0" w:after="0"/>
              <w:jc w:val="center"/>
            </w:pPr>
            <w:r>
              <w:rPr>
                <w:rFonts w:ascii="Times New Roman" w:hAnsi="Times New Roman"/>
                <w:b/>
                <w:sz w:val="19"/>
              </w:rPr>
              <w:t>0.5139</w:t>
            </w:r>
          </w:p>
        </w:tc>
        <w:tc>
          <w:tcPr>
            <w:tcW w:type="dxa" w:w="864"/>
            <w:shd w:fill="FFFFFF"/>
            <w:tcMar>
              <w:top w:w="80" w:type="dxa"/>
              <w:bottom w:w="80" w:type="dxa"/>
              <w:left w:w="100" w:type="dxa"/>
              <w:right w:w="100" w:type="dxa"/>
            </w:tcMar>
          </w:tcPr>
          <w:p>
            <w:pPr>
              <w:spacing w:before="0" w:after="0"/>
              <w:jc w:val="center"/>
            </w:pPr>
            <w:r>
              <w:rPr>
                <w:rFonts w:ascii="Times New Roman" w:hAnsi="Times New Roman"/>
                <w:b/>
                <w:sz w:val="19"/>
              </w:rPr>
              <w:t>0.4615</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0.5139</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0.5139</w:t>
            </w:r>
          </w:p>
        </w:tc>
      </w:tr>
      <w:tr>
        <w:tc>
          <w:tcPr>
            <w:tcW w:type="dxa" w:w="2160"/>
            <w:shd w:fill="F7FAFC"/>
            <w:tcMar>
              <w:top w:w="80" w:type="dxa"/>
              <w:bottom w:w="80" w:type="dxa"/>
              <w:left w:w="100" w:type="dxa"/>
              <w:right w:w="100" w:type="dxa"/>
            </w:tcMar>
          </w:tcPr>
          <w:p>
            <w:pPr>
              <w:spacing w:before="0" w:after="0"/>
              <w:jc w:val="left"/>
            </w:pPr>
            <w:r>
              <w:rPr>
                <w:rFonts w:ascii="Times New Roman" w:hAnsi="Times New Roman"/>
                <w:sz w:val="19"/>
              </w:rPr>
              <w:t>combined</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170 Features</w:t>
            </w:r>
          </w:p>
        </w:tc>
        <w:tc>
          <w:tcPr>
            <w:tcW w:type="dxa" w:w="2592"/>
            <w:shd w:fill="F7FAFC"/>
            <w:tcMar>
              <w:top w:w="80" w:type="dxa"/>
              <w:bottom w:w="80" w:type="dxa"/>
              <w:left w:w="100" w:type="dxa"/>
              <w:right w:w="100" w:type="dxa"/>
            </w:tcMar>
          </w:tcPr>
          <w:p>
            <w:pPr>
              <w:spacing w:before="0" w:after="0"/>
              <w:jc w:val="left"/>
            </w:pPr>
            <w:r>
              <w:rPr>
                <w:rFonts w:ascii="Times New Roman" w:hAnsi="Times New Roman"/>
                <w:sz w:val="19"/>
              </w:rPr>
              <w:t>165 Original + 5 Engineered Graph Metrics</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0.4197</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0.4201</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0.4090</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0.4309</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sz w:val="19"/>
              </w:rPr>
              <w:t>original_local</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93 Features</w:t>
            </w:r>
          </w:p>
        </w:tc>
        <w:tc>
          <w:tcPr>
            <w:tcW w:type="dxa" w:w="2592"/>
            <w:shd w:fill="FFFFFF"/>
            <w:tcMar>
              <w:top w:w="80" w:type="dxa"/>
              <w:bottom w:w="80" w:type="dxa"/>
              <w:left w:w="100" w:type="dxa"/>
              <w:right w:w="100" w:type="dxa"/>
            </w:tcMar>
          </w:tcPr>
          <w:p>
            <w:pPr>
              <w:spacing w:before="0" w:after="0"/>
              <w:jc w:val="left"/>
            </w:pPr>
            <w:r>
              <w:rPr>
                <w:rFonts w:ascii="Times New Roman" w:hAnsi="Times New Roman"/>
                <w:sz w:val="19"/>
              </w:rPr>
              <w:t>Local Features Only (No Aggregations)</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0.3780</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0.3800</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0.3650</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0.3920</w:t>
            </w:r>
          </w:p>
        </w:tc>
      </w:tr>
      <w:tr>
        <w:tc>
          <w:tcPr>
            <w:tcW w:type="dxa" w:w="2160"/>
            <w:shd w:fill="F7FAFC"/>
            <w:tcMar>
              <w:top w:w="80" w:type="dxa"/>
              <w:bottom w:w="80" w:type="dxa"/>
              <w:left w:w="100" w:type="dxa"/>
              <w:right w:w="100" w:type="dxa"/>
            </w:tcMar>
          </w:tcPr>
          <w:p>
            <w:pPr>
              <w:spacing w:before="0" w:after="0"/>
              <w:jc w:val="left"/>
            </w:pPr>
            <w:r>
              <w:rPr>
                <w:rFonts w:ascii="Times New Roman" w:hAnsi="Times New Roman"/>
                <w:sz w:val="19"/>
              </w:rPr>
              <w:t>engineered</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5 Features</w:t>
            </w:r>
          </w:p>
        </w:tc>
        <w:tc>
          <w:tcPr>
            <w:tcW w:type="dxa" w:w="2592"/>
            <w:shd w:fill="F7FAFC"/>
            <w:tcMar>
              <w:top w:w="80" w:type="dxa"/>
              <w:bottom w:w="80" w:type="dxa"/>
              <w:left w:w="100" w:type="dxa"/>
              <w:right w:w="100" w:type="dxa"/>
            </w:tcMar>
          </w:tcPr>
          <w:p>
            <w:pPr>
              <w:spacing w:before="0" w:after="0"/>
              <w:jc w:val="left"/>
            </w:pPr>
            <w:r>
              <w:rPr>
                <w:rFonts w:ascii="Times New Roman" w:hAnsi="Times New Roman"/>
                <w:sz w:val="19"/>
              </w:rPr>
              <w:t>In/Out Degree, Total, Ratio, Flow Balance</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0.1804</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0.1291</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0.1650</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0.1990</w:t>
            </w:r>
          </w:p>
        </w:tc>
      </w:tr>
    </w:tbl>
    <w:p>
      <w:pPr>
        <w:spacing w:before="0" w:after="120"/>
      </w:pPr>
    </w:p>
    <w:p>
      <w:pPr>
        <w:spacing w:before="0" w:after="120" w:line="276" w:lineRule="auto"/>
        <w:jc w:val="both"/>
      </w:pPr>
      <w:r>
        <w:rPr>
          <w:rFonts w:ascii="Times New Roman" w:hAnsi="Times New Roman"/>
          <w:sz w:val="22"/>
        </w:rPr>
        <w:t>Analysis: Removing the 72 aggregated features (original_local) induces an absolute F1 drop of 13.59% (0.5139 to 0.3780), demonstrating their critical importance. Interestingly, appending 5 engineered graph metrics (combined, 170 feats) reduced test F1 from 0.5139 to 0.4197. Because degree properties are already captured by GraphSAGE aggregation and local output counters, appending raw scalar counts introduced multicollinearity and over-fitting to training subgraph structures.</w:t>
      </w:r>
    </w:p>
    <w:p>
      <w:pPr>
        <w:spacing w:before="200" w:after="80" w:line="276" w:lineRule="auto"/>
        <w:jc w:val="left"/>
      </w:pPr>
      <w:r>
        <w:rPr>
          <w:rFonts w:ascii="Times New Roman" w:hAnsi="Times New Roman"/>
          <w:b/>
          <w:color w:val="1E4E79"/>
          <w:sz w:val="24"/>
        </w:rPr>
        <w:t>6.4 EXP-04: Loss Function Optimization under Severe Imbalance</w:t>
      </w:r>
    </w:p>
    <w:p>
      <w:pPr>
        <w:spacing w:before="0" w:after="120" w:line="276" w:lineRule="auto"/>
        <w:jc w:val="both"/>
      </w:pPr>
      <w:r>
        <w:rPr>
          <w:rFonts w:ascii="Times New Roman" w:hAnsi="Times New Roman"/>
          <w:sz w:val="22"/>
        </w:rPr>
        <w:t>GraphSAGE was trained under three loss formulations to determine optimal gradient dynamics under 9.25:1 labeled class imbalance.</w:t>
      </w:r>
    </w:p>
    <w:p>
      <w:pPr>
        <w:spacing w:before="200" w:after="60" w:line="276" w:lineRule="auto"/>
        <w:jc w:val="left"/>
      </w:pPr>
      <w:r>
        <w:rPr>
          <w:rFonts w:ascii="Times New Roman" w:hAnsi="Times New Roman"/>
          <w:b/>
          <w:color w:val="1E4E79"/>
          <w:sz w:val="20"/>
        </w:rPr>
        <w:t>Table 6: EXP-04 Loss Function Optimization Benchmark Results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170"/>
        <w:gridCol w:w="1170"/>
        <w:gridCol w:w="1170"/>
        <w:gridCol w:w="1170"/>
        <w:gridCol w:w="1170"/>
        <w:gridCol w:w="1170"/>
        <w:gridCol w:w="1170"/>
        <w:gridCol w:w="1170"/>
      </w:tblGrid>
      <w:tr>
        <w:tc>
          <w:tcPr>
            <w:tcW w:type="dxa" w:w="2160"/>
            <w:shd w:fill="1E4E79"/>
            <w:tcMar>
              <w:top w:w="100" w:type="dxa"/>
              <w:bottom w:w="100" w:type="dxa"/>
              <w:left w:w="100" w:type="dxa"/>
              <w:right w:w="100" w:type="dxa"/>
            </w:tcMar>
          </w:tcPr>
          <w:p>
            <w:pPr>
              <w:spacing w:before="0" w:after="0"/>
              <w:jc w:val="left"/>
            </w:pPr>
            <w:r>
              <w:rPr>
                <w:rFonts w:ascii="Times New Roman" w:hAnsi="Times New Roman"/>
                <w:b/>
                <w:color w:val="FFFFFF"/>
                <w:sz w:val="19"/>
              </w:rPr>
              <w:t>Loss Objective Function</w:t>
            </w:r>
          </w:p>
        </w:tc>
        <w:tc>
          <w:tcPr>
            <w:tcW w:type="dxa" w:w="1440"/>
            <w:shd w:fill="1E4E79"/>
            <w:tcMar>
              <w:top w:w="100" w:type="dxa"/>
              <w:bottom w:w="100" w:type="dxa"/>
              <w:left w:w="100" w:type="dxa"/>
              <w:right w:w="100" w:type="dxa"/>
            </w:tcMar>
          </w:tcPr>
          <w:p>
            <w:pPr>
              <w:spacing w:before="0" w:after="0"/>
              <w:jc w:val="left"/>
            </w:pPr>
            <w:r>
              <w:rPr>
                <w:rFonts w:ascii="Times New Roman" w:hAnsi="Times New Roman"/>
                <w:b/>
                <w:color w:val="FFFFFF"/>
                <w:sz w:val="19"/>
              </w:rPr>
              <w:t>Hyperparameters</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Val PR-AUC</w:t>
            </w:r>
          </w:p>
        </w:tc>
        <w:tc>
          <w:tcPr>
            <w:tcW w:type="dxa" w:w="864"/>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F1 Score</w:t>
            </w:r>
          </w:p>
        </w:tc>
        <w:tc>
          <w:tcPr>
            <w:tcW w:type="dxa" w:w="864"/>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PR-AUC</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Precision</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Recall</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Optimal τ*</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b/>
                <w:sz w:val="19"/>
              </w:rPr>
              <w:t>Focal Loss</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α=0.25, γ=2.0</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b/>
                <w:sz w:val="19"/>
              </w:rPr>
              <w:t>0.7966</w:t>
            </w:r>
          </w:p>
        </w:tc>
        <w:tc>
          <w:tcPr>
            <w:tcW w:type="dxa" w:w="864"/>
            <w:shd w:fill="FFFFFF"/>
            <w:tcMar>
              <w:top w:w="80" w:type="dxa"/>
              <w:bottom w:w="80" w:type="dxa"/>
              <w:left w:w="100" w:type="dxa"/>
              <w:right w:w="100" w:type="dxa"/>
            </w:tcMar>
          </w:tcPr>
          <w:p>
            <w:pPr>
              <w:spacing w:before="0" w:after="0"/>
              <w:jc w:val="center"/>
            </w:pPr>
            <w:r>
              <w:rPr>
                <w:rFonts w:ascii="Times New Roman" w:hAnsi="Times New Roman"/>
                <w:b/>
                <w:sz w:val="19"/>
              </w:rPr>
              <w:t>0.5175</w:t>
            </w:r>
          </w:p>
        </w:tc>
        <w:tc>
          <w:tcPr>
            <w:tcW w:type="dxa" w:w="864"/>
            <w:shd w:fill="FFFFFF"/>
            <w:tcMar>
              <w:top w:w="80" w:type="dxa"/>
              <w:bottom w:w="80" w:type="dxa"/>
              <w:left w:w="100" w:type="dxa"/>
              <w:right w:w="100" w:type="dxa"/>
            </w:tcMar>
          </w:tcPr>
          <w:p>
            <w:pPr>
              <w:spacing w:before="0" w:after="0"/>
              <w:jc w:val="center"/>
            </w:pPr>
            <w:r>
              <w:rPr>
                <w:rFonts w:ascii="Times New Roman" w:hAnsi="Times New Roman"/>
                <w:b/>
                <w:sz w:val="19"/>
              </w:rPr>
              <w:t>0.4499</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0.5342</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0.5016</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0.5517</w:t>
            </w:r>
          </w:p>
        </w:tc>
      </w:tr>
      <w:tr>
        <w:tc>
          <w:tcPr>
            <w:tcW w:type="dxa" w:w="2160"/>
            <w:shd w:fill="F7FAFC"/>
            <w:tcMar>
              <w:top w:w="80" w:type="dxa"/>
              <w:bottom w:w="80" w:type="dxa"/>
              <w:left w:w="100" w:type="dxa"/>
              <w:right w:w="100" w:type="dxa"/>
            </w:tcMar>
          </w:tcPr>
          <w:p>
            <w:pPr>
              <w:spacing w:before="0" w:after="0"/>
              <w:jc w:val="left"/>
            </w:pPr>
            <w:r>
              <w:rPr>
                <w:rFonts w:ascii="Times New Roman" w:hAnsi="Times New Roman"/>
                <w:sz w:val="19"/>
              </w:rPr>
              <w:t>Standard Cross-Entropy</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None</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0.7958</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0.4888</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0.4373</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0.4900</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0.4877</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0.6059</w:t>
            </w:r>
          </w:p>
        </w:tc>
      </w:tr>
      <w:tr>
        <w:tc>
          <w:tcPr>
            <w:tcW w:type="dxa" w:w="2160"/>
            <w:shd w:fill="FFFFFF"/>
            <w:tcMar>
              <w:top w:w="80" w:type="dxa"/>
              <w:bottom w:w="80" w:type="dxa"/>
              <w:left w:w="100" w:type="dxa"/>
              <w:right w:w="100" w:type="dxa"/>
            </w:tcMar>
          </w:tcPr>
          <w:p>
            <w:pPr>
              <w:spacing w:before="0" w:after="0"/>
              <w:jc w:val="left"/>
            </w:pPr>
            <w:r>
              <w:rPr>
                <w:rFonts w:ascii="Times New Roman" w:hAnsi="Times New Roman"/>
                <w:sz w:val="19"/>
              </w:rPr>
              <w:t>Weighted Cross-Entropy</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w=7.6349</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0.7735</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0.4571</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0.3975</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0.3340</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b/>
                <w:sz w:val="19"/>
              </w:rPr>
              <w:t>0.7248</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0.9260</w:t>
            </w:r>
          </w:p>
        </w:tc>
      </w:tr>
    </w:tbl>
    <w:p>
      <w:pPr>
        <w:spacing w:before="0" w:after="120"/>
      </w:pPr>
    </w:p>
    <w:p>
      <w:pPr>
        <w:spacing w:before="0" w:after="120" w:line="276" w:lineRule="auto"/>
        <w:jc w:val="both"/>
      </w:pPr>
      <w:r>
        <w:rPr>
          <w:rFonts w:ascii="Times New Roman" w:hAnsi="Times New Roman"/>
          <w:sz w:val="22"/>
        </w:rPr>
        <w:t>Analysis: Class-weighted cross-entropy severely inflates false positives, collapsing precision to 33.40% and requiring an extreme threshold τ* = 0.9260. Focal Loss dynamically suppresses gradients from easy licit nodes via (1 - p_t)², yielding superior balanced precision (53.42%) and recall (50.16%) at a stable calibrated threshold τ* = 0.5517.</w:t>
      </w:r>
    </w:p>
    <w:p>
      <w:pPr>
        <w:spacing w:before="200" w:after="80" w:line="276" w:lineRule="auto"/>
        <w:jc w:val="left"/>
      </w:pPr>
      <w:r>
        <w:rPr>
          <w:rFonts w:ascii="Times New Roman" w:hAnsi="Times New Roman"/>
          <w:b/>
          <w:color w:val="1E4E79"/>
          <w:sz w:val="24"/>
        </w:rPr>
        <w:t>6.5 EXP-05: Post-Hoc Explainability and Fidelity Benchmark</w:t>
      </w:r>
    </w:p>
    <w:p>
      <w:pPr>
        <w:spacing w:before="0" w:after="120" w:line="276" w:lineRule="auto"/>
        <w:jc w:val="both"/>
      </w:pPr>
      <w:r>
        <w:rPr>
          <w:rFonts w:ascii="Times New Roman" w:hAnsi="Times New Roman"/>
          <w:sz w:val="22"/>
        </w:rPr>
        <w:t>We benchmarked GNNExplainer against GAT attention extraction and a random baseline across 48 canonical illicit transactions.</w:t>
      </w:r>
    </w:p>
    <w:p>
      <w:pPr>
        <w:spacing w:before="200" w:after="60" w:line="276" w:lineRule="auto"/>
        <w:jc w:val="left"/>
      </w:pPr>
      <w:r>
        <w:rPr>
          <w:rFonts w:ascii="Times New Roman" w:hAnsi="Times New Roman"/>
          <w:b/>
          <w:color w:val="1E4E79"/>
          <w:sz w:val="20"/>
        </w:rPr>
        <w:t>Table 7: EXP-05 Post-Hoc Explainability Benchmark (48 Test Instances)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337"/>
        <w:gridCol w:w="1337"/>
        <w:gridCol w:w="1337"/>
        <w:gridCol w:w="1337"/>
        <w:gridCol w:w="1337"/>
        <w:gridCol w:w="1337"/>
        <w:gridCol w:w="1337"/>
      </w:tblGrid>
      <w:tr>
        <w:tc>
          <w:tcPr>
            <w:tcW w:type="dxa" w:w="2448"/>
            <w:shd w:fill="1E4E79"/>
            <w:tcMar>
              <w:top w:w="100" w:type="dxa"/>
              <w:bottom w:w="100" w:type="dxa"/>
              <w:left w:w="100" w:type="dxa"/>
              <w:right w:w="100" w:type="dxa"/>
            </w:tcMar>
          </w:tcPr>
          <w:p>
            <w:pPr>
              <w:spacing w:before="0" w:after="0"/>
              <w:jc w:val="left"/>
            </w:pPr>
            <w:r>
              <w:rPr>
                <w:rFonts w:ascii="Times New Roman" w:hAnsi="Times New Roman"/>
                <w:b/>
                <w:color w:val="FFFFFF"/>
                <w:sz w:val="19"/>
              </w:rPr>
              <w:t>Explanation Method</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Mean Fidelity⁺ ↑</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Mean Fidelity⁻ ↓</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Edge Sparsity</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Feature Sparsity</w:t>
            </w:r>
          </w:p>
        </w:tc>
        <w:tc>
          <w:tcPr>
            <w:tcW w:type="dxa" w:w="1152"/>
            <w:shd w:fill="1E4E79"/>
            <w:tcMar>
              <w:top w:w="100" w:type="dxa"/>
              <w:bottom w:w="100" w:type="dxa"/>
              <w:left w:w="100" w:type="dxa"/>
              <w:right w:w="100" w:type="dxa"/>
            </w:tcMar>
          </w:tcPr>
          <w:p>
            <w:pPr>
              <w:spacing w:before="0" w:after="0"/>
              <w:jc w:val="left"/>
            </w:pPr>
            <w:r>
              <w:rPr>
                <w:rFonts w:ascii="Times New Roman" w:hAnsi="Times New Roman"/>
                <w:b/>
                <w:color w:val="FFFFFF"/>
                <w:sz w:val="19"/>
              </w:rPr>
              <w:t>Mean Latency (ms)</w:t>
            </w:r>
          </w:p>
        </w:tc>
        <w:tc>
          <w:tcPr>
            <w:tcW w:type="dxa" w:w="1152"/>
            <w:shd w:fill="1E4E79"/>
            <w:tcMar>
              <w:top w:w="100" w:type="dxa"/>
              <w:bottom w:w="100" w:type="dxa"/>
              <w:left w:w="100" w:type="dxa"/>
              <w:right w:w="100" w:type="dxa"/>
            </w:tcMar>
          </w:tcPr>
          <w:p>
            <w:pPr>
              <w:spacing w:before="0" w:after="0"/>
              <w:jc w:val="left"/>
            </w:pPr>
            <w:r>
              <w:rPr>
                <w:rFonts w:ascii="Times New Roman" w:hAnsi="Times New Roman"/>
                <w:b/>
                <w:color w:val="FFFFFF"/>
                <w:sz w:val="19"/>
              </w:rPr>
              <w:t>p95 Latency (ms)</w:t>
            </w:r>
          </w:p>
        </w:tc>
      </w:tr>
      <w:tr>
        <w:tc>
          <w:tcPr>
            <w:tcW w:type="dxa" w:w="2448"/>
            <w:shd w:fill="FFFFFF"/>
            <w:tcMar>
              <w:top w:w="80" w:type="dxa"/>
              <w:bottom w:w="80" w:type="dxa"/>
              <w:left w:w="100" w:type="dxa"/>
              <w:right w:w="100" w:type="dxa"/>
            </w:tcMar>
          </w:tcPr>
          <w:p>
            <w:pPr>
              <w:spacing w:before="0" w:after="0"/>
              <w:jc w:val="left"/>
            </w:pPr>
            <w:r>
              <w:rPr>
                <w:rFonts w:ascii="Times New Roman" w:hAnsi="Times New Roman"/>
                <w:b/>
                <w:sz w:val="19"/>
              </w:rPr>
              <w:t>GNNExplainer (Salient Subgraph)</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b/>
                <w:sz w:val="19"/>
              </w:rPr>
              <w:t>0.1470</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b/>
                <w:sz w:val="19"/>
              </w:rPr>
              <w:t>0.0069</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b/>
                <w:sz w:val="19"/>
              </w:rPr>
              <w:t>0.6842</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b/>
                <w:sz w:val="19"/>
              </w:rPr>
              <w:t>0.7333</w:t>
            </w:r>
          </w:p>
        </w:tc>
        <w:tc>
          <w:tcPr>
            <w:tcW w:type="dxa" w:w="1152"/>
            <w:shd w:fill="FFFFFF"/>
            <w:tcMar>
              <w:top w:w="80" w:type="dxa"/>
              <w:bottom w:w="80" w:type="dxa"/>
              <w:left w:w="100" w:type="dxa"/>
              <w:right w:w="100" w:type="dxa"/>
            </w:tcMar>
          </w:tcPr>
          <w:p>
            <w:pPr>
              <w:spacing w:before="0" w:after="0"/>
              <w:jc w:val="right"/>
            </w:pPr>
            <w:r>
              <w:rPr>
                <w:rFonts w:ascii="Times New Roman" w:hAnsi="Times New Roman"/>
                <w:sz w:val="19"/>
              </w:rPr>
              <w:t>292.25 ms</w:t>
            </w:r>
          </w:p>
        </w:tc>
        <w:tc>
          <w:tcPr>
            <w:tcW w:type="dxa" w:w="1152"/>
            <w:shd w:fill="FFFFFF"/>
            <w:tcMar>
              <w:top w:w="80" w:type="dxa"/>
              <w:bottom w:w="80" w:type="dxa"/>
              <w:left w:w="100" w:type="dxa"/>
              <w:right w:w="100" w:type="dxa"/>
            </w:tcMar>
          </w:tcPr>
          <w:p>
            <w:pPr>
              <w:spacing w:before="0" w:after="0"/>
              <w:jc w:val="right"/>
            </w:pPr>
            <w:r>
              <w:rPr>
                <w:rFonts w:ascii="Times New Roman" w:hAnsi="Times New Roman"/>
                <w:sz w:val="19"/>
              </w:rPr>
              <w:t>378.99 ms</w:t>
            </w:r>
          </w:p>
        </w:tc>
      </w:tr>
      <w:tr>
        <w:tc>
          <w:tcPr>
            <w:tcW w:type="dxa" w:w="2448"/>
            <w:shd w:fill="F7FAFC"/>
            <w:tcMar>
              <w:top w:w="80" w:type="dxa"/>
              <w:bottom w:w="80" w:type="dxa"/>
              <w:left w:w="100" w:type="dxa"/>
              <w:right w:w="100" w:type="dxa"/>
            </w:tcMar>
          </w:tcPr>
          <w:p>
            <w:pPr>
              <w:spacing w:before="0" w:after="0"/>
              <w:jc w:val="left"/>
            </w:pPr>
            <w:r>
              <w:rPr>
                <w:rFonts w:ascii="Times New Roman" w:hAnsi="Times New Roman"/>
                <w:sz w:val="19"/>
              </w:rPr>
              <w:t>GAT Attention Weights</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0.1069</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0.0141</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0.5000</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N/A</w:t>
            </w:r>
          </w:p>
        </w:tc>
        <w:tc>
          <w:tcPr>
            <w:tcW w:type="dxa" w:w="1152"/>
            <w:shd w:fill="F7FAFC"/>
            <w:tcMar>
              <w:top w:w="80" w:type="dxa"/>
              <w:bottom w:w="80" w:type="dxa"/>
              <w:left w:w="100" w:type="dxa"/>
              <w:right w:w="100" w:type="dxa"/>
            </w:tcMar>
          </w:tcPr>
          <w:p>
            <w:pPr>
              <w:spacing w:before="0" w:after="0"/>
              <w:jc w:val="right"/>
            </w:pPr>
            <w:r>
              <w:rPr>
                <w:rFonts w:ascii="Times New Roman" w:hAnsi="Times New Roman"/>
                <w:b/>
                <w:sz w:val="19"/>
              </w:rPr>
              <w:t>0.42 ms</w:t>
            </w:r>
          </w:p>
        </w:tc>
        <w:tc>
          <w:tcPr>
            <w:tcW w:type="dxa" w:w="1152"/>
            <w:shd w:fill="F7FAFC"/>
            <w:tcMar>
              <w:top w:w="80" w:type="dxa"/>
              <w:bottom w:w="80" w:type="dxa"/>
              <w:left w:w="100" w:type="dxa"/>
              <w:right w:w="100" w:type="dxa"/>
            </w:tcMar>
          </w:tcPr>
          <w:p>
            <w:pPr>
              <w:spacing w:before="0" w:after="0"/>
              <w:jc w:val="right"/>
            </w:pPr>
            <w:r>
              <w:rPr>
                <w:rFonts w:ascii="Times New Roman" w:hAnsi="Times New Roman"/>
                <w:b/>
                <w:sz w:val="19"/>
              </w:rPr>
              <w:t>0.65 ms</w:t>
            </w:r>
          </w:p>
        </w:tc>
      </w:tr>
      <w:tr>
        <w:tc>
          <w:tcPr>
            <w:tcW w:type="dxa" w:w="2448"/>
            <w:shd w:fill="FFFFFF"/>
            <w:tcMar>
              <w:top w:w="80" w:type="dxa"/>
              <w:bottom w:w="80" w:type="dxa"/>
              <w:left w:w="100" w:type="dxa"/>
              <w:right w:w="100" w:type="dxa"/>
            </w:tcMar>
          </w:tcPr>
          <w:p>
            <w:pPr>
              <w:spacing w:before="0" w:after="0"/>
              <w:jc w:val="left"/>
            </w:pPr>
            <w:r>
              <w:rPr>
                <w:rFonts w:ascii="Times New Roman" w:hAnsi="Times New Roman"/>
                <w:sz w:val="19"/>
              </w:rPr>
              <w:t>Random Mask Baseline</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0.0134</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0.1541</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0.5000</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0.5000</w:t>
            </w:r>
          </w:p>
        </w:tc>
        <w:tc>
          <w:tcPr>
            <w:tcW w:type="dxa" w:w="1152"/>
            <w:shd w:fill="FFFFFF"/>
            <w:tcMar>
              <w:top w:w="80" w:type="dxa"/>
              <w:bottom w:w="80" w:type="dxa"/>
              <w:left w:w="100" w:type="dxa"/>
              <w:right w:w="100" w:type="dxa"/>
            </w:tcMar>
          </w:tcPr>
          <w:p>
            <w:pPr>
              <w:spacing w:before="0" w:after="0"/>
              <w:jc w:val="right"/>
            </w:pPr>
            <w:r>
              <w:rPr>
                <w:rFonts w:ascii="Times New Roman" w:hAnsi="Times New Roman"/>
                <w:sz w:val="19"/>
              </w:rPr>
              <w:t>0.12 ms</w:t>
            </w:r>
          </w:p>
        </w:tc>
        <w:tc>
          <w:tcPr>
            <w:tcW w:type="dxa" w:w="1152"/>
            <w:shd w:fill="FFFFFF"/>
            <w:tcMar>
              <w:top w:w="80" w:type="dxa"/>
              <w:bottom w:w="80" w:type="dxa"/>
              <w:left w:w="100" w:type="dxa"/>
              <w:right w:w="100" w:type="dxa"/>
            </w:tcMar>
          </w:tcPr>
          <w:p>
            <w:pPr>
              <w:spacing w:before="0" w:after="0"/>
              <w:jc w:val="right"/>
            </w:pPr>
            <w:r>
              <w:rPr>
                <w:rFonts w:ascii="Times New Roman" w:hAnsi="Times New Roman"/>
                <w:sz w:val="19"/>
              </w:rPr>
              <w:t>0.18 ms</w:t>
            </w:r>
          </w:p>
        </w:tc>
      </w:tr>
    </w:tbl>
    <w:p>
      <w:pPr>
        <w:spacing w:before="0" w:after="120"/>
      </w:pPr>
    </w:p>
    <w:p>
      <w:pPr>
        <w:spacing w:before="0" w:after="120" w:line="276" w:lineRule="auto"/>
        <w:jc w:val="both"/>
      </w:pPr>
      <w:r>
        <w:rPr>
          <w:rFonts w:ascii="Times New Roman" w:hAnsi="Times New Roman"/>
          <w:sz w:val="22"/>
        </w:rPr>
        <w:t>Analysis: GNNExplainer achieves an exceptional Fidelity⁻ score of 0.0069, proving that the pruned salient subgraph G_s preserves over 99% of original fraud prediction confidence. Mean execution latency of 292.25 ms (p95 = 378.99 ms) operates well within the 500ms interactive UI budget.</w:t>
      </w:r>
    </w:p>
    <w:p>
      <w:pPr>
        <w:spacing w:before="200" w:after="80" w:line="276" w:lineRule="auto"/>
        <w:jc w:val="left"/>
      </w:pPr>
      <w:r>
        <w:rPr>
          <w:rFonts w:ascii="Times New Roman" w:hAnsi="Times New Roman"/>
          <w:b/>
          <w:color w:val="1E4E79"/>
          <w:sz w:val="24"/>
        </w:rPr>
        <w:t>6.6 EXP-06: Temporal Concept Drift &amp; Darknet Marketplace Shutdown Shock</w:t>
      </w:r>
    </w:p>
    <w:p>
      <w:pPr>
        <w:spacing w:before="0" w:after="120" w:line="276" w:lineRule="auto"/>
        <w:jc w:val="both"/>
      </w:pPr>
      <w:r>
        <w:rPr>
          <w:rFonts w:ascii="Times New Roman" w:hAnsi="Times New Roman"/>
          <w:sz w:val="22"/>
        </w:rPr>
        <w:t>We evaluated out-of-time model robustness across individual test timesteps t ∈ [40, 49], tracking performance across historical darknet marketplace takedowns (AlphaBay/Hansa seizures in mid-2017).</w:t>
      </w:r>
    </w:p>
    <w:p>
      <w:pPr>
        <w:spacing w:before="200" w:after="60" w:line="276" w:lineRule="auto"/>
        <w:jc w:val="left"/>
      </w:pPr>
      <w:r>
        <w:rPr>
          <w:rFonts w:ascii="Times New Roman" w:hAnsi="Times New Roman"/>
          <w:b/>
          <w:color w:val="1E4E79"/>
          <w:sz w:val="20"/>
        </w:rPr>
        <w:t>Table 8: EXP-06 Out-of-Time Performance Trajectory and Macro-Shock Dynamics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337"/>
        <w:gridCol w:w="1337"/>
        <w:gridCol w:w="1337"/>
        <w:gridCol w:w="1337"/>
        <w:gridCol w:w="1337"/>
        <w:gridCol w:w="1337"/>
        <w:gridCol w:w="1337"/>
      </w:tblGrid>
      <w:tr>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Timestep</w:t>
            </w:r>
          </w:p>
        </w:tc>
        <w:tc>
          <w:tcPr>
            <w:tcW w:type="dxa" w:w="1440"/>
            <w:shd w:fill="1E4E79"/>
            <w:tcMar>
              <w:top w:w="100" w:type="dxa"/>
              <w:bottom w:w="100" w:type="dxa"/>
              <w:left w:w="100" w:type="dxa"/>
              <w:right w:w="100" w:type="dxa"/>
            </w:tcMar>
          </w:tcPr>
          <w:p>
            <w:pPr>
              <w:spacing w:before="0" w:after="0"/>
              <w:jc w:val="left"/>
            </w:pPr>
            <w:r>
              <w:rPr>
                <w:rFonts w:ascii="Times New Roman" w:hAnsi="Times New Roman"/>
                <w:b/>
                <w:color w:val="FFFFFF"/>
                <w:sz w:val="19"/>
              </w:rPr>
              <w:t>Epoch Regime</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Total Nodes</w:t>
            </w:r>
          </w:p>
        </w:tc>
        <w:tc>
          <w:tcPr>
            <w:tcW w:type="dxa" w:w="1296"/>
            <w:shd w:fill="1E4E79"/>
            <w:tcMar>
              <w:top w:w="100" w:type="dxa"/>
              <w:bottom w:w="100" w:type="dxa"/>
              <w:left w:w="100" w:type="dxa"/>
              <w:right w:w="100" w:type="dxa"/>
            </w:tcMar>
          </w:tcPr>
          <w:p>
            <w:pPr>
              <w:spacing w:before="0" w:after="0"/>
              <w:jc w:val="center"/>
            </w:pPr>
            <w:r>
              <w:rPr>
                <w:rFonts w:ascii="Times New Roman" w:hAnsi="Times New Roman"/>
                <w:b/>
                <w:color w:val="FFFFFF"/>
                <w:sz w:val="19"/>
              </w:rPr>
              <w:t>Illicit Prev (%)</w:t>
            </w:r>
          </w:p>
        </w:tc>
        <w:tc>
          <w:tcPr>
            <w:tcW w:type="dxa" w:w="1440"/>
            <w:shd w:fill="1E4E79"/>
            <w:tcMar>
              <w:top w:w="100" w:type="dxa"/>
              <w:bottom w:w="100" w:type="dxa"/>
              <w:left w:w="100" w:type="dxa"/>
              <w:right w:w="100" w:type="dxa"/>
            </w:tcMar>
          </w:tcPr>
          <w:p>
            <w:pPr>
              <w:spacing w:before="0" w:after="0"/>
              <w:jc w:val="center"/>
            </w:pPr>
            <w:r>
              <w:rPr>
                <w:rFonts w:ascii="Times New Roman" w:hAnsi="Times New Roman"/>
                <w:b/>
                <w:color w:val="FFFFFF"/>
                <w:sz w:val="19"/>
              </w:rPr>
              <w:t>GraphSAGE F1</w:t>
            </w:r>
          </w:p>
        </w:tc>
        <w:tc>
          <w:tcPr>
            <w:tcW w:type="dxa" w:w="1440"/>
            <w:shd w:fill="1E4E79"/>
            <w:tcMar>
              <w:top w:w="100" w:type="dxa"/>
              <w:bottom w:w="100" w:type="dxa"/>
              <w:left w:w="100" w:type="dxa"/>
              <w:right w:w="100" w:type="dxa"/>
            </w:tcMar>
          </w:tcPr>
          <w:p>
            <w:pPr>
              <w:spacing w:before="0" w:after="0"/>
              <w:jc w:val="center"/>
            </w:pPr>
            <w:r>
              <w:rPr>
                <w:rFonts w:ascii="Times New Roman" w:hAnsi="Times New Roman"/>
                <w:b/>
                <w:color w:val="FFFFFF"/>
                <w:sz w:val="19"/>
              </w:rPr>
              <w:t>GraphSAGE PR-AUC</w:t>
            </w:r>
          </w:p>
        </w:tc>
        <w:tc>
          <w:tcPr>
            <w:tcW w:type="dxa" w:w="1440"/>
            <w:shd w:fill="1E4E79"/>
            <w:tcMar>
              <w:top w:w="100" w:type="dxa"/>
              <w:bottom w:w="100" w:type="dxa"/>
              <w:left w:w="100" w:type="dxa"/>
              <w:right w:w="100" w:type="dxa"/>
            </w:tcMar>
          </w:tcPr>
          <w:p>
            <w:pPr>
              <w:spacing w:before="0" w:after="0"/>
              <w:jc w:val="left"/>
            </w:pPr>
            <w:r>
              <w:rPr>
                <w:rFonts w:ascii="Times New Roman" w:hAnsi="Times New Roman"/>
                <w:b/>
                <w:color w:val="FFFFFF"/>
                <w:sz w:val="19"/>
              </w:rPr>
              <w:t>Regime Status</w:t>
            </w:r>
          </w:p>
        </w:tc>
      </w:tr>
      <w:tr>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t = 40</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Pre-Shock</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4,375</w:t>
            </w:r>
          </w:p>
        </w:tc>
        <w:tc>
          <w:tcPr>
            <w:tcW w:type="dxa" w:w="1296"/>
            <w:shd w:fill="FFFFFF"/>
            <w:tcMar>
              <w:top w:w="80" w:type="dxa"/>
              <w:bottom w:w="80" w:type="dxa"/>
              <w:left w:w="100" w:type="dxa"/>
              <w:right w:w="100" w:type="dxa"/>
            </w:tcMar>
          </w:tcPr>
          <w:p>
            <w:pPr>
              <w:spacing w:before="0" w:after="0"/>
              <w:jc w:val="center"/>
            </w:pPr>
            <w:r>
              <w:rPr>
                <w:rFonts w:ascii="Times New Roman" w:hAnsi="Times New Roman"/>
                <w:sz w:val="19"/>
              </w:rPr>
              <w:t>10.98%</w:t>
            </w:r>
          </w:p>
        </w:tc>
        <w:tc>
          <w:tcPr>
            <w:tcW w:type="dxa" w:w="1440"/>
            <w:shd w:fill="FFFFFF"/>
            <w:tcMar>
              <w:top w:w="80" w:type="dxa"/>
              <w:bottom w:w="80" w:type="dxa"/>
              <w:left w:w="100" w:type="dxa"/>
              <w:right w:w="100" w:type="dxa"/>
            </w:tcMar>
          </w:tcPr>
          <w:p>
            <w:pPr>
              <w:spacing w:before="0" w:after="0"/>
              <w:jc w:val="center"/>
            </w:pPr>
            <w:r>
              <w:rPr>
                <w:rFonts w:ascii="Times New Roman" w:hAnsi="Times New Roman"/>
                <w:sz w:val="19"/>
              </w:rPr>
              <w:t>0.7586</w:t>
            </w:r>
          </w:p>
        </w:tc>
        <w:tc>
          <w:tcPr>
            <w:tcW w:type="dxa" w:w="1440"/>
            <w:shd w:fill="FFFFFF"/>
            <w:tcMar>
              <w:top w:w="80" w:type="dxa"/>
              <w:bottom w:w="80" w:type="dxa"/>
              <w:left w:w="100" w:type="dxa"/>
              <w:right w:w="100" w:type="dxa"/>
            </w:tcMar>
          </w:tcPr>
          <w:p>
            <w:pPr>
              <w:spacing w:before="0" w:after="0"/>
              <w:jc w:val="center"/>
            </w:pPr>
            <w:r>
              <w:rPr>
                <w:rFonts w:ascii="Times New Roman" w:hAnsi="Times New Roman"/>
                <w:sz w:val="19"/>
              </w:rPr>
              <w:t>0.7915</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Normal Operation</w:t>
            </w:r>
          </w:p>
        </w:tc>
      </w:tr>
      <w:tr>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t = 41</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Pre-Shock</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4,201</w:t>
            </w:r>
          </w:p>
        </w:tc>
        <w:tc>
          <w:tcPr>
            <w:tcW w:type="dxa" w:w="1296"/>
            <w:shd w:fill="F7FAFC"/>
            <w:tcMar>
              <w:top w:w="80" w:type="dxa"/>
              <w:bottom w:w="80" w:type="dxa"/>
              <w:left w:w="100" w:type="dxa"/>
              <w:right w:w="100" w:type="dxa"/>
            </w:tcMar>
          </w:tcPr>
          <w:p>
            <w:pPr>
              <w:spacing w:before="0" w:after="0"/>
              <w:jc w:val="center"/>
            </w:pPr>
            <w:r>
              <w:rPr>
                <w:rFonts w:ascii="Times New Roman" w:hAnsi="Times New Roman"/>
                <w:sz w:val="19"/>
              </w:rPr>
              <w:t>9.23%</w:t>
            </w:r>
          </w:p>
        </w:tc>
        <w:tc>
          <w:tcPr>
            <w:tcW w:type="dxa" w:w="1440"/>
            <w:shd w:fill="F7FAFC"/>
            <w:tcMar>
              <w:top w:w="80" w:type="dxa"/>
              <w:bottom w:w="80" w:type="dxa"/>
              <w:left w:w="100" w:type="dxa"/>
              <w:right w:w="100" w:type="dxa"/>
            </w:tcMar>
          </w:tcPr>
          <w:p>
            <w:pPr>
              <w:spacing w:before="0" w:after="0"/>
              <w:jc w:val="center"/>
            </w:pPr>
            <w:r>
              <w:rPr>
                <w:rFonts w:ascii="Times New Roman" w:hAnsi="Times New Roman"/>
                <w:sz w:val="19"/>
              </w:rPr>
              <w:t>0.4444</w:t>
            </w:r>
          </w:p>
        </w:tc>
        <w:tc>
          <w:tcPr>
            <w:tcW w:type="dxa" w:w="1440"/>
            <w:shd w:fill="F7FAFC"/>
            <w:tcMar>
              <w:top w:w="80" w:type="dxa"/>
              <w:bottom w:w="80" w:type="dxa"/>
              <w:left w:w="100" w:type="dxa"/>
              <w:right w:w="100" w:type="dxa"/>
            </w:tcMar>
          </w:tcPr>
          <w:p>
            <w:pPr>
              <w:spacing w:before="0" w:after="0"/>
              <w:jc w:val="center"/>
            </w:pPr>
            <w:r>
              <w:rPr>
                <w:rFonts w:ascii="Times New Roman" w:hAnsi="Times New Roman"/>
                <w:sz w:val="19"/>
              </w:rPr>
              <w:t>0.4820</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Pre-Shock Descent</w:t>
            </w:r>
          </w:p>
        </w:tc>
      </w:tr>
      <w:tr>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t = 42</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Pre-Shock</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4,150</w:t>
            </w:r>
          </w:p>
        </w:tc>
        <w:tc>
          <w:tcPr>
            <w:tcW w:type="dxa" w:w="1296"/>
            <w:shd w:fill="FFFFFF"/>
            <w:tcMar>
              <w:top w:w="80" w:type="dxa"/>
              <w:bottom w:w="80" w:type="dxa"/>
              <w:left w:w="100" w:type="dxa"/>
              <w:right w:w="100" w:type="dxa"/>
            </w:tcMar>
          </w:tcPr>
          <w:p>
            <w:pPr>
              <w:spacing w:before="0" w:after="0"/>
              <w:jc w:val="center"/>
            </w:pPr>
            <w:r>
              <w:rPr>
                <w:rFonts w:ascii="Times New Roman" w:hAnsi="Times New Roman"/>
                <w:sz w:val="19"/>
              </w:rPr>
              <w:t>10.38%</w:t>
            </w:r>
          </w:p>
        </w:tc>
        <w:tc>
          <w:tcPr>
            <w:tcW w:type="dxa" w:w="1440"/>
            <w:shd w:fill="FFFFFF"/>
            <w:tcMar>
              <w:top w:w="80" w:type="dxa"/>
              <w:bottom w:w="80" w:type="dxa"/>
              <w:left w:w="100" w:type="dxa"/>
              <w:right w:w="100" w:type="dxa"/>
            </w:tcMar>
          </w:tcPr>
          <w:p>
            <w:pPr>
              <w:spacing w:before="0" w:after="0"/>
              <w:jc w:val="center"/>
            </w:pPr>
            <w:r>
              <w:rPr>
                <w:rFonts w:ascii="Times New Roman" w:hAnsi="Times New Roman"/>
                <w:sz w:val="19"/>
              </w:rPr>
              <w:t>0.7113</w:t>
            </w:r>
          </w:p>
        </w:tc>
        <w:tc>
          <w:tcPr>
            <w:tcW w:type="dxa" w:w="1440"/>
            <w:shd w:fill="FFFFFF"/>
            <w:tcMar>
              <w:top w:w="80" w:type="dxa"/>
              <w:bottom w:w="80" w:type="dxa"/>
              <w:left w:w="100" w:type="dxa"/>
              <w:right w:w="100" w:type="dxa"/>
            </w:tcMar>
          </w:tcPr>
          <w:p>
            <w:pPr>
              <w:spacing w:before="0" w:after="0"/>
              <w:jc w:val="center"/>
            </w:pPr>
            <w:r>
              <w:rPr>
                <w:rFonts w:ascii="Times New Roman" w:hAnsi="Times New Roman"/>
                <w:sz w:val="19"/>
              </w:rPr>
              <w:t>0.6789</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Normal Operation</w:t>
            </w:r>
          </w:p>
        </w:tc>
      </w:tr>
      <w:tr>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t = 43</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Shock Period</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4,320</w:t>
            </w:r>
          </w:p>
        </w:tc>
        <w:tc>
          <w:tcPr>
            <w:tcW w:type="dxa" w:w="1296"/>
            <w:shd w:fill="F7FAFC"/>
            <w:tcMar>
              <w:top w:w="80" w:type="dxa"/>
              <w:bottom w:w="80" w:type="dxa"/>
              <w:left w:w="100" w:type="dxa"/>
              <w:right w:w="100" w:type="dxa"/>
            </w:tcMar>
          </w:tcPr>
          <w:p>
            <w:pPr>
              <w:spacing w:before="0" w:after="0"/>
              <w:jc w:val="center"/>
            </w:pPr>
            <w:r>
              <w:rPr>
                <w:rFonts w:ascii="Times New Roman" w:hAnsi="Times New Roman"/>
                <w:sz w:val="19"/>
              </w:rPr>
              <w:t>1.34%</w:t>
            </w:r>
          </w:p>
        </w:tc>
        <w:tc>
          <w:tcPr>
            <w:tcW w:type="dxa" w:w="1440"/>
            <w:shd w:fill="F7FAFC"/>
            <w:tcMar>
              <w:top w:w="80" w:type="dxa"/>
              <w:bottom w:w="80" w:type="dxa"/>
              <w:left w:w="100" w:type="dxa"/>
              <w:right w:w="100" w:type="dxa"/>
            </w:tcMar>
          </w:tcPr>
          <w:p>
            <w:pPr>
              <w:spacing w:before="0" w:after="0"/>
              <w:jc w:val="center"/>
            </w:pPr>
            <w:r>
              <w:rPr>
                <w:rFonts w:ascii="Times New Roman" w:hAnsi="Times New Roman"/>
                <w:sz w:val="19"/>
              </w:rPr>
              <w:t>0.0000</w:t>
            </w:r>
          </w:p>
        </w:tc>
        <w:tc>
          <w:tcPr>
            <w:tcW w:type="dxa" w:w="1440"/>
            <w:shd w:fill="F7FAFC"/>
            <w:tcMar>
              <w:top w:w="80" w:type="dxa"/>
              <w:bottom w:w="80" w:type="dxa"/>
              <w:left w:w="100" w:type="dxa"/>
              <w:right w:w="100" w:type="dxa"/>
            </w:tcMar>
          </w:tcPr>
          <w:p>
            <w:pPr>
              <w:spacing w:before="0" w:after="0"/>
              <w:jc w:val="center"/>
            </w:pPr>
            <w:r>
              <w:rPr>
                <w:rFonts w:ascii="Times New Roman" w:hAnsi="Times New Roman"/>
                <w:sz w:val="19"/>
              </w:rPr>
              <w:t>0.0899</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Structural Shock</w:t>
            </w:r>
          </w:p>
        </w:tc>
      </w:tr>
      <w:tr>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t = 44</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Shock Period</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4,280</w:t>
            </w:r>
          </w:p>
        </w:tc>
        <w:tc>
          <w:tcPr>
            <w:tcW w:type="dxa" w:w="1296"/>
            <w:shd w:fill="FFFFFF"/>
            <w:tcMar>
              <w:top w:w="80" w:type="dxa"/>
              <w:bottom w:w="80" w:type="dxa"/>
              <w:left w:w="100" w:type="dxa"/>
              <w:right w:w="100" w:type="dxa"/>
            </w:tcMar>
          </w:tcPr>
          <w:p>
            <w:pPr>
              <w:spacing w:before="0" w:after="0"/>
              <w:jc w:val="center"/>
            </w:pPr>
            <w:r>
              <w:rPr>
                <w:rFonts w:ascii="Times New Roman" w:hAnsi="Times New Roman"/>
                <w:sz w:val="19"/>
              </w:rPr>
              <w:t>1.48%</w:t>
            </w:r>
          </w:p>
        </w:tc>
        <w:tc>
          <w:tcPr>
            <w:tcW w:type="dxa" w:w="1440"/>
            <w:shd w:fill="FFFFFF"/>
            <w:tcMar>
              <w:top w:w="80" w:type="dxa"/>
              <w:bottom w:w="80" w:type="dxa"/>
              <w:left w:w="100" w:type="dxa"/>
              <w:right w:w="100" w:type="dxa"/>
            </w:tcMar>
          </w:tcPr>
          <w:p>
            <w:pPr>
              <w:spacing w:before="0" w:after="0"/>
              <w:jc w:val="center"/>
            </w:pPr>
            <w:r>
              <w:rPr>
                <w:rFonts w:ascii="Times New Roman" w:hAnsi="Times New Roman"/>
                <w:sz w:val="19"/>
              </w:rPr>
              <w:t>0.0000</w:t>
            </w:r>
          </w:p>
        </w:tc>
        <w:tc>
          <w:tcPr>
            <w:tcW w:type="dxa" w:w="1440"/>
            <w:shd w:fill="FFFFFF"/>
            <w:tcMar>
              <w:top w:w="80" w:type="dxa"/>
              <w:bottom w:w="80" w:type="dxa"/>
              <w:left w:w="100" w:type="dxa"/>
              <w:right w:w="100" w:type="dxa"/>
            </w:tcMar>
          </w:tcPr>
          <w:p>
            <w:pPr>
              <w:spacing w:before="0" w:after="0"/>
              <w:jc w:val="center"/>
            </w:pPr>
            <w:r>
              <w:rPr>
                <w:rFonts w:ascii="Times New Roman" w:hAnsi="Times New Roman"/>
                <w:sz w:val="19"/>
              </w:rPr>
              <w:t>0.0617</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Structural Shock</w:t>
            </w:r>
          </w:p>
        </w:tc>
      </w:tr>
      <w:tr>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t = 45</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Shock Period</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4,190</w:t>
            </w:r>
          </w:p>
        </w:tc>
        <w:tc>
          <w:tcPr>
            <w:tcW w:type="dxa" w:w="1296"/>
            <w:shd w:fill="F7FAFC"/>
            <w:tcMar>
              <w:top w:w="80" w:type="dxa"/>
              <w:bottom w:w="80" w:type="dxa"/>
              <w:left w:w="100" w:type="dxa"/>
              <w:right w:w="100" w:type="dxa"/>
            </w:tcMar>
          </w:tcPr>
          <w:p>
            <w:pPr>
              <w:spacing w:before="0" w:after="0"/>
              <w:jc w:val="center"/>
            </w:pPr>
            <w:r>
              <w:rPr>
                <w:rFonts w:ascii="Times New Roman" w:hAnsi="Times New Roman"/>
                <w:sz w:val="19"/>
              </w:rPr>
              <w:t>0.88%</w:t>
            </w:r>
          </w:p>
        </w:tc>
        <w:tc>
          <w:tcPr>
            <w:tcW w:type="dxa" w:w="1440"/>
            <w:shd w:fill="F7FAFC"/>
            <w:tcMar>
              <w:top w:w="80" w:type="dxa"/>
              <w:bottom w:w="80" w:type="dxa"/>
              <w:left w:w="100" w:type="dxa"/>
              <w:right w:w="100" w:type="dxa"/>
            </w:tcMar>
          </w:tcPr>
          <w:p>
            <w:pPr>
              <w:spacing w:before="0" w:after="0"/>
              <w:jc w:val="center"/>
            </w:pPr>
            <w:r>
              <w:rPr>
                <w:rFonts w:ascii="Times New Roman" w:hAnsi="Times New Roman"/>
                <w:sz w:val="19"/>
              </w:rPr>
              <w:t>0.0000</w:t>
            </w:r>
          </w:p>
        </w:tc>
        <w:tc>
          <w:tcPr>
            <w:tcW w:type="dxa" w:w="1440"/>
            <w:shd w:fill="F7FAFC"/>
            <w:tcMar>
              <w:top w:w="80" w:type="dxa"/>
              <w:bottom w:w="80" w:type="dxa"/>
              <w:left w:w="100" w:type="dxa"/>
              <w:right w:w="100" w:type="dxa"/>
            </w:tcMar>
          </w:tcPr>
          <w:p>
            <w:pPr>
              <w:spacing w:before="0" w:after="0"/>
              <w:jc w:val="center"/>
            </w:pPr>
            <w:r>
              <w:rPr>
                <w:rFonts w:ascii="Times New Roman" w:hAnsi="Times New Roman"/>
                <w:sz w:val="19"/>
              </w:rPr>
              <w:t>0.0248</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Structural Shock</w:t>
            </w:r>
          </w:p>
        </w:tc>
      </w:tr>
      <w:tr>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t = 46</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Shock Period</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4,100</w:t>
            </w:r>
          </w:p>
        </w:tc>
        <w:tc>
          <w:tcPr>
            <w:tcW w:type="dxa" w:w="1296"/>
            <w:shd w:fill="FFFFFF"/>
            <w:tcMar>
              <w:top w:w="80" w:type="dxa"/>
              <w:bottom w:w="80" w:type="dxa"/>
              <w:left w:w="100" w:type="dxa"/>
              <w:right w:w="100" w:type="dxa"/>
            </w:tcMar>
          </w:tcPr>
          <w:p>
            <w:pPr>
              <w:spacing w:before="0" w:after="0"/>
              <w:jc w:val="center"/>
            </w:pPr>
            <w:r>
              <w:rPr>
                <w:rFonts w:ascii="Times New Roman" w:hAnsi="Times New Roman"/>
                <w:b/>
                <w:sz w:val="19"/>
              </w:rPr>
              <w:t>0.28%</w:t>
            </w:r>
          </w:p>
        </w:tc>
        <w:tc>
          <w:tcPr>
            <w:tcW w:type="dxa" w:w="1440"/>
            <w:shd w:fill="FFFFFF"/>
            <w:tcMar>
              <w:top w:w="80" w:type="dxa"/>
              <w:bottom w:w="80" w:type="dxa"/>
              <w:left w:w="100" w:type="dxa"/>
              <w:right w:w="100" w:type="dxa"/>
            </w:tcMar>
          </w:tcPr>
          <w:p>
            <w:pPr>
              <w:spacing w:before="0" w:after="0"/>
              <w:jc w:val="center"/>
            </w:pPr>
            <w:r>
              <w:rPr>
                <w:rFonts w:ascii="Times New Roman" w:hAnsi="Times New Roman"/>
                <w:b/>
                <w:sz w:val="19"/>
              </w:rPr>
              <w:t>0.0000</w:t>
            </w:r>
          </w:p>
        </w:tc>
        <w:tc>
          <w:tcPr>
            <w:tcW w:type="dxa" w:w="1440"/>
            <w:shd w:fill="FFFFFF"/>
            <w:tcMar>
              <w:top w:w="80" w:type="dxa"/>
              <w:bottom w:w="80" w:type="dxa"/>
              <w:left w:w="100" w:type="dxa"/>
              <w:right w:w="100" w:type="dxa"/>
            </w:tcMar>
          </w:tcPr>
          <w:p>
            <w:pPr>
              <w:spacing w:before="0" w:after="0"/>
              <w:jc w:val="center"/>
            </w:pPr>
            <w:r>
              <w:rPr>
                <w:rFonts w:ascii="Times New Roman" w:hAnsi="Times New Roman"/>
                <w:sz w:val="19"/>
              </w:rPr>
              <w:t>0.0098</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Nadir of Shock</w:t>
            </w:r>
          </w:p>
        </w:tc>
      </w:tr>
      <w:tr>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t = 47</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Post-Shock</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4,450</w:t>
            </w:r>
          </w:p>
        </w:tc>
        <w:tc>
          <w:tcPr>
            <w:tcW w:type="dxa" w:w="1296"/>
            <w:shd w:fill="F7FAFC"/>
            <w:tcMar>
              <w:top w:w="80" w:type="dxa"/>
              <w:bottom w:w="80" w:type="dxa"/>
              <w:left w:w="100" w:type="dxa"/>
              <w:right w:w="100" w:type="dxa"/>
            </w:tcMar>
          </w:tcPr>
          <w:p>
            <w:pPr>
              <w:spacing w:before="0" w:after="0"/>
              <w:jc w:val="center"/>
            </w:pPr>
            <w:r>
              <w:rPr>
                <w:rFonts w:ascii="Times New Roman" w:hAnsi="Times New Roman"/>
                <w:sz w:val="19"/>
              </w:rPr>
              <w:t>8.16%</w:t>
            </w:r>
          </w:p>
        </w:tc>
        <w:tc>
          <w:tcPr>
            <w:tcW w:type="dxa" w:w="1440"/>
            <w:shd w:fill="F7FAFC"/>
            <w:tcMar>
              <w:top w:w="80" w:type="dxa"/>
              <w:bottom w:w="80" w:type="dxa"/>
              <w:left w:w="100" w:type="dxa"/>
              <w:right w:w="100" w:type="dxa"/>
            </w:tcMar>
          </w:tcPr>
          <w:p>
            <w:pPr>
              <w:spacing w:before="0" w:after="0"/>
              <w:jc w:val="center"/>
            </w:pPr>
            <w:r>
              <w:rPr>
                <w:rFonts w:ascii="Times New Roman" w:hAnsi="Times New Roman"/>
                <w:sz w:val="19"/>
              </w:rPr>
              <w:t>0.0000</w:t>
            </w:r>
          </w:p>
        </w:tc>
        <w:tc>
          <w:tcPr>
            <w:tcW w:type="dxa" w:w="1440"/>
            <w:shd w:fill="F7FAFC"/>
            <w:tcMar>
              <w:top w:w="80" w:type="dxa"/>
              <w:bottom w:w="80" w:type="dxa"/>
              <w:left w:w="100" w:type="dxa"/>
              <w:right w:w="100" w:type="dxa"/>
            </w:tcMar>
          </w:tcPr>
          <w:p>
            <w:pPr>
              <w:spacing w:before="0" w:after="0"/>
              <w:jc w:val="center"/>
            </w:pPr>
            <w:r>
              <w:rPr>
                <w:rFonts w:ascii="Times New Roman" w:hAnsi="Times New Roman"/>
                <w:sz w:val="19"/>
              </w:rPr>
              <w:t>0.1177</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Topological Shift</w:t>
            </w:r>
          </w:p>
        </w:tc>
      </w:tr>
      <w:tr>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t = 48</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Post-Shock</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4,380</w:t>
            </w:r>
          </w:p>
        </w:tc>
        <w:tc>
          <w:tcPr>
            <w:tcW w:type="dxa" w:w="1296"/>
            <w:shd w:fill="FFFFFF"/>
            <w:tcMar>
              <w:top w:w="80" w:type="dxa"/>
              <w:bottom w:w="80" w:type="dxa"/>
              <w:left w:w="100" w:type="dxa"/>
              <w:right w:w="100" w:type="dxa"/>
            </w:tcMar>
          </w:tcPr>
          <w:p>
            <w:pPr>
              <w:spacing w:before="0" w:after="0"/>
              <w:jc w:val="center"/>
            </w:pPr>
            <w:r>
              <w:rPr>
                <w:rFonts w:ascii="Times New Roman" w:hAnsi="Times New Roman"/>
                <w:sz w:val="19"/>
              </w:rPr>
              <w:t>8.91%</w:t>
            </w:r>
          </w:p>
        </w:tc>
        <w:tc>
          <w:tcPr>
            <w:tcW w:type="dxa" w:w="1440"/>
            <w:shd w:fill="FFFFFF"/>
            <w:tcMar>
              <w:top w:w="80" w:type="dxa"/>
              <w:bottom w:w="80" w:type="dxa"/>
              <w:left w:w="100" w:type="dxa"/>
              <w:right w:w="100" w:type="dxa"/>
            </w:tcMar>
          </w:tcPr>
          <w:p>
            <w:pPr>
              <w:spacing w:before="0" w:after="0"/>
              <w:jc w:val="center"/>
            </w:pPr>
            <w:r>
              <w:rPr>
                <w:rFonts w:ascii="Times New Roman" w:hAnsi="Times New Roman"/>
                <w:sz w:val="19"/>
              </w:rPr>
              <w:t>0.0000</w:t>
            </w:r>
          </w:p>
        </w:tc>
        <w:tc>
          <w:tcPr>
            <w:tcW w:type="dxa" w:w="1440"/>
            <w:shd w:fill="FFFFFF"/>
            <w:tcMar>
              <w:top w:w="80" w:type="dxa"/>
              <w:bottom w:w="80" w:type="dxa"/>
              <w:left w:w="100" w:type="dxa"/>
              <w:right w:w="100" w:type="dxa"/>
            </w:tcMar>
          </w:tcPr>
          <w:p>
            <w:pPr>
              <w:spacing w:before="0" w:after="0"/>
              <w:jc w:val="center"/>
            </w:pPr>
            <w:r>
              <w:rPr>
                <w:rFonts w:ascii="Times New Roman" w:hAnsi="Times New Roman"/>
                <w:sz w:val="19"/>
              </w:rPr>
              <w:t>0.2036</w:t>
            </w:r>
          </w:p>
        </w:tc>
        <w:tc>
          <w:tcPr>
            <w:tcW w:type="dxa" w:w="1440"/>
            <w:shd w:fill="FFFFFF"/>
            <w:tcMar>
              <w:top w:w="80" w:type="dxa"/>
              <w:bottom w:w="80" w:type="dxa"/>
              <w:left w:w="100" w:type="dxa"/>
              <w:right w:w="100" w:type="dxa"/>
            </w:tcMar>
          </w:tcPr>
          <w:p>
            <w:pPr>
              <w:spacing w:before="0" w:after="0"/>
              <w:jc w:val="left"/>
            </w:pPr>
            <w:r>
              <w:rPr>
                <w:rFonts w:ascii="Times New Roman" w:hAnsi="Times New Roman"/>
                <w:sz w:val="19"/>
              </w:rPr>
              <w:t>Topological Shift</w:t>
            </w:r>
          </w:p>
        </w:tc>
      </w:tr>
      <w:tr>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t = 49</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Post-Shock</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4,384</w:t>
            </w:r>
          </w:p>
        </w:tc>
        <w:tc>
          <w:tcPr>
            <w:tcW w:type="dxa" w:w="1296"/>
            <w:shd w:fill="F7FAFC"/>
            <w:tcMar>
              <w:top w:w="80" w:type="dxa"/>
              <w:bottom w:w="80" w:type="dxa"/>
              <w:left w:w="100" w:type="dxa"/>
              <w:right w:w="100" w:type="dxa"/>
            </w:tcMar>
          </w:tcPr>
          <w:p>
            <w:pPr>
              <w:spacing w:before="0" w:after="0"/>
              <w:jc w:val="center"/>
            </w:pPr>
            <w:r>
              <w:rPr>
                <w:rFonts w:ascii="Times New Roman" w:hAnsi="Times New Roman"/>
                <w:sz w:val="19"/>
              </w:rPr>
              <w:t>4.93%</w:t>
            </w:r>
          </w:p>
        </w:tc>
        <w:tc>
          <w:tcPr>
            <w:tcW w:type="dxa" w:w="1440"/>
            <w:shd w:fill="F7FAFC"/>
            <w:tcMar>
              <w:top w:w="80" w:type="dxa"/>
              <w:bottom w:w="80" w:type="dxa"/>
              <w:left w:w="100" w:type="dxa"/>
              <w:right w:w="100" w:type="dxa"/>
            </w:tcMar>
          </w:tcPr>
          <w:p>
            <w:pPr>
              <w:spacing w:before="0" w:after="0"/>
              <w:jc w:val="center"/>
            </w:pPr>
            <w:r>
              <w:rPr>
                <w:rFonts w:ascii="Times New Roman" w:hAnsi="Times New Roman"/>
                <w:sz w:val="19"/>
              </w:rPr>
              <w:t>0.0000</w:t>
            </w:r>
          </w:p>
        </w:tc>
        <w:tc>
          <w:tcPr>
            <w:tcW w:type="dxa" w:w="1440"/>
            <w:shd w:fill="F7FAFC"/>
            <w:tcMar>
              <w:top w:w="80" w:type="dxa"/>
              <w:bottom w:w="80" w:type="dxa"/>
              <w:left w:w="100" w:type="dxa"/>
              <w:right w:w="100" w:type="dxa"/>
            </w:tcMar>
          </w:tcPr>
          <w:p>
            <w:pPr>
              <w:spacing w:before="0" w:after="0"/>
              <w:jc w:val="center"/>
            </w:pPr>
            <w:r>
              <w:rPr>
                <w:rFonts w:ascii="Times New Roman" w:hAnsi="Times New Roman"/>
                <w:sz w:val="19"/>
              </w:rPr>
              <w:t>0.0847</w:t>
            </w:r>
          </w:p>
        </w:tc>
        <w:tc>
          <w:tcPr>
            <w:tcW w:type="dxa" w:w="1440"/>
            <w:shd w:fill="F7FAFC"/>
            <w:tcMar>
              <w:top w:w="80" w:type="dxa"/>
              <w:bottom w:w="80" w:type="dxa"/>
              <w:left w:w="100" w:type="dxa"/>
              <w:right w:w="100" w:type="dxa"/>
            </w:tcMar>
          </w:tcPr>
          <w:p>
            <w:pPr>
              <w:spacing w:before="0" w:after="0"/>
              <w:jc w:val="left"/>
            </w:pPr>
            <w:r>
              <w:rPr>
                <w:rFonts w:ascii="Times New Roman" w:hAnsi="Times New Roman"/>
                <w:sz w:val="19"/>
              </w:rPr>
              <w:t>Topological Shift</w:t>
            </w:r>
          </w:p>
        </w:tc>
      </w:tr>
    </w:tbl>
    <w:p>
      <w:pPr>
        <w:spacing w:before="0" w:after="120"/>
      </w:pPr>
    </w:p>
    <w:p>
      <w:pPr>
        <w:spacing w:before="0" w:after="120" w:line="276" w:lineRule="auto"/>
        <w:jc w:val="both"/>
      </w:pPr>
      <w:r>
        <w:rPr>
          <w:rFonts w:ascii="Times New Roman" w:hAnsi="Times New Roman"/>
          <w:sz w:val="22"/>
        </w:rPr>
        <w:t>Macro-Regime Summary: Pre-shock timesteps (t ∈ [40, 42], Mean Prev = 10.20%) exhibit strong topological detection (Mean F1 = 0.6381, PR-AUC = 0.6508). During the shock period (t ∈ [43, 46]), illicit prevalence collapses to 0.99% (nadir 0.28% at t = 46), causing topological F1 to collapse to 0.0000. Illicit subgraphs fragmented into isolated nodes, breaking multi-hop message passing.</w:t>
      </w:r>
    </w:p>
    <w:p>
      <w:pPr>
        <w:spacing w:before="200" w:after="80" w:line="276" w:lineRule="auto"/>
        <w:jc w:val="left"/>
      </w:pPr>
      <w:r>
        <w:rPr>
          <w:rFonts w:ascii="Times New Roman" w:hAnsi="Times New Roman"/>
          <w:b/>
          <w:color w:val="1E4E79"/>
          <w:sz w:val="24"/>
        </w:rPr>
        <w:t>6.7 EXP-07: Human-in-the-Loop Active Learning Benchmark</w:t>
      </w:r>
    </w:p>
    <w:p>
      <w:pPr>
        <w:spacing w:before="0" w:after="120" w:line="276" w:lineRule="auto"/>
        <w:jc w:val="both"/>
      </w:pPr>
      <w:r>
        <w:rPr>
          <w:rFonts w:ascii="Times New Roman" w:hAnsi="Times New Roman"/>
          <w:sz w:val="22"/>
        </w:rPr>
        <w:t>We evaluated active learning query strategies on the validation pool (t ∈ [35, 39], 5,486 candidate nodes) under fixed reviewer budgets.</w:t>
      </w:r>
    </w:p>
    <w:p>
      <w:pPr>
        <w:spacing w:before="200" w:after="60" w:line="276" w:lineRule="auto"/>
        <w:jc w:val="left"/>
      </w:pPr>
      <w:r>
        <w:rPr>
          <w:rFonts w:ascii="Times New Roman" w:hAnsi="Times New Roman"/>
          <w:b/>
          <w:color w:val="1E4E79"/>
          <w:sz w:val="20"/>
        </w:rPr>
        <w:t>Table 9: EXP-07 Human-in-the-Loop Active Learning Benchmark Results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170"/>
        <w:gridCol w:w="1170"/>
        <w:gridCol w:w="1170"/>
        <w:gridCol w:w="1170"/>
        <w:gridCol w:w="1170"/>
        <w:gridCol w:w="1170"/>
        <w:gridCol w:w="1170"/>
        <w:gridCol w:w="1170"/>
      </w:tblGrid>
      <w:tr>
        <w:tc>
          <w:tcPr>
            <w:tcW w:type="dxa" w:w="2304"/>
            <w:shd w:fill="1E4E79"/>
            <w:tcMar>
              <w:top w:w="100" w:type="dxa"/>
              <w:bottom w:w="100" w:type="dxa"/>
              <w:left w:w="100" w:type="dxa"/>
              <w:right w:w="100" w:type="dxa"/>
            </w:tcMar>
          </w:tcPr>
          <w:p>
            <w:pPr>
              <w:spacing w:before="0" w:after="0"/>
              <w:jc w:val="left"/>
            </w:pPr>
            <w:r>
              <w:rPr>
                <w:rFonts w:ascii="Times New Roman" w:hAnsi="Times New Roman"/>
                <w:b/>
                <w:color w:val="FFFFFF"/>
                <w:sz w:val="19"/>
              </w:rPr>
              <w:t>Strategy / Configuration</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Budget (%)</w:t>
            </w:r>
          </w:p>
        </w:tc>
        <w:tc>
          <w:tcPr>
            <w:tcW w:type="dxa" w:w="1152"/>
            <w:shd w:fill="1E4E79"/>
            <w:tcMar>
              <w:top w:w="100" w:type="dxa"/>
              <w:bottom w:w="100" w:type="dxa"/>
              <w:left w:w="100" w:type="dxa"/>
              <w:right w:w="100" w:type="dxa"/>
            </w:tcMar>
          </w:tcPr>
          <w:p>
            <w:pPr>
              <w:spacing w:before="0" w:after="0"/>
              <w:jc w:val="center"/>
            </w:pPr>
            <w:r>
              <w:rPr>
                <w:rFonts w:ascii="Times New Roman" w:hAnsi="Times New Roman"/>
                <w:b/>
                <w:color w:val="FFFFFF"/>
                <w:sz w:val="19"/>
              </w:rPr>
              <w:t>Reviewed Count</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F1 Score</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PR-AUC</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Precision</w:t>
            </w:r>
          </w:p>
        </w:tc>
        <w:tc>
          <w:tcPr>
            <w:tcW w:type="dxa" w:w="1008"/>
            <w:shd w:fill="1E4E79"/>
            <w:tcMar>
              <w:top w:w="100" w:type="dxa"/>
              <w:bottom w:w="100" w:type="dxa"/>
              <w:left w:w="100" w:type="dxa"/>
              <w:right w:w="100" w:type="dxa"/>
            </w:tcMar>
          </w:tcPr>
          <w:p>
            <w:pPr>
              <w:spacing w:before="0" w:after="0"/>
              <w:jc w:val="center"/>
            </w:pPr>
            <w:r>
              <w:rPr>
                <w:rFonts w:ascii="Times New Roman" w:hAnsi="Times New Roman"/>
                <w:b/>
                <w:color w:val="FFFFFF"/>
                <w:sz w:val="19"/>
              </w:rPr>
              <w:t>Test Recall</w:t>
            </w:r>
          </w:p>
        </w:tc>
        <w:tc>
          <w:tcPr>
            <w:tcW w:type="dxa" w:w="864"/>
            <w:shd w:fill="1E4E79"/>
            <w:tcMar>
              <w:top w:w="100" w:type="dxa"/>
              <w:bottom w:w="100" w:type="dxa"/>
              <w:left w:w="100" w:type="dxa"/>
              <w:right w:w="100" w:type="dxa"/>
            </w:tcMar>
          </w:tcPr>
          <w:p>
            <w:pPr>
              <w:spacing w:before="0" w:after="0"/>
              <w:jc w:val="center"/>
            </w:pPr>
            <w:r>
              <w:rPr>
                <w:rFonts w:ascii="Times New Roman" w:hAnsi="Times New Roman"/>
                <w:b/>
                <w:color w:val="FFFFFF"/>
                <w:sz w:val="19"/>
              </w:rPr>
              <w:t>Optimal τ*</w:t>
            </w:r>
          </w:p>
        </w:tc>
      </w:tr>
      <w:tr>
        <w:tc>
          <w:tcPr>
            <w:tcW w:type="dxa" w:w="2304"/>
            <w:shd w:fill="FFFFFF"/>
            <w:tcMar>
              <w:top w:w="80" w:type="dxa"/>
              <w:bottom w:w="80" w:type="dxa"/>
              <w:left w:w="100" w:type="dxa"/>
              <w:right w:w="100" w:type="dxa"/>
            </w:tcMar>
          </w:tcPr>
          <w:p>
            <w:pPr>
              <w:spacing w:before="0" w:after="0"/>
              <w:jc w:val="left"/>
            </w:pPr>
            <w:r>
              <w:rPr>
                <w:rFonts w:ascii="Times New Roman" w:hAnsi="Times New Roman"/>
                <w:b/>
                <w:sz w:val="19"/>
              </w:rPr>
              <w:t>Base GraphSAGE (Frozen)</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0</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b/>
                <w:sz w:val="19"/>
              </w:rPr>
              <w:t>0.5175</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b/>
                <w:sz w:val="19"/>
              </w:rPr>
              <w:t>0.4499</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0.5342</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0.5016</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0.5517</w:t>
            </w:r>
          </w:p>
        </w:tc>
      </w:tr>
      <w:tr>
        <w:tc>
          <w:tcPr>
            <w:tcW w:type="dxa" w:w="2304"/>
            <w:shd w:fill="F7FAFC"/>
            <w:tcMar>
              <w:top w:w="80" w:type="dxa"/>
              <w:bottom w:w="80" w:type="dxa"/>
              <w:left w:w="100" w:type="dxa"/>
              <w:right w:w="100" w:type="dxa"/>
            </w:tcMar>
          </w:tcPr>
          <w:p>
            <w:pPr>
              <w:spacing w:before="0" w:after="0"/>
              <w:jc w:val="left"/>
            </w:pPr>
            <w:r>
              <w:rPr>
                <w:rFonts w:ascii="Times New Roman" w:hAnsi="Times New Roman"/>
                <w:sz w:val="19"/>
              </w:rPr>
              <w:t>Random Sampling</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5%</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274 tx</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0.4495</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0.4190</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0.4312</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0.4695</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0.5300</w:t>
            </w:r>
          </w:p>
        </w:tc>
      </w:tr>
      <w:tr>
        <w:tc>
          <w:tcPr>
            <w:tcW w:type="dxa" w:w="2304"/>
            <w:shd w:fill="FFFFFF"/>
            <w:tcMar>
              <w:top w:w="80" w:type="dxa"/>
              <w:bottom w:w="80" w:type="dxa"/>
              <w:left w:w="100" w:type="dxa"/>
              <w:right w:w="100" w:type="dxa"/>
            </w:tcMar>
          </w:tcPr>
          <w:p>
            <w:pPr>
              <w:spacing w:before="0" w:after="0"/>
              <w:jc w:val="left"/>
            </w:pPr>
            <w:r>
              <w:rPr>
                <w:rFonts w:ascii="Times New Roman" w:hAnsi="Times New Roman"/>
                <w:sz w:val="19"/>
              </w:rPr>
              <w:t>Random Sampling</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10%</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548 tx</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0.4442</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0.4201</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0.4250</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0.4650</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0.5300</w:t>
            </w:r>
          </w:p>
        </w:tc>
      </w:tr>
      <w:tr>
        <w:tc>
          <w:tcPr>
            <w:tcW w:type="dxa" w:w="2304"/>
            <w:shd w:fill="F7FAFC"/>
            <w:tcMar>
              <w:top w:w="80" w:type="dxa"/>
              <w:bottom w:w="80" w:type="dxa"/>
              <w:left w:w="100" w:type="dxa"/>
              <w:right w:w="100" w:type="dxa"/>
            </w:tcMar>
          </w:tcPr>
          <w:p>
            <w:pPr>
              <w:spacing w:before="0" w:after="0"/>
              <w:jc w:val="left"/>
            </w:pPr>
            <w:r>
              <w:rPr>
                <w:rFonts w:ascii="Times New Roman" w:hAnsi="Times New Roman"/>
                <w:sz w:val="19"/>
              </w:rPr>
              <w:t>Random Sampling</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20%</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1,097 tx</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0.4401</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0.4200</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0.4211</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0.4607</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0.5300</w:t>
            </w:r>
          </w:p>
        </w:tc>
      </w:tr>
      <w:tr>
        <w:tc>
          <w:tcPr>
            <w:tcW w:type="dxa" w:w="2304"/>
            <w:shd w:fill="FFFFFF"/>
            <w:tcMar>
              <w:top w:w="80" w:type="dxa"/>
              <w:bottom w:w="80" w:type="dxa"/>
              <w:left w:w="100" w:type="dxa"/>
              <w:right w:w="100" w:type="dxa"/>
            </w:tcMar>
          </w:tcPr>
          <w:p>
            <w:pPr>
              <w:spacing w:before="0" w:after="0"/>
              <w:jc w:val="left"/>
            </w:pPr>
            <w:r>
              <w:rPr>
                <w:rFonts w:ascii="Times New Roman" w:hAnsi="Times New Roman"/>
                <w:sz w:val="19"/>
              </w:rPr>
              <w:t>Uncertainty Sampling (Active)</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5%</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sz w:val="19"/>
              </w:rPr>
              <w:t>274 tx</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0.4850</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0.4290</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0.4710</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0.5000</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0.5400</w:t>
            </w:r>
          </w:p>
        </w:tc>
      </w:tr>
      <w:tr>
        <w:tc>
          <w:tcPr>
            <w:tcW w:type="dxa" w:w="2304"/>
            <w:shd w:fill="F7FAFC"/>
            <w:tcMar>
              <w:top w:w="80" w:type="dxa"/>
              <w:bottom w:w="80" w:type="dxa"/>
              <w:left w:w="100" w:type="dxa"/>
              <w:right w:w="100" w:type="dxa"/>
            </w:tcMar>
          </w:tcPr>
          <w:p>
            <w:pPr>
              <w:spacing w:before="0" w:after="0"/>
              <w:jc w:val="left"/>
            </w:pPr>
            <w:r>
              <w:rPr>
                <w:rFonts w:ascii="Times New Roman" w:hAnsi="Times New Roman"/>
                <w:sz w:val="19"/>
              </w:rPr>
              <w:t>Uncertainty Sampling (Active)</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10%</w:t>
            </w:r>
          </w:p>
        </w:tc>
        <w:tc>
          <w:tcPr>
            <w:tcW w:type="dxa" w:w="1152"/>
            <w:shd w:fill="F7FAFC"/>
            <w:tcMar>
              <w:top w:w="80" w:type="dxa"/>
              <w:bottom w:w="80" w:type="dxa"/>
              <w:left w:w="100" w:type="dxa"/>
              <w:right w:w="100" w:type="dxa"/>
            </w:tcMar>
          </w:tcPr>
          <w:p>
            <w:pPr>
              <w:spacing w:before="0" w:after="0"/>
              <w:jc w:val="center"/>
            </w:pPr>
            <w:r>
              <w:rPr>
                <w:rFonts w:ascii="Times New Roman" w:hAnsi="Times New Roman"/>
                <w:sz w:val="19"/>
              </w:rPr>
              <w:t>548 tx</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0.4912</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0.4315</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0.4780</w:t>
            </w:r>
          </w:p>
        </w:tc>
        <w:tc>
          <w:tcPr>
            <w:tcW w:type="dxa" w:w="1008"/>
            <w:shd w:fill="F7FAFC"/>
            <w:tcMar>
              <w:top w:w="80" w:type="dxa"/>
              <w:bottom w:w="80" w:type="dxa"/>
              <w:left w:w="100" w:type="dxa"/>
              <w:right w:w="100" w:type="dxa"/>
            </w:tcMar>
          </w:tcPr>
          <w:p>
            <w:pPr>
              <w:spacing w:before="0" w:after="0"/>
              <w:jc w:val="center"/>
            </w:pPr>
            <w:r>
              <w:rPr>
                <w:rFonts w:ascii="Times New Roman" w:hAnsi="Times New Roman"/>
                <w:sz w:val="19"/>
              </w:rPr>
              <w:t>0.5050</w:t>
            </w:r>
          </w:p>
        </w:tc>
        <w:tc>
          <w:tcPr>
            <w:tcW w:type="dxa" w:w="864"/>
            <w:shd w:fill="F7FAFC"/>
            <w:tcMar>
              <w:top w:w="80" w:type="dxa"/>
              <w:bottom w:w="80" w:type="dxa"/>
              <w:left w:w="100" w:type="dxa"/>
              <w:right w:w="100" w:type="dxa"/>
            </w:tcMar>
          </w:tcPr>
          <w:p>
            <w:pPr>
              <w:spacing w:before="0" w:after="0"/>
              <w:jc w:val="center"/>
            </w:pPr>
            <w:r>
              <w:rPr>
                <w:rFonts w:ascii="Times New Roman" w:hAnsi="Times New Roman"/>
                <w:sz w:val="19"/>
              </w:rPr>
              <w:t>0.5400</w:t>
            </w:r>
          </w:p>
        </w:tc>
      </w:tr>
      <w:tr>
        <w:tc>
          <w:tcPr>
            <w:tcW w:type="dxa" w:w="2304"/>
            <w:shd w:fill="FFFFFF"/>
            <w:tcMar>
              <w:top w:w="80" w:type="dxa"/>
              <w:bottom w:w="80" w:type="dxa"/>
              <w:left w:w="100" w:type="dxa"/>
              <w:right w:w="100" w:type="dxa"/>
            </w:tcMar>
          </w:tcPr>
          <w:p>
            <w:pPr>
              <w:spacing w:before="0" w:after="0"/>
              <w:jc w:val="left"/>
            </w:pPr>
            <w:r>
              <w:rPr>
                <w:rFonts w:ascii="Times New Roman" w:hAnsi="Times New Roman"/>
                <w:b/>
                <w:sz w:val="19"/>
              </w:rPr>
              <w:t>Uncertainty Sampling (Active)</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b/>
                <w:sz w:val="19"/>
              </w:rPr>
              <w:t>20%</w:t>
            </w:r>
          </w:p>
        </w:tc>
        <w:tc>
          <w:tcPr>
            <w:tcW w:type="dxa" w:w="1152"/>
            <w:shd w:fill="FFFFFF"/>
            <w:tcMar>
              <w:top w:w="80" w:type="dxa"/>
              <w:bottom w:w="80" w:type="dxa"/>
              <w:left w:w="100" w:type="dxa"/>
              <w:right w:w="100" w:type="dxa"/>
            </w:tcMar>
          </w:tcPr>
          <w:p>
            <w:pPr>
              <w:spacing w:before="0" w:after="0"/>
              <w:jc w:val="center"/>
            </w:pPr>
            <w:r>
              <w:rPr>
                <w:rFonts w:ascii="Times New Roman" w:hAnsi="Times New Roman"/>
                <w:b/>
                <w:sz w:val="19"/>
              </w:rPr>
              <w:t>1,097 tx</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b/>
                <w:sz w:val="19"/>
              </w:rPr>
              <w:t>0.5030</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b/>
                <w:sz w:val="19"/>
              </w:rPr>
              <w:t>0.4358</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0.4859</w:t>
            </w:r>
          </w:p>
        </w:tc>
        <w:tc>
          <w:tcPr>
            <w:tcW w:type="dxa" w:w="1008"/>
            <w:shd w:fill="FFFFFF"/>
            <w:tcMar>
              <w:top w:w="80" w:type="dxa"/>
              <w:bottom w:w="80" w:type="dxa"/>
              <w:left w:w="100" w:type="dxa"/>
              <w:right w:w="100" w:type="dxa"/>
            </w:tcMar>
          </w:tcPr>
          <w:p>
            <w:pPr>
              <w:spacing w:before="0" w:after="0"/>
              <w:jc w:val="center"/>
            </w:pPr>
            <w:r>
              <w:rPr>
                <w:rFonts w:ascii="Times New Roman" w:hAnsi="Times New Roman"/>
                <w:sz w:val="19"/>
              </w:rPr>
              <w:t>0.5220</w:t>
            </w:r>
          </w:p>
        </w:tc>
        <w:tc>
          <w:tcPr>
            <w:tcW w:type="dxa" w:w="864"/>
            <w:shd w:fill="FFFFFF"/>
            <w:tcMar>
              <w:top w:w="80" w:type="dxa"/>
              <w:bottom w:w="80" w:type="dxa"/>
              <w:left w:w="100" w:type="dxa"/>
              <w:right w:w="100" w:type="dxa"/>
            </w:tcMar>
          </w:tcPr>
          <w:p>
            <w:pPr>
              <w:spacing w:before="0" w:after="0"/>
              <w:jc w:val="center"/>
            </w:pPr>
            <w:r>
              <w:rPr>
                <w:rFonts w:ascii="Times New Roman" w:hAnsi="Times New Roman"/>
                <w:sz w:val="19"/>
              </w:rPr>
              <w:t>0.5400</w:t>
            </w:r>
          </w:p>
        </w:tc>
      </w:tr>
    </w:tbl>
    <w:p>
      <w:pPr>
        <w:spacing w:before="0" w:after="120"/>
      </w:pPr>
    </w:p>
    <w:p>
      <w:pPr>
        <w:spacing w:before="0" w:after="120" w:line="276" w:lineRule="auto"/>
        <w:jc w:val="both"/>
      </w:pPr>
      <w:r>
        <w:rPr>
          <w:rFonts w:ascii="Times New Roman" w:hAnsi="Times New Roman"/>
          <w:sz w:val="22"/>
        </w:rPr>
        <w:t>Analysis: At an equivalent 20% feedback budget (1,097 transactions), uncertainty-based active querying achieves an absolute +6.29% higher F1 score (0.5030 vs 0.4401) over random sampling, validating high sample efficiency. Fine-tuning on validation feedback does not exceed the frozen base model (0.5175) due to severe distribution shift between validation (t ∈ [35, 39]) and post-shock test (t ∈ [40, 49]) partitions.</w:t>
      </w:r>
    </w:p>
    <w:p>
      <w:pPr>
        <w:spacing w:before="280" w:after="100" w:line="276" w:lineRule="auto"/>
        <w:jc w:val="left"/>
      </w:pPr>
      <w:r>
        <w:rPr>
          <w:rFonts w:ascii="Times New Roman" w:hAnsi="Times New Roman"/>
          <w:b/>
          <w:color w:val="0F294A"/>
          <w:sz w:val="28"/>
        </w:rPr>
        <w:t>7. DISCUSSION &amp; HCI IMPLICATIONS</w:t>
      </w:r>
    </w:p>
    <w:p>
      <w:pPr>
        <w:spacing w:before="200" w:after="80" w:line="276" w:lineRule="auto"/>
        <w:jc w:val="left"/>
      </w:pPr>
      <w:r>
        <w:rPr>
          <w:rFonts w:ascii="Times New Roman" w:hAnsi="Times New Roman"/>
          <w:b/>
          <w:color w:val="1E4E79"/>
          <w:sz w:val="24"/>
        </w:rPr>
        <w:t>7.1 Human-AI Teaming in High-Stakes Financial Forensics</w:t>
      </w:r>
    </w:p>
    <w:p>
      <w:pPr>
        <w:spacing w:before="0" w:after="120" w:line="276" w:lineRule="auto"/>
        <w:jc w:val="both"/>
      </w:pPr>
      <w:r>
        <w:rPr>
          <w:rFonts w:ascii="Times New Roman" w:hAnsi="Times New Roman"/>
          <w:sz w:val="22"/>
        </w:rPr>
        <w:t>Our empirical findings underscore that neither autonomous graph algorithms nor unassisted human analysts are sufficient for modern cryptocurrency AML compliance. While tabular ensembles (XGBoost F1 = 0.7223) achieve high static accuracy on precomputed aggregates, they cannot provide visual, multi-hop topological reasoning required for regulatory filings. Conversely, GNNs provide intuitive relational subgraph extractions but suffer severe vulnerability to macroeconomic distribution shifts (EXP-06). By coupling GNNExplainer subgraph masks with an active learning triage interface, the HITL-XGNN platform establishes an effective division of labor: the AI model filters high-velocity transaction streams and highlights candidate fraud subgraphs, while human analysts apply domain expertise to resolve ambiguous boundary cases.</w:t>
      </w:r>
    </w:p>
    <w:p>
      <w:pPr>
        <w:spacing w:before="200" w:after="80" w:line="276" w:lineRule="auto"/>
        <w:jc w:val="left"/>
      </w:pPr>
      <w:r>
        <w:rPr>
          <w:rFonts w:ascii="Times New Roman" w:hAnsi="Times New Roman"/>
          <w:b/>
          <w:color w:val="1E4E79"/>
          <w:sz w:val="24"/>
        </w:rPr>
        <w:t>7.2 Mitigation of Automation Bias and Alert Fatigue</w:t>
      </w:r>
    </w:p>
    <w:p>
      <w:pPr>
        <w:spacing w:before="0" w:after="120" w:line="276" w:lineRule="auto"/>
        <w:jc w:val="both"/>
      </w:pPr>
      <w:r>
        <w:rPr>
          <w:rFonts w:ascii="Times New Roman" w:hAnsi="Times New Roman"/>
          <w:sz w:val="22"/>
        </w:rPr>
        <w:t>In commercial AML operations, alert fatigue is a primary driver of operational risk: when analysts are inundated with hundreds of uninterpretable alerts daily, they inevitably succumb to automation bias—either rubber-stamping AI predictions or ignoring high-risk warnings. Our HCI design mitigates this vulnerability through three targeted mechanisms:</w:t>
      </w:r>
    </w:p>
    <w:p>
      <w:pPr>
        <w:pStyle w:val="ListBullet"/>
        <w:spacing w:before="20" w:after="60" w:line="276" w:lineRule="auto"/>
        <w:jc w:val="both"/>
      </w:pPr>
      <w:r>
        <w:rPr>
          <w:rFonts w:ascii="Times New Roman" w:hAnsi="Times New Roman"/>
          <w:b/>
          <w:sz w:val="22"/>
        </w:rPr>
        <w:t xml:space="preserve">1. Calibrated Risk Visualizations: </w:t>
      </w:r>
      <w:r>
        <w:rPr>
          <w:rFonts w:ascii="Times New Roman" w:hAnsi="Times New Roman"/>
          <w:sz w:val="22"/>
        </w:rPr>
        <w:t>The interface avoids presenting raw, uncalibrated binary flags. Instead, it displays calibrated probability scores, decision thresholds (τ* = 0.5517), and quantitative Fidelity⁺ / Fidelity⁻ metrics that indicate explanation reliability.</w:t>
      </w:r>
    </w:p>
    <w:p>
      <w:pPr>
        <w:pStyle w:val="ListBullet"/>
        <w:spacing w:before="20" w:after="60" w:line="276" w:lineRule="auto"/>
        <w:jc w:val="both"/>
      </w:pPr>
      <w:r>
        <w:rPr>
          <w:rFonts w:ascii="Times New Roman" w:hAnsi="Times New Roman"/>
          <w:b/>
          <w:sz w:val="22"/>
        </w:rPr>
        <w:t xml:space="preserve">2. Graph Sparsity and Cognitive Load Reduction: </w:t>
      </w:r>
      <w:r>
        <w:rPr>
          <w:rFonts w:ascii="Times New Roman" w:hAnsi="Times New Roman"/>
          <w:sz w:val="22"/>
        </w:rPr>
        <w:t>By pruning 68.42% of non-causal payment edges (Table 7), the visualizer presents compact, high-relevance 2-hop subgraphs, dramatically reducing visual clutter and cognitive search time.</w:t>
      </w:r>
    </w:p>
    <w:p>
      <w:pPr>
        <w:pStyle w:val="ListBullet"/>
        <w:spacing w:before="20" w:after="60" w:line="276" w:lineRule="auto"/>
        <w:jc w:val="both"/>
      </w:pPr>
      <w:r>
        <w:rPr>
          <w:rFonts w:ascii="Times New Roman" w:hAnsi="Times New Roman"/>
          <w:b/>
          <w:sz w:val="22"/>
        </w:rPr>
        <w:t xml:space="preserve">3. Structured Decision Audits: </w:t>
      </w:r>
      <w:r>
        <w:rPr>
          <w:rFonts w:ascii="Times New Roman" w:hAnsi="Times New Roman"/>
          <w:sz w:val="22"/>
        </w:rPr>
        <w:t>Analyst overrides require selecting structured justification categories and providing subjective confidence ratings, ensuring cognitive engagement during every triage decision.</w:t>
      </w:r>
    </w:p>
    <w:p>
      <w:pPr>
        <w:spacing w:before="200" w:after="80" w:line="276" w:lineRule="auto"/>
        <w:jc w:val="left"/>
      </w:pPr>
      <w:r>
        <w:rPr>
          <w:rFonts w:ascii="Times New Roman" w:hAnsi="Times New Roman"/>
          <w:b/>
          <w:color w:val="1E4E79"/>
          <w:sz w:val="24"/>
        </w:rPr>
        <w:t>7.3 Operational Hybrid Strategy for Enterprise Deployment</w:t>
      </w:r>
    </w:p>
    <w:p>
      <w:pPr>
        <w:spacing w:before="0" w:after="120" w:line="276" w:lineRule="auto"/>
        <w:jc w:val="both"/>
      </w:pPr>
      <w:r>
        <w:rPr>
          <w:rFonts w:ascii="Times New Roman" w:hAnsi="Times New Roman"/>
          <w:sz w:val="22"/>
        </w:rPr>
        <w:t>Based on our empirical comparison between tabular and graph paradigms (Table 3 vs Table 4), we formalize an optimal two-tier enterprise deployment pipeline: Tier 1 utilizes XGBoost to screen 100,000+ incoming transactions per second at sub-millisecond latency. High-risk and borderline transactions are routed to Tier 2 (GraphSAGE + GNNExplainer), which extracts multi-hop relational subgraphs and generates interactive compliance dossiers for human review.</w:t>
      </w:r>
    </w:p>
    <w:p>
      <w:pPr>
        <w:spacing w:before="280" w:after="100" w:line="276" w:lineRule="auto"/>
        <w:jc w:val="left"/>
      </w:pPr>
      <w:r>
        <w:rPr>
          <w:rFonts w:ascii="Times New Roman" w:hAnsi="Times New Roman"/>
          <w:b/>
          <w:color w:val="0F294A"/>
          <w:sz w:val="28"/>
        </w:rPr>
        <w:t>8. LIMITATIONS &amp; THREATS TO VALIDITY</w:t>
      </w:r>
    </w:p>
    <w:p>
      <w:pPr>
        <w:spacing w:before="0" w:after="120" w:line="276" w:lineRule="auto"/>
        <w:jc w:val="both"/>
      </w:pPr>
      <w:r>
        <w:rPr>
          <w:rFonts w:ascii="Times New Roman" w:hAnsi="Times New Roman"/>
          <w:sz w:val="22"/>
        </w:rPr>
        <w:t>We identify four key limitations and threats to validity in this study:</w:t>
      </w:r>
    </w:p>
    <w:p>
      <w:pPr>
        <w:pStyle w:val="ListBullet"/>
        <w:spacing w:before="20" w:after="60" w:line="276" w:lineRule="auto"/>
        <w:jc w:val="both"/>
      </w:pPr>
      <w:r>
        <w:rPr>
          <w:rFonts w:ascii="Times New Roman" w:hAnsi="Times New Roman"/>
          <w:b/>
          <w:sz w:val="22"/>
        </w:rPr>
        <w:t xml:space="preserve">1. Absence of Cross-Timestep Dynamic Edges: </w:t>
      </w:r>
      <w:r>
        <w:rPr>
          <w:rFonts w:ascii="Times New Roman" w:hAnsi="Times New Roman"/>
          <w:sz w:val="22"/>
        </w:rPr>
        <w:t>The Elliptic dataset partitions transactions into 49 discrete, static graph snapshots with 0 cross-timestep edges. Long-term fund holding patterns across multiple months are not captured.</w:t>
      </w:r>
    </w:p>
    <w:p>
      <w:pPr>
        <w:pStyle w:val="ListBullet"/>
        <w:spacing w:before="20" w:after="60" w:line="276" w:lineRule="auto"/>
        <w:jc w:val="both"/>
      </w:pPr>
      <w:r>
        <w:rPr>
          <w:rFonts w:ascii="Times New Roman" w:hAnsi="Times New Roman"/>
          <w:b/>
          <w:sz w:val="22"/>
        </w:rPr>
        <w:t xml:space="preserve">2. Semi-Supervised Background Label Noise: </w:t>
      </w:r>
      <w:r>
        <w:rPr>
          <w:rFonts w:ascii="Times New Roman" w:hAnsi="Times New Roman"/>
          <w:sz w:val="22"/>
        </w:rPr>
        <w:t>Over 77.15% of transactions remain unlabelled. While they participate in graph message passing, some unlabelled nodes may represent undetected illicit activity.</w:t>
      </w:r>
    </w:p>
    <w:p>
      <w:pPr>
        <w:pStyle w:val="ListBullet"/>
        <w:spacing w:before="20" w:after="60" w:line="276" w:lineRule="auto"/>
        <w:jc w:val="both"/>
      </w:pPr>
      <w:r>
        <w:rPr>
          <w:rFonts w:ascii="Times New Roman" w:hAnsi="Times New Roman"/>
          <w:b/>
          <w:sz w:val="22"/>
        </w:rPr>
        <w:t xml:space="preserve">3. Simulated Oracle in Offline Active Learning: </w:t>
      </w:r>
      <w:r>
        <w:rPr>
          <w:rFonts w:ascii="Times New Roman" w:hAnsi="Times New Roman"/>
          <w:sz w:val="22"/>
        </w:rPr>
        <w:t>In offline active learning experiments (EXP-07), reviewer feedback was simulated using ground-truth validation labels. Real-world human reviewers introduce subjective label noise and latency variations.</w:t>
      </w:r>
    </w:p>
    <w:p>
      <w:pPr>
        <w:pStyle w:val="ListBullet"/>
        <w:spacing w:before="20" w:after="60" w:line="276" w:lineRule="auto"/>
        <w:jc w:val="both"/>
      </w:pPr>
      <w:r>
        <w:rPr>
          <w:rFonts w:ascii="Times New Roman" w:hAnsi="Times New Roman"/>
          <w:b/>
          <w:sz w:val="22"/>
        </w:rPr>
        <w:t xml:space="preserve">4. Dataset Censoring at Timestep 49: </w:t>
      </w:r>
      <w:r>
        <w:rPr>
          <w:rFonts w:ascii="Times New Roman" w:hAnsi="Times New Roman"/>
          <w:sz w:val="22"/>
        </w:rPr>
        <w:t>The dataset terminates at t = 49, preventing observation of long-term topological recovery following the historical darknet marketplace takedown.</w:t>
      </w:r>
    </w:p>
    <w:p>
      <w:pPr>
        <w:spacing w:before="280" w:after="100" w:line="276" w:lineRule="auto"/>
        <w:jc w:val="left"/>
      </w:pPr>
      <w:r>
        <w:rPr>
          <w:rFonts w:ascii="Times New Roman" w:hAnsi="Times New Roman"/>
          <w:b/>
          <w:color w:val="0F294A"/>
          <w:sz w:val="28"/>
        </w:rPr>
        <w:t>9. CONCLUSION &amp; FUTURE WORK</w:t>
      </w:r>
    </w:p>
    <w:p>
      <w:pPr>
        <w:spacing w:before="0" w:after="120" w:line="276" w:lineRule="auto"/>
        <w:jc w:val="both"/>
      </w:pPr>
      <w:r>
        <w:rPr>
          <w:rFonts w:ascii="Times New Roman" w:hAnsi="Times New Roman"/>
          <w:sz w:val="22"/>
        </w:rPr>
        <w:t>This paper presented an end-to-end Human-in-the-Loop Explainable Graph Neural Network (HITL-XGNN) framework for financial fraud detection on blockchain networks. Operating under strict zero-transductive-leakage temporal governance, we demonstrated that GraphSAGE with Focal Loss provides robust inductive learning on sparse transaction graphs (Test F1 = 0.5175), while GNNExplainer extracts compact, faithful causal subgraphs (Fidelity⁻ = 0.0069, Edge Sparsity = 0.6842) at sub-400ms latency. Our out-of-time evaluation characterized the collapse of topological detection during macroeconomic darknet marketplace shocks (t ∈ [43, 46]), and demonstrated that uncertainty-guided active learning achieves a +6.29% F1 sample efficiency advantage over random sampling under a 20% review budget. By coupling these algorithmic innovations with a human-centered visual analytics interface, our system bridges machine intelligence and forensic expertise, establishing a trustworthy foundation for regulatory AML compliance.</w:t>
      </w:r>
    </w:p>
    <w:p>
      <w:pPr>
        <w:spacing w:before="0" w:after="120" w:line="276" w:lineRule="auto"/>
        <w:jc w:val="both"/>
      </w:pPr>
      <w:r>
        <w:rPr>
          <w:rFonts w:ascii="Times New Roman" w:hAnsi="Times New Roman"/>
          <w:sz w:val="22"/>
        </w:rPr>
        <w:t>Future work will explore: (1) continuous-time dynamic graph neural networks (e.g., TGAT, EvolveGCN) on multi-asset cross-chain payment ledgers; (2) self-supervised graph contrastive pre-training to exploit the 77.15% unlabelled background corpus; and (3) longitudinal user studies evaluating cognitive load and decision accuracy among certified AML compliance officers.</w:t>
      </w:r>
    </w:p>
    <w:p>
      <w:pPr>
        <w:spacing w:before="280" w:after="100" w:line="276" w:lineRule="auto"/>
        <w:jc w:val="left"/>
      </w:pPr>
      <w:r>
        <w:rPr>
          <w:rFonts w:ascii="Times New Roman" w:hAnsi="Times New Roman"/>
          <w:b/>
          <w:color w:val="0F294A"/>
          <w:sz w:val="28"/>
        </w:rPr>
        <w:t>10. PROJECT RESOURCES &amp; REPRODUCIBILITY</w:t>
      </w:r>
    </w:p>
    <w:p>
      <w:pPr>
        <w:spacing w:before="0" w:after="120" w:line="276" w:lineRule="auto"/>
        <w:jc w:val="both"/>
      </w:pPr>
      <w:r>
        <w:rPr>
          <w:rFonts w:ascii="Times New Roman" w:hAnsi="Times New Roman"/>
          <w:sz w:val="22"/>
        </w:rPr>
        <w:t>To ensure complete scientific reproducibility and operational verification, all codebase modules, model checkpoints, Docker configurations, and test suites are preserved within the repository:</w:t>
      </w:r>
    </w:p>
    <w:p>
      <w:pPr>
        <w:pStyle w:val="ListBullet"/>
        <w:spacing w:before="20" w:after="60" w:line="276" w:lineRule="auto"/>
        <w:jc w:val="both"/>
      </w:pPr>
      <w:r>
        <w:rPr>
          <w:rFonts w:ascii="Times New Roman" w:hAnsi="Times New Roman"/>
          <w:b/>
          <w:sz w:val="22"/>
        </w:rPr>
        <w:t xml:space="preserve">Deterministic Seed Governance: </w:t>
      </w:r>
      <w:r>
        <w:rPr>
          <w:rFonts w:ascii="Times New Roman" w:hAnsi="Times New Roman"/>
          <w:sz w:val="22"/>
        </w:rPr>
        <w:t>All pseudo-random number generators across Python random, NumPy, PyTorch CPU/CUDA, and scikit-learn are locked to seed 42.</w:t>
      </w:r>
    </w:p>
    <w:p>
      <w:pPr>
        <w:pStyle w:val="ListBullet"/>
        <w:spacing w:before="20" w:after="60" w:line="276" w:lineRule="auto"/>
        <w:jc w:val="both"/>
      </w:pPr>
      <w:r>
        <w:rPr>
          <w:rFonts w:ascii="Times New Roman" w:hAnsi="Times New Roman"/>
          <w:b/>
          <w:sz w:val="22"/>
        </w:rPr>
        <w:t xml:space="preserve">Model Registry: </w:t>
      </w:r>
      <w:r>
        <w:rPr>
          <w:rFonts w:ascii="Times New Roman" w:hAnsi="Times New Roman"/>
          <w:sz w:val="22"/>
        </w:rPr>
        <w:t>22 immutable model checkpoints (.pt and .joblib) archived in models/ across tabular, GNN architectures, feature ablations, loss functions, and active learning budgets.</w:t>
      </w:r>
    </w:p>
    <w:p>
      <w:pPr>
        <w:pStyle w:val="ListBullet"/>
        <w:spacing w:before="20" w:after="60" w:line="276" w:lineRule="auto"/>
        <w:jc w:val="both"/>
      </w:pPr>
      <w:r>
        <w:rPr>
          <w:rFonts w:ascii="Times New Roman" w:hAnsi="Times New Roman"/>
          <w:b/>
          <w:sz w:val="22"/>
        </w:rPr>
        <w:t xml:space="preserve">Containerization &amp; Orchestration: </w:t>
      </w:r>
      <w:r>
        <w:rPr>
          <w:rFonts w:ascii="Times New Roman" w:hAnsi="Times New Roman"/>
          <w:sz w:val="22"/>
        </w:rPr>
        <w:t>Multi-stage Docker Compose orchestration (PostgreSQL on :5432, FastAPI backend on :8000, React Vite frontend on :3000).</w:t>
      </w:r>
    </w:p>
    <w:p>
      <w:pPr>
        <w:pStyle w:val="ListBullet"/>
        <w:spacing w:before="20" w:after="60" w:line="276" w:lineRule="auto"/>
        <w:jc w:val="both"/>
      </w:pPr>
      <w:r>
        <w:rPr>
          <w:rFonts w:ascii="Times New Roman" w:hAnsi="Times New Roman"/>
          <w:b/>
          <w:sz w:val="22"/>
        </w:rPr>
        <w:t xml:space="preserve">Automated Test Suite: </w:t>
      </w:r>
      <w:r>
        <w:rPr>
          <w:rFonts w:ascii="Times New Roman" w:hAnsi="Times New Roman"/>
          <w:sz w:val="22"/>
        </w:rPr>
        <w:t>76 comprehensive pytest unit and integration tests passing across data ingestion, preprocessing, GNN forward passes, XAI extraction, and database repositories.</w:t>
      </w:r>
    </w:p>
    <w:p>
      <w:pPr>
        <w:spacing w:before="280" w:after="100" w:line="276" w:lineRule="auto"/>
        <w:jc w:val="left"/>
      </w:pPr>
      <w:r>
        <w:rPr>
          <w:rFonts w:ascii="Times New Roman" w:hAnsi="Times New Roman"/>
          <w:b/>
          <w:color w:val="0F294A"/>
          <w:sz w:val="28"/>
        </w:rPr>
        <w:t>11. REFERENCES</w:t>
      </w:r>
    </w:p>
    <w:p>
      <w:pPr>
        <w:spacing w:before="40" w:after="80" w:line="276" w:lineRule="auto"/>
        <w:jc w:val="both"/>
      </w:pPr>
      <w:r>
        <w:rPr>
          <w:rFonts w:ascii="Times New Roman" w:hAnsi="Times New Roman"/>
          <w:sz w:val="20"/>
        </w:rPr>
        <w:t>[1] M. Weber, G. Domeniconi, J. Chen, D. K. I. Weidele, C. Bellei, T. Robinson, and C. Shen, "Anti-money laundering in bitcoin: Experimenting with graph convolutional networks for financial forensics," arXiv preprint arXiv:1908.02591, 2019.</w:t>
      </w:r>
    </w:p>
    <w:p>
      <w:pPr>
        <w:spacing w:before="40" w:after="80" w:line="276" w:lineRule="auto"/>
        <w:jc w:val="both"/>
      </w:pPr>
      <w:r>
        <w:rPr>
          <w:rFonts w:ascii="Times New Roman" w:hAnsi="Times New Roman"/>
          <w:sz w:val="20"/>
        </w:rPr>
        <w:t>[2] W. Hamilton, Z. Ying, and J. Leskovec, "Inductive representation learning on large graphs," in Advances in Neural Information Processing Systems (NeurIPS), vol. 30, pp. 1024–1034, 2017.</w:t>
      </w:r>
    </w:p>
    <w:p>
      <w:pPr>
        <w:spacing w:before="40" w:after="80" w:line="276" w:lineRule="auto"/>
        <w:jc w:val="both"/>
      </w:pPr>
      <w:r>
        <w:rPr>
          <w:rFonts w:ascii="Times New Roman" w:hAnsi="Times New Roman"/>
          <w:sz w:val="20"/>
        </w:rPr>
        <w:t>[3] T.-Y. Lin, P. Goyal, R. Girshick, K. He, and P. Dollár, "Focal loss for dense object detection," in Proceedings of the IEEE International Conference on Computer Vision (ICCV), pp. 2980–2988, 2017.</w:t>
      </w:r>
    </w:p>
    <w:p>
      <w:pPr>
        <w:spacing w:before="40" w:after="80" w:line="276" w:lineRule="auto"/>
        <w:jc w:val="both"/>
      </w:pPr>
      <w:r>
        <w:rPr>
          <w:rFonts w:ascii="Times New Roman" w:hAnsi="Times New Roman"/>
          <w:sz w:val="20"/>
        </w:rPr>
        <w:t>[4] R. Ying, D. Bourgeois, J. You, M. Zitnik, and J. Leskovec, "GNNExplainer: Generating explanations for graph neural networks," in Advances in Neural Information Processing Systems (NeurIPS), vol. 32, pp. 9240–9251, 2019.</w:t>
      </w:r>
    </w:p>
    <w:p>
      <w:pPr>
        <w:spacing w:before="40" w:after="80" w:line="276" w:lineRule="auto"/>
        <w:jc w:val="both"/>
      </w:pPr>
      <w:r>
        <w:rPr>
          <w:rFonts w:ascii="Times New Roman" w:hAnsi="Times New Roman"/>
          <w:sz w:val="20"/>
        </w:rPr>
        <w:t>[5] P. Veličković, G. Cucurull, A. Casanova, A. Romero, P. Liò, and Y. Bengio, "Graph Attention Networks," in International Conference on Learning Representations (ICLR), 2018.</w:t>
      </w:r>
    </w:p>
    <w:p>
      <w:pPr>
        <w:spacing w:before="40" w:after="80" w:line="276" w:lineRule="auto"/>
        <w:jc w:val="both"/>
      </w:pPr>
      <w:r>
        <w:rPr>
          <w:rFonts w:ascii="Times New Roman" w:hAnsi="Times New Roman"/>
          <w:sz w:val="20"/>
        </w:rPr>
        <w:t>[6] T. N. Kipf and M. Welling, "Semi-supervised classification with graph convolutional networks," in International Conference on Learning Representations (ICLR), 2017.</w:t>
      </w:r>
    </w:p>
    <w:p>
      <w:pPr>
        <w:spacing w:before="40" w:after="80" w:line="276" w:lineRule="auto"/>
        <w:jc w:val="both"/>
      </w:pPr>
      <w:r>
        <w:rPr>
          <w:rFonts w:ascii="Times New Roman" w:hAnsi="Times New Roman"/>
          <w:sz w:val="20"/>
        </w:rPr>
        <w:t>[7] B. Settles, "Active learning literature survey," University of Wisconsin-Madison Department of Computer Sciences, Tech. Rep. 1648, 2009.</w:t>
      </w:r>
    </w:p>
    <w:p>
      <w:pPr>
        <w:spacing w:before="40" w:after="80" w:line="276" w:lineRule="auto"/>
        <w:jc w:val="both"/>
      </w:pPr>
      <w:r>
        <w:rPr>
          <w:rFonts w:ascii="Times New Roman" w:hAnsi="Times New Roman"/>
          <w:sz w:val="20"/>
        </w:rPr>
        <w:t>[8] B. Shneiderman, "The eyes have it: A task by data type taxonomy for information visualizations," in Proceedings of IEEE Symposium on Visual Languages, pp. 336–343, 1996.</w:t>
      </w:r>
    </w:p>
    <w:p>
      <w:pPr>
        <w:spacing w:before="40" w:after="80" w:line="276" w:lineRule="auto"/>
        <w:jc w:val="both"/>
      </w:pPr>
      <w:r>
        <w:rPr>
          <w:rFonts w:ascii="Times New Roman" w:hAnsi="Times New Roman"/>
          <w:sz w:val="20"/>
        </w:rPr>
        <w:t>[9] R. Parasuraman, T. B. Sheridan, and C. D. Wickens, "A model for types and levels of human interaction with automation," IEEE Transactions on Systems, Man, and Cybernetics-Part A: Systems and Humans, vol. 30, no. 3, pp. 286–297, 2000.</w:t>
      </w:r>
    </w:p>
    <w:p>
      <w:pPr>
        <w:spacing w:before="40" w:after="80" w:line="276" w:lineRule="auto"/>
        <w:jc w:val="both"/>
      </w:pPr>
      <w:r>
        <w:rPr>
          <w:rFonts w:ascii="Times New Roman" w:hAnsi="Times New Roman"/>
          <w:sz w:val="20"/>
        </w:rPr>
        <w:t>[10] S. M. Lundberg and S.-I. Lee, "A unified approach to interpreting model predictions," in Advances in Neural Information Processing Systems (NeurIPS), vol. 30, pp. 4765–4774, 2017.</w:t>
      </w:r>
    </w:p>
    <w:p>
      <w:pPr>
        <w:spacing w:before="40" w:after="80" w:line="276" w:lineRule="auto"/>
        <w:jc w:val="both"/>
      </w:pPr>
      <w:r>
        <w:rPr>
          <w:rFonts w:ascii="Times New Roman" w:hAnsi="Times New Roman"/>
          <w:sz w:val="20"/>
        </w:rPr>
        <w:t>[11] T. Chen and C. Guestrin, "XGBoost: A scalable tree boosting system," in Proceedings of the 22nd ACM SIGKDD International Conference on Knowledge Discovery and Data Mining, pp. 785–794, 2016.</w:t>
      </w:r>
    </w:p>
    <w:p>
      <w:pPr>
        <w:spacing w:before="40" w:after="80" w:line="276" w:lineRule="auto"/>
        <w:jc w:val="both"/>
      </w:pPr>
      <w:r>
        <w:rPr>
          <w:rFonts w:ascii="Times New Roman" w:hAnsi="Times New Roman"/>
          <w:sz w:val="20"/>
        </w:rPr>
        <w:t>[12] G. Ke, Q. Meng, T. Finley, T. Wang, W. Chen, W. Ma, Q. Ye, and T.-Y. Liu, "LightGBM: A highly efficient gradient boosting decision tree," in Advances in Neural Information Processing Systems (NeurIPS), vol. 30, pp. 3146–3154, 2017.</w:t>
      </w:r>
    </w:p>
    <w:p>
      <w:pPr>
        <w:spacing w:before="40" w:after="80" w:line="276" w:lineRule="auto"/>
        <w:jc w:val="both"/>
      </w:pPr>
      <w:r>
        <w:rPr>
          <w:rFonts w:ascii="Times New Roman" w:hAnsi="Times New Roman"/>
          <w:sz w:val="20"/>
        </w:rPr>
        <w:t>[13] L. Breiman, "Random forests," Machine Learning, vol. 45, no. 1, pp. 5–32, 2001.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18096"/>
        <w:sz w:val="18"/>
      </w:rPr>
      <w:t>DA-3 Research Paper | BCSE415L / HCI | Academic Year 2026–27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