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CONSOLIDATED CYBERSECURITY IMPLEMENTATION REPORT</w:t>
      </w:r>
    </w:p>
    <w:p>
      <w:pPr>
        <w:jc w:val="center"/>
      </w:pPr>
      <w:r>
        <w:rPr>
          <w:b/>
          <w:sz w:val="24"/>
        </w:rPr>
        <w:t>Vulnerability Assessment • Risk Management • Security Monitoring &amp; Incident Response • Threat Intelligence</w:t>
      </w:r>
    </w:p>
    <w:p>
      <w:pPr>
        <w:jc w:val="center"/>
      </w:pPr>
      <w:r>
        <w:rPr>
          <w:b/>
        </w:rPr>
        <w:br/>
        <w:t>SOC / Cybersecurity Lab Environment</w:t>
        <w:br/>
      </w:r>
      <w:r>
        <w:t>Assessment Date: September 9, 2026</w:t>
        <w:br/>
      </w:r>
      <w:r>
        <w:t>Prepared for academic practical-assessment submission</w:t>
      </w:r>
    </w:p>
    <w:p>
      <w:r>
        <w:br w:type="page"/>
      </w:r>
    </w:p>
    <w:p>
      <w:pPr>
        <w:pStyle w:val="Heading1"/>
      </w:pPr>
      <w:r>
        <w:t>Table of Contents</w:t>
      </w:r>
    </w:p>
    <w:p>
      <w:pPr>
        <w:pStyle w:val="ListNumber"/>
      </w:pPr>
      <w:r>
        <w:t>1. Executive Summary</w:t>
      </w:r>
    </w:p>
    <w:p>
      <w:pPr>
        <w:pStyle w:val="ListNumber"/>
      </w:pPr>
      <w:r>
        <w:t>2. Project Scope, Objectives, and Methodology</w:t>
      </w:r>
    </w:p>
    <w:p>
      <w:pPr>
        <w:pStyle w:val="ListNumber"/>
      </w:pPr>
      <w:r>
        <w:t>3. Vulnerability Assessment and Findings</w:t>
      </w:r>
    </w:p>
    <w:p>
      <w:pPr>
        <w:pStyle w:val="ListNumber"/>
      </w:pPr>
      <w:r>
        <w:t>4. Risk Management Strategy</w:t>
      </w:r>
    </w:p>
    <w:p>
      <w:pPr>
        <w:pStyle w:val="ListNumber"/>
      </w:pPr>
      <w:r>
        <w:t>5. Risk Monitoring Procedure</w:t>
      </w:r>
    </w:p>
    <w:p>
      <w:pPr>
        <w:pStyle w:val="ListNumber"/>
      </w:pPr>
      <w:r>
        <w:t>6. Security Monitoring Implementation</w:t>
      </w:r>
    </w:p>
    <w:p>
      <w:pPr>
        <w:pStyle w:val="ListNumber"/>
      </w:pPr>
      <w:r>
        <w:t>7. Incident Response Scenario</w:t>
      </w:r>
    </w:p>
    <w:p>
      <w:pPr>
        <w:pStyle w:val="ListNumber"/>
      </w:pPr>
      <w:r>
        <w:t>8. Threat Intelligence and IoC Integration</w:t>
      </w:r>
    </w:p>
    <w:p>
      <w:pPr>
        <w:pStyle w:val="ListNumber"/>
      </w:pPr>
      <w:r>
        <w:t>9. Evidence and Validation</w:t>
      </w:r>
    </w:p>
    <w:p>
      <w:pPr>
        <w:pStyle w:val="ListNumber"/>
      </w:pPr>
      <w:r>
        <w:t>10. Lessons Learned and Continuous Improvement</w:t>
      </w:r>
    </w:p>
    <w:p>
      <w:pPr>
        <w:pStyle w:val="ListNumber"/>
      </w:pPr>
      <w:r>
        <w:t>11. Conclusion</w:t>
      </w:r>
    </w:p>
    <w:p>
      <w:pPr>
        <w:pStyle w:val="ListNumber"/>
      </w:pPr>
      <w:r>
        <w:t>Appendix A – Commands and Configuration Evidence</w:t>
      </w:r>
    </w:p>
    <w:p>
      <w:pPr>
        <w:pStyle w:val="ListNumber"/>
      </w:pPr>
      <w:r>
        <w:t>Appendix B – Rubric Coverage Matrix</w:t>
      </w:r>
    </w:p>
    <w:p>
      <w:pPr>
        <w:pStyle w:val="Heading1"/>
      </w:pPr>
      <w:r>
        <w:t>1. Executive Summary</w:t>
      </w:r>
    </w:p>
    <w:p>
      <w:r>
        <w:t>This consolidated report documents four related cybersecurity practical activities. The first activity performs asset discovery and vulnerability assessment using Nmap and arp-scan. The second applies risk-management principles to the scan results by identifying the most important exposures, assigning qualitative risk, recommending treatment, and defining a repeatable monitoring procedure. The third demonstrates security monitoring and incident response through Wazuh/SIEM-oriented detection, alert prioritization, response procedures, and an incident scenario. The fourth adds threat intelligence through IoC analysis and an OpenCTI implementation plan.</w:t>
      </w:r>
    </w:p>
    <w:p>
      <w:r>
        <w:t>The vulnerability scan did not confirm a CVE-classified exploitable vulnerability. However, the assessment identified exposure-related risks, particularly the OpenSearch REST API on TCP/9200 and the Wazuh dashboard on TCP/443. The report therefore treats risk as a function of exposure, asset criticality, likelihood, and impact rather than assuming that a clean CVE scan means the environment has no risk.</w:t>
      </w:r>
    </w:p>
    <w:p>
      <w:r>
        <w:t xml:space="preserve">The work was performed in a controlled academic lab. The original assessment identifies the Kali workstation as 192.168.64.3 and records Nmap 7.94 and arp-scan 1.10.0 as the primary assessment tools. </w:t>
      </w:r>
    </w:p>
    <w:p>
      <w:pPr>
        <w:pStyle w:val="Heading1"/>
      </w:pPr>
      <w:r>
        <w:t>2. Project Scope, Objectives, and Methodology</w:t>
      </w:r>
    </w:p>
    <w:p>
      <w:pPr>
        <w:pStyle w:val="Heading2"/>
      </w:pPr>
      <w:r>
        <w:t>2.1 Scope</w:t>
      </w:r>
    </w:p>
    <w:p>
      <w:r>
        <w:t>The assessment included local asset discovery on 192.168.64.0/24 and a separate routed vulnerability scan against 10.11.3.185, a host identified as running Wazuh dashboard and OpenSearch services. Because the target was outside the discovery subnet, the original report correctly treats these as distinct assessment activities.</w:t>
      </w:r>
    </w:p>
    <w:p>
      <w:pPr>
        <w:pStyle w:val="Heading2"/>
      </w:pPr>
      <w:r>
        <w:t>2.2 Tools and Commands</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Arial" w:hAnsi="Arial"/>
                <w:sz w:val="17"/>
              </w:rPr>
              <w:t>Phase</w:t>
            </w:r>
          </w:p>
        </w:tc>
        <w:tc>
          <w:tcPr>
            <w:tcW w:type="dxa" w:w="3312"/>
            <w:vAlign w:val="center"/>
          </w:tcPr>
          <w:p>
            <w:r>
              <w:rPr>
                <w:rFonts w:ascii="Arial" w:hAnsi="Arial"/>
                <w:sz w:val="17"/>
              </w:rPr>
              <w:t>Tool</w:t>
            </w:r>
          </w:p>
        </w:tc>
        <w:tc>
          <w:tcPr>
            <w:tcW w:type="dxa" w:w="3312"/>
            <w:vAlign w:val="center"/>
          </w:tcPr>
          <w:p>
            <w:r>
              <w:rPr>
                <w:rFonts w:ascii="Arial" w:hAnsi="Arial"/>
                <w:sz w:val="17"/>
              </w:rPr>
              <w:t>Command</w:t>
            </w:r>
          </w:p>
        </w:tc>
      </w:tr>
      <w:tr>
        <w:tc>
          <w:tcPr>
            <w:tcW w:type="dxa" w:w="3312"/>
            <w:vAlign w:val="center"/>
          </w:tcPr>
          <w:p>
            <w:r>
              <w:rPr>
                <w:rFonts w:ascii="Arial" w:hAnsi="Arial"/>
                <w:sz w:val="17"/>
              </w:rPr>
              <w:t>Host discovery</w:t>
            </w:r>
          </w:p>
        </w:tc>
        <w:tc>
          <w:tcPr>
            <w:tcW w:type="dxa" w:w="3312"/>
            <w:vAlign w:val="center"/>
          </w:tcPr>
          <w:p>
            <w:r>
              <w:rPr>
                <w:rFonts w:ascii="Arial" w:hAnsi="Arial"/>
                <w:sz w:val="17"/>
              </w:rPr>
              <w:t>Nmap</w:t>
            </w:r>
          </w:p>
        </w:tc>
        <w:tc>
          <w:tcPr>
            <w:tcW w:type="dxa" w:w="3312"/>
            <w:vAlign w:val="center"/>
          </w:tcPr>
          <w:p>
            <w:r>
              <w:rPr>
                <w:rFonts w:ascii="Arial" w:hAnsi="Arial"/>
                <w:sz w:val="17"/>
              </w:rPr>
              <w:t>nmap -sn 192.168.64.0/24</w:t>
            </w:r>
          </w:p>
        </w:tc>
      </w:tr>
      <w:tr>
        <w:tc>
          <w:tcPr>
            <w:tcW w:type="dxa" w:w="3312"/>
            <w:vAlign w:val="center"/>
          </w:tcPr>
          <w:p>
            <w:r>
              <w:rPr>
                <w:rFonts w:ascii="Arial" w:hAnsi="Arial"/>
                <w:sz w:val="17"/>
              </w:rPr>
              <w:t>Layer-2 verification</w:t>
            </w:r>
          </w:p>
        </w:tc>
        <w:tc>
          <w:tcPr>
            <w:tcW w:type="dxa" w:w="3312"/>
            <w:vAlign w:val="center"/>
          </w:tcPr>
          <w:p>
            <w:r>
              <w:rPr>
                <w:rFonts w:ascii="Arial" w:hAnsi="Arial"/>
                <w:sz w:val="17"/>
              </w:rPr>
              <w:t>arp-scan</w:t>
            </w:r>
          </w:p>
        </w:tc>
        <w:tc>
          <w:tcPr>
            <w:tcW w:type="dxa" w:w="3312"/>
            <w:vAlign w:val="center"/>
          </w:tcPr>
          <w:p>
            <w:r>
              <w:rPr>
                <w:rFonts w:ascii="Arial" w:hAnsi="Arial"/>
                <w:sz w:val="17"/>
              </w:rPr>
              <w:t>sudo arp-scan --localnet</w:t>
            </w:r>
          </w:p>
        </w:tc>
      </w:tr>
      <w:tr>
        <w:tc>
          <w:tcPr>
            <w:tcW w:type="dxa" w:w="3312"/>
            <w:vAlign w:val="center"/>
          </w:tcPr>
          <w:p>
            <w:r>
              <w:rPr>
                <w:rFonts w:ascii="Arial" w:hAnsi="Arial"/>
                <w:sz w:val="17"/>
              </w:rPr>
              <w:t>NSE database update</w:t>
            </w:r>
          </w:p>
        </w:tc>
        <w:tc>
          <w:tcPr>
            <w:tcW w:type="dxa" w:w="3312"/>
            <w:vAlign w:val="center"/>
          </w:tcPr>
          <w:p>
            <w:r>
              <w:rPr>
                <w:rFonts w:ascii="Arial" w:hAnsi="Arial"/>
                <w:sz w:val="17"/>
              </w:rPr>
              <w:t>Nmap</w:t>
            </w:r>
          </w:p>
        </w:tc>
        <w:tc>
          <w:tcPr>
            <w:tcW w:type="dxa" w:w="3312"/>
            <w:vAlign w:val="center"/>
          </w:tcPr>
          <w:p>
            <w:r>
              <w:rPr>
                <w:rFonts w:ascii="Arial" w:hAnsi="Arial"/>
                <w:sz w:val="17"/>
              </w:rPr>
              <w:t>sudo nmap --script-updatedb</w:t>
            </w:r>
          </w:p>
        </w:tc>
      </w:tr>
      <w:tr>
        <w:tc>
          <w:tcPr>
            <w:tcW w:type="dxa" w:w="3312"/>
            <w:vAlign w:val="center"/>
          </w:tcPr>
          <w:p>
            <w:r>
              <w:rPr>
                <w:rFonts w:ascii="Arial" w:hAnsi="Arial"/>
                <w:sz w:val="17"/>
              </w:rPr>
              <w:t>Vulnerability scan</w:t>
            </w:r>
          </w:p>
        </w:tc>
        <w:tc>
          <w:tcPr>
            <w:tcW w:type="dxa" w:w="3312"/>
            <w:vAlign w:val="center"/>
          </w:tcPr>
          <w:p>
            <w:r>
              <w:rPr>
                <w:rFonts w:ascii="Arial" w:hAnsi="Arial"/>
                <w:sz w:val="17"/>
              </w:rPr>
              <w:t>Nmap NSE</w:t>
            </w:r>
          </w:p>
        </w:tc>
        <w:tc>
          <w:tcPr>
            <w:tcW w:type="dxa" w:w="3312"/>
            <w:vAlign w:val="center"/>
          </w:tcPr>
          <w:p>
            <w:r>
              <w:rPr>
                <w:rFonts w:ascii="Arial" w:hAnsi="Arial"/>
                <w:sz w:val="17"/>
              </w:rPr>
              <w:t>sudo nmap -sV --script vuln 10.11.3.185</w:t>
            </w:r>
          </w:p>
        </w:tc>
      </w:tr>
    </w:tbl>
    <w:p>
      <w:pPr>
        <w:pStyle w:val="Heading1"/>
      </w:pPr>
      <w:r>
        <w:t>3. Vulnerability Assessment and Findings</w:t>
      </w:r>
    </w:p>
    <w:p>
      <w:pPr>
        <w:pStyle w:val="Heading2"/>
      </w:pPr>
      <w:r>
        <w:t>3.1 Asset Discovery</w:t>
      </w:r>
    </w:p>
    <w:p>
      <w:r>
        <w:t>The discovery scan identified two responsive hosts: 192.168.64.1, interpreted as a gateway/virtual NAT device, and 192.168.64.3, the Kali assessment host. Only 2 of 256 addresses responded. The target 10.11.3.185 was reached through routing rather than direct ARP.</w:t>
      </w:r>
    </w:p>
    <w:tbl>
      <w:tblPr>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Arial" w:hAnsi="Arial"/>
                <w:sz w:val="17"/>
              </w:rPr>
              <w:t>Asset</w:t>
            </w:r>
          </w:p>
        </w:tc>
        <w:tc>
          <w:tcPr>
            <w:tcW w:type="dxa" w:w="3312"/>
            <w:vAlign w:val="center"/>
          </w:tcPr>
          <w:p>
            <w:r>
              <w:rPr>
                <w:rFonts w:ascii="Arial" w:hAnsi="Arial"/>
                <w:sz w:val="17"/>
              </w:rPr>
              <w:t>Observed Role</w:t>
            </w:r>
          </w:p>
        </w:tc>
        <w:tc>
          <w:tcPr>
            <w:tcW w:type="dxa" w:w="3312"/>
            <w:vAlign w:val="center"/>
          </w:tcPr>
          <w:p>
            <w:r>
              <w:rPr>
                <w:rFonts w:ascii="Arial" w:hAnsi="Arial"/>
                <w:sz w:val="17"/>
              </w:rPr>
              <w:t>Security Importance</w:t>
            </w:r>
          </w:p>
        </w:tc>
      </w:tr>
      <w:tr>
        <w:tc>
          <w:tcPr>
            <w:tcW w:type="dxa" w:w="3312"/>
            <w:vAlign w:val="center"/>
          </w:tcPr>
          <w:p>
            <w:r>
              <w:rPr>
                <w:rFonts w:ascii="Arial" w:hAnsi="Arial"/>
                <w:sz w:val="17"/>
              </w:rPr>
              <w:t>192.168.64.1</w:t>
            </w:r>
          </w:p>
        </w:tc>
        <w:tc>
          <w:tcPr>
            <w:tcW w:type="dxa" w:w="3312"/>
            <w:vAlign w:val="center"/>
          </w:tcPr>
          <w:p>
            <w:r>
              <w:rPr>
                <w:rFonts w:ascii="Arial" w:hAnsi="Arial"/>
                <w:sz w:val="17"/>
              </w:rPr>
              <w:t>Gateway / virtual NAT</w:t>
            </w:r>
          </w:p>
        </w:tc>
        <w:tc>
          <w:tcPr>
            <w:tcW w:type="dxa" w:w="3312"/>
            <w:vAlign w:val="center"/>
          </w:tcPr>
          <w:p>
            <w:r>
              <w:rPr>
                <w:rFonts w:ascii="Arial" w:hAnsi="Arial"/>
                <w:sz w:val="17"/>
              </w:rPr>
              <w:t>Single point of failure for the local segment</w:t>
            </w:r>
          </w:p>
        </w:tc>
      </w:tr>
      <w:tr>
        <w:tc>
          <w:tcPr>
            <w:tcW w:type="dxa" w:w="3312"/>
            <w:vAlign w:val="center"/>
          </w:tcPr>
          <w:p>
            <w:r>
              <w:rPr>
                <w:rFonts w:ascii="Arial" w:hAnsi="Arial"/>
                <w:sz w:val="17"/>
              </w:rPr>
              <w:t>192.168.64.3</w:t>
            </w:r>
          </w:p>
        </w:tc>
        <w:tc>
          <w:tcPr>
            <w:tcW w:type="dxa" w:w="3312"/>
            <w:vAlign w:val="center"/>
          </w:tcPr>
          <w:p>
            <w:r>
              <w:rPr>
                <w:rFonts w:ascii="Arial" w:hAnsi="Arial"/>
                <w:sz w:val="17"/>
              </w:rPr>
              <w:t>Kali assessment host</w:t>
            </w:r>
          </w:p>
        </w:tc>
        <w:tc>
          <w:tcPr>
            <w:tcW w:type="dxa" w:w="3312"/>
            <w:vAlign w:val="center"/>
          </w:tcPr>
          <w:p>
            <w:r>
              <w:rPr>
                <w:rFonts w:ascii="Arial" w:hAnsi="Arial"/>
                <w:sz w:val="17"/>
              </w:rPr>
              <w:t>Assessment workstation</w:t>
            </w:r>
          </w:p>
        </w:tc>
      </w:tr>
      <w:tr>
        <w:tc>
          <w:tcPr>
            <w:tcW w:type="dxa" w:w="3312"/>
            <w:vAlign w:val="center"/>
          </w:tcPr>
          <w:p>
            <w:r>
              <w:rPr>
                <w:rFonts w:ascii="Arial" w:hAnsi="Arial"/>
                <w:sz w:val="17"/>
              </w:rPr>
              <w:t>10.11.3.185</w:t>
            </w:r>
          </w:p>
        </w:tc>
        <w:tc>
          <w:tcPr>
            <w:tcW w:type="dxa" w:w="3312"/>
            <w:vAlign w:val="center"/>
          </w:tcPr>
          <w:p>
            <w:r>
              <w:rPr>
                <w:rFonts w:ascii="Arial" w:hAnsi="Arial"/>
                <w:sz w:val="17"/>
              </w:rPr>
              <w:t>Wazuh dashboard / OpenSearch</w:t>
            </w:r>
          </w:p>
        </w:tc>
        <w:tc>
          <w:tcPr>
            <w:tcW w:type="dxa" w:w="3312"/>
            <w:vAlign w:val="center"/>
          </w:tcPr>
          <w:p>
            <w:r>
              <w:rPr>
                <w:rFonts w:ascii="Arial" w:hAnsi="Arial"/>
                <w:sz w:val="17"/>
              </w:rPr>
              <w:t>High-value security monitoring infrastructure</w:t>
            </w:r>
          </w:p>
        </w:tc>
      </w:tr>
    </w:tbl>
    <w:p>
      <w:pPr>
        <w:pStyle w:val="Heading2"/>
      </w:pPr>
      <w:r>
        <w:t>3.2 Vulnerability Scan Results</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Arial" w:hAnsi="Arial"/>
                <w:sz w:val="17"/>
              </w:rPr>
              <w:t>Port</w:t>
            </w:r>
          </w:p>
        </w:tc>
        <w:tc>
          <w:tcPr>
            <w:tcW w:type="dxa" w:w="2484"/>
            <w:vAlign w:val="center"/>
          </w:tcPr>
          <w:p>
            <w:r>
              <w:rPr>
                <w:rFonts w:ascii="Arial" w:hAnsi="Arial"/>
                <w:sz w:val="17"/>
              </w:rPr>
              <w:t>Service</w:t>
            </w:r>
          </w:p>
        </w:tc>
        <w:tc>
          <w:tcPr>
            <w:tcW w:type="dxa" w:w="2484"/>
            <w:vAlign w:val="center"/>
          </w:tcPr>
          <w:p>
            <w:r>
              <w:rPr>
                <w:rFonts w:ascii="Arial" w:hAnsi="Arial"/>
                <w:sz w:val="17"/>
              </w:rPr>
              <w:t>Finding</w:t>
            </w:r>
          </w:p>
        </w:tc>
        <w:tc>
          <w:tcPr>
            <w:tcW w:type="dxa" w:w="2484"/>
            <w:vAlign w:val="center"/>
          </w:tcPr>
          <w:p>
            <w:r>
              <w:rPr>
                <w:rFonts w:ascii="Arial" w:hAnsi="Arial"/>
                <w:sz w:val="17"/>
              </w:rPr>
              <w:t>Severity</w:t>
            </w:r>
          </w:p>
        </w:tc>
      </w:tr>
      <w:tr>
        <w:tc>
          <w:tcPr>
            <w:tcW w:type="dxa" w:w="2484"/>
            <w:vAlign w:val="center"/>
          </w:tcPr>
          <w:p>
            <w:r>
              <w:rPr>
                <w:rFonts w:ascii="Arial" w:hAnsi="Arial"/>
                <w:sz w:val="17"/>
              </w:rPr>
              <w:t>53/tcp</w:t>
            </w:r>
          </w:p>
        </w:tc>
        <w:tc>
          <w:tcPr>
            <w:tcW w:type="dxa" w:w="2484"/>
            <w:vAlign w:val="center"/>
          </w:tcPr>
          <w:p>
            <w:r>
              <w:rPr>
                <w:rFonts w:ascii="Arial" w:hAnsi="Arial"/>
                <w:sz w:val="17"/>
              </w:rPr>
              <w:t>DNS</w:t>
            </w:r>
          </w:p>
        </w:tc>
        <w:tc>
          <w:tcPr>
            <w:tcW w:type="dxa" w:w="2484"/>
            <w:vAlign w:val="center"/>
          </w:tcPr>
          <w:p>
            <w:r>
              <w:rPr>
                <w:rFonts w:ascii="Arial" w:hAnsi="Arial"/>
                <w:sz w:val="17"/>
              </w:rPr>
              <w:t>Fingerprint ambiguity; verify intentional resolver behavior</w:t>
            </w:r>
          </w:p>
        </w:tc>
        <w:tc>
          <w:tcPr>
            <w:tcW w:type="dxa" w:w="2484"/>
            <w:vAlign w:val="center"/>
          </w:tcPr>
          <w:p>
            <w:r>
              <w:rPr>
                <w:rFonts w:ascii="Arial" w:hAnsi="Arial"/>
                <w:sz w:val="17"/>
              </w:rPr>
              <w:t>Low / Informational</w:t>
            </w:r>
          </w:p>
        </w:tc>
      </w:tr>
      <w:tr>
        <w:tc>
          <w:tcPr>
            <w:tcW w:type="dxa" w:w="2484"/>
            <w:vAlign w:val="center"/>
          </w:tcPr>
          <w:p>
            <w:r>
              <w:rPr>
                <w:rFonts w:ascii="Arial" w:hAnsi="Arial"/>
                <w:sz w:val="17"/>
              </w:rPr>
              <w:t>443/tcp</w:t>
            </w:r>
          </w:p>
        </w:tc>
        <w:tc>
          <w:tcPr>
            <w:tcW w:type="dxa" w:w="2484"/>
            <w:vAlign w:val="center"/>
          </w:tcPr>
          <w:p>
            <w:r>
              <w:rPr>
                <w:rFonts w:ascii="Arial" w:hAnsi="Arial"/>
                <w:sz w:val="17"/>
              </w:rPr>
              <w:t>HTTPS / Wazuh</w:t>
            </w:r>
          </w:p>
        </w:tc>
        <w:tc>
          <w:tcPr>
            <w:tcW w:type="dxa" w:w="2484"/>
            <w:vAlign w:val="center"/>
          </w:tcPr>
          <w:p>
            <w:r>
              <w:rPr>
                <w:rFonts w:ascii="Arial" w:hAnsi="Arial"/>
                <w:sz w:val="17"/>
              </w:rPr>
              <w:t>Product fingerprint disclosure; authentication observed</w:t>
            </w:r>
          </w:p>
        </w:tc>
        <w:tc>
          <w:tcPr>
            <w:tcW w:type="dxa" w:w="2484"/>
            <w:vAlign w:val="center"/>
          </w:tcPr>
          <w:p>
            <w:r>
              <w:rPr>
                <w:rFonts w:ascii="Arial" w:hAnsi="Arial"/>
                <w:sz w:val="17"/>
              </w:rPr>
              <w:t>Low</w:t>
            </w:r>
          </w:p>
        </w:tc>
      </w:tr>
      <w:tr>
        <w:tc>
          <w:tcPr>
            <w:tcW w:type="dxa" w:w="2484"/>
            <w:vAlign w:val="center"/>
          </w:tcPr>
          <w:p>
            <w:r>
              <w:rPr>
                <w:rFonts w:ascii="Arial" w:hAnsi="Arial"/>
                <w:sz w:val="17"/>
              </w:rPr>
              <w:t>9200/tcp</w:t>
            </w:r>
          </w:p>
        </w:tc>
        <w:tc>
          <w:tcPr>
            <w:tcW w:type="dxa" w:w="2484"/>
            <w:vAlign w:val="center"/>
          </w:tcPr>
          <w:p>
            <w:r>
              <w:rPr>
                <w:rFonts w:ascii="Arial" w:hAnsi="Arial"/>
                <w:sz w:val="17"/>
              </w:rPr>
              <w:t>HTTPS / OpenSearch</w:t>
            </w:r>
          </w:p>
        </w:tc>
        <w:tc>
          <w:tcPr>
            <w:tcW w:type="dxa" w:w="2484"/>
            <w:vAlign w:val="center"/>
          </w:tcPr>
          <w:p>
            <w:r>
              <w:rPr>
                <w:rFonts w:ascii="Arial" w:hAnsi="Arial"/>
                <w:sz w:val="17"/>
              </w:rPr>
              <w:t>REST API reachable before authentication challenge</w:t>
            </w:r>
          </w:p>
        </w:tc>
        <w:tc>
          <w:tcPr>
            <w:tcW w:type="dxa" w:w="2484"/>
            <w:vAlign w:val="center"/>
          </w:tcPr>
          <w:p>
            <w:r>
              <w:rPr>
                <w:rFonts w:ascii="Arial" w:hAnsi="Arial"/>
                <w:sz w:val="17"/>
              </w:rPr>
              <w:t>Medium</w:t>
            </w:r>
          </w:p>
        </w:tc>
      </w:tr>
    </w:tbl>
    <w:p>
      <w:r>
        <w:t>The Nmap NSE vulnerability scripts did not identify XSS or CSRF issues on the tested Wazuh dashboard surface, and unauthenticated requests to both the dashboard/API and OpenSearch returned 401 Unauthorized. The original assessment therefore concluded that no CVE-classified vulnerability was confirmed.</w:t>
      </w:r>
    </w:p>
    <w:p>
      <w:pPr>
        <w:pStyle w:val="Heading1"/>
      </w:pPr>
      <w:r>
        <w:t>4. Risk Management Strategy</w:t>
      </w:r>
    </w:p>
    <w:p>
      <w:pPr>
        <w:pStyle w:val="Heading2"/>
      </w:pPr>
      <w:r>
        <w:t>4.1 Risk Assessment Method</w:t>
      </w:r>
    </w:p>
    <w:p>
      <w:r>
        <w:t>Risk is evaluated qualitatively using Asset Criticality × Likelihood × Impact. The purpose is to prioritize security work even when a scanner does not produce a CVSS score. Likelihood considers network exposure, attack surface, authentication boundary, and ease of reconnaissance. Impact considers confidentiality, integrity, availability, and the special importance of security-monitoring infrastructure.</w:t>
      </w:r>
    </w:p>
    <w:p>
      <w:pPr>
        <w:pStyle w:val="Heading2"/>
      </w:pPr>
      <w:r>
        <w:t>4.2 Critical Risk #1 – Exposure of the OpenSearch REST API</w:t>
      </w:r>
    </w:p>
    <w:p>
      <w:r>
        <w:t>Risk statement: TCP/9200 exposes the OpenSearch REST API to the routed assessment environment. The service correctly returned 401 Unauthorized, but the exposed service increases attack surface. If a future authentication bypass, vulnerable version, credential compromise, or configuration weakness were present, an attacker could potentially access or manipulate SIEM data.</w:t>
      </w:r>
    </w:p>
    <w:p>
      <w:r>
        <w:t>Why this is critical: OpenSearch supports the Wazuh security-monitoring stack. Compromise could affect the confidentiality and integrity of security data and could impair detection and investigation.</w:t>
      </w:r>
    </w:p>
    <w:p>
      <w:r>
        <w:t>Treatment: Risk reduction / mitigation.</w:t>
      </w:r>
    </w:p>
    <w:p>
      <w:pPr>
        <w:pStyle w:val="ListBullet"/>
      </w:pPr>
      <w:r>
        <w:t>Basic mitigation steps:</w:t>
      </w:r>
    </w:p>
    <w:p>
      <w:pPr>
        <w:pStyle w:val="ListBullet2"/>
      </w:pPr>
      <w:r>
        <w:t>Restrict TCP/9200 with a host firewall so only required Wazuh components can reach it.</w:t>
      </w:r>
    </w:p>
    <w:p>
      <w:pPr>
        <w:pStyle w:val="ListBullet2"/>
      </w:pPr>
      <w:r>
        <w:t>Confirm the OpenSearch version and apply supported security updates.</w:t>
      </w:r>
    </w:p>
    <w:p>
      <w:pPr>
        <w:pStyle w:val="ListBullet2"/>
      </w:pPr>
      <w:r>
        <w:t>Keep authentication and authorization enabled; do not expose the REST API directly to untrusted networks.</w:t>
      </w:r>
    </w:p>
    <w:p>
      <w:pPr>
        <w:pStyle w:val="ListBullet2"/>
      </w:pPr>
      <w:r>
        <w:t>Monitor failed authentication and unusual REST requests.</w:t>
      </w:r>
    </w:p>
    <w:p>
      <w:pPr>
        <w:pStyle w:val="ListBullet2"/>
      </w:pPr>
      <w:r>
        <w:t>Re-scan TCP/9200 after the change to validate that unnecessary access has been removed.</w:t>
      </w:r>
    </w:p>
    <w:p>
      <w:pPr>
        <w:pStyle w:val="Heading2"/>
      </w:pPr>
      <w:r>
        <w:t>4.3 Critical Risk #2 – Compromise or Abuse of the Wazuh Administrative Dashboard</w:t>
      </w:r>
    </w:p>
    <w:p>
      <w:r>
        <w:t>Risk statement: TCP/443 exposes the Wazuh dashboard, and the response identifies the product as wazuh.dashboard. Although the tested unauthenticated requests were redirected to login and direct API requests returned 401, the dashboard is security-critical administrative infrastructure. Unauthorized access could allow an attacker to view security information, manipulate monitoring configuration, or reduce defender visibility.</w:t>
      </w:r>
    </w:p>
    <w:p>
      <w:r>
        <w:t>Why this is critical: the dashboard is part of the defensive control plane. A compromise can have a disproportionate impact because it may undermine the organization's ability to see and respond to other attacks.</w:t>
      </w:r>
    </w:p>
    <w:p>
      <w:r>
        <w:t>Treatment: Risk reduction / mitigation.</w:t>
      </w:r>
    </w:p>
    <w:p>
      <w:pPr>
        <w:pStyle w:val="ListBullet2"/>
      </w:pPr>
      <w:r>
        <w:t>Limit dashboard access to trusted management networks or VPN/allowlisted sources.</w:t>
      </w:r>
    </w:p>
    <w:p>
      <w:pPr>
        <w:pStyle w:val="ListBullet2"/>
      </w:pPr>
      <w:r>
        <w:t>Use strong unique administrative credentials and MFA where supported.</w:t>
      </w:r>
    </w:p>
    <w:p>
      <w:pPr>
        <w:pStyle w:val="ListBullet2"/>
      </w:pPr>
      <w:r>
        <w:t>Monitor authentication failures, new sessions, configuration changes, and administrative activity.</w:t>
      </w:r>
    </w:p>
    <w:p>
      <w:pPr>
        <w:pStyle w:val="ListBullet2"/>
      </w:pPr>
      <w:r>
        <w:t>Keep Wazuh dashboard components patched and remove unnecessary exposure.</w:t>
      </w:r>
    </w:p>
    <w:p>
      <w:pPr>
        <w:pStyle w:val="ListBullet2"/>
      </w:pPr>
      <w:r>
        <w:t>Review logs after each security-control change to confirm monitoring remains functional.</w:t>
      </w:r>
    </w:p>
    <w:p>
      <w:pPr>
        <w:pStyle w:val="Heading2"/>
      </w:pPr>
      <w:r>
        <w:t>4.4 Supporting Risks</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Arial" w:hAnsi="Arial"/>
                <w:sz w:val="17"/>
              </w:rPr>
              <w:t>Finding</w:t>
            </w:r>
          </w:p>
        </w:tc>
        <w:tc>
          <w:tcPr>
            <w:tcW w:type="dxa" w:w="2484"/>
            <w:vAlign w:val="center"/>
          </w:tcPr>
          <w:p>
            <w:r>
              <w:rPr>
                <w:rFonts w:ascii="Arial" w:hAnsi="Arial"/>
                <w:sz w:val="17"/>
              </w:rPr>
              <w:t>Risk</w:t>
            </w:r>
          </w:p>
        </w:tc>
        <w:tc>
          <w:tcPr>
            <w:tcW w:type="dxa" w:w="2484"/>
            <w:vAlign w:val="center"/>
          </w:tcPr>
          <w:p>
            <w:r>
              <w:rPr>
                <w:rFonts w:ascii="Arial" w:hAnsi="Arial"/>
                <w:sz w:val="17"/>
              </w:rPr>
              <w:t>Treatment</w:t>
            </w:r>
          </w:p>
        </w:tc>
        <w:tc>
          <w:tcPr>
            <w:tcW w:type="dxa" w:w="2484"/>
            <w:vAlign w:val="center"/>
          </w:tcPr>
          <w:p>
            <w:r>
              <w:rPr>
                <w:rFonts w:ascii="Arial" w:hAnsi="Arial"/>
                <w:sz w:val="17"/>
              </w:rPr>
              <w:t>Priority</w:t>
            </w:r>
          </w:p>
        </w:tc>
      </w:tr>
      <w:tr>
        <w:tc>
          <w:tcPr>
            <w:tcW w:type="dxa" w:w="2484"/>
            <w:vAlign w:val="center"/>
          </w:tcPr>
          <w:p>
            <w:r>
              <w:rPr>
                <w:rFonts w:ascii="Arial" w:hAnsi="Arial"/>
                <w:sz w:val="17"/>
              </w:rPr>
              <w:t>DNS fingerprint ambiguity</w:t>
            </w:r>
          </w:p>
        </w:tc>
        <w:tc>
          <w:tcPr>
            <w:tcW w:type="dxa" w:w="2484"/>
            <w:vAlign w:val="center"/>
          </w:tcPr>
          <w:p>
            <w:r>
              <w:rPr>
                <w:rFonts w:ascii="Arial" w:hAnsi="Arial"/>
                <w:sz w:val="17"/>
              </w:rPr>
              <w:t>Possible unintended or overly broad DNS service</w:t>
            </w:r>
          </w:p>
        </w:tc>
        <w:tc>
          <w:tcPr>
            <w:tcW w:type="dxa" w:w="2484"/>
            <w:vAlign w:val="center"/>
          </w:tcPr>
          <w:p>
            <w:r>
              <w:rPr>
                <w:rFonts w:ascii="Arial" w:hAnsi="Arial"/>
                <w:sz w:val="17"/>
              </w:rPr>
              <w:t>Verify service, disable if unnecessary, test resolver scope</w:t>
            </w:r>
          </w:p>
        </w:tc>
        <w:tc>
          <w:tcPr>
            <w:tcW w:type="dxa" w:w="2484"/>
            <w:vAlign w:val="center"/>
          </w:tcPr>
          <w:p>
            <w:r>
              <w:rPr>
                <w:rFonts w:ascii="Arial" w:hAnsi="Arial"/>
                <w:sz w:val="17"/>
              </w:rPr>
              <w:t>Medium/Low</w:t>
            </w:r>
          </w:p>
        </w:tc>
      </w:tr>
      <w:tr>
        <w:tc>
          <w:tcPr>
            <w:tcW w:type="dxa" w:w="2484"/>
            <w:vAlign w:val="center"/>
          </w:tcPr>
          <w:p>
            <w:r>
              <w:rPr>
                <w:rFonts w:ascii="Arial" w:hAnsi="Arial"/>
                <w:sz w:val="17"/>
              </w:rPr>
              <w:t>Product fingerprint disclosure</w:t>
            </w:r>
          </w:p>
        </w:tc>
        <w:tc>
          <w:tcPr>
            <w:tcW w:type="dxa" w:w="2484"/>
            <w:vAlign w:val="center"/>
          </w:tcPr>
          <w:p>
            <w:r>
              <w:rPr>
                <w:rFonts w:ascii="Arial" w:hAnsi="Arial"/>
                <w:sz w:val="17"/>
              </w:rPr>
              <w:t>Makes targeted reconnaissance easier</w:t>
            </w:r>
          </w:p>
        </w:tc>
        <w:tc>
          <w:tcPr>
            <w:tcW w:type="dxa" w:w="2484"/>
            <w:vAlign w:val="center"/>
          </w:tcPr>
          <w:p>
            <w:r>
              <w:rPr>
                <w:rFonts w:ascii="Arial" w:hAnsi="Arial"/>
                <w:sz w:val="17"/>
              </w:rPr>
              <w:t>Minimize identifying headers where feasible</w:t>
            </w:r>
          </w:p>
        </w:tc>
        <w:tc>
          <w:tcPr>
            <w:tcW w:type="dxa" w:w="2484"/>
            <w:vAlign w:val="center"/>
          </w:tcPr>
          <w:p>
            <w:r>
              <w:rPr>
                <w:rFonts w:ascii="Arial" w:hAnsi="Arial"/>
                <w:sz w:val="17"/>
              </w:rPr>
              <w:t>Low</w:t>
            </w:r>
          </w:p>
        </w:tc>
      </w:tr>
      <w:tr>
        <w:tc>
          <w:tcPr>
            <w:tcW w:type="dxa" w:w="2484"/>
            <w:vAlign w:val="center"/>
          </w:tcPr>
          <w:p>
            <w:r>
              <w:rPr>
                <w:rFonts w:ascii="Arial" w:hAnsi="Arial"/>
                <w:sz w:val="17"/>
              </w:rPr>
              <w:t>Scope gap</w:t>
            </w:r>
          </w:p>
        </w:tc>
        <w:tc>
          <w:tcPr>
            <w:tcW w:type="dxa" w:w="2484"/>
            <w:vAlign w:val="center"/>
          </w:tcPr>
          <w:p>
            <w:r>
              <w:rPr>
                <w:rFonts w:ascii="Arial" w:hAnsi="Arial"/>
                <w:sz w:val="17"/>
              </w:rPr>
              <w:t>10.11.3.0/24 was not discovery-scanned</w:t>
            </w:r>
          </w:p>
        </w:tc>
        <w:tc>
          <w:tcPr>
            <w:tcW w:type="dxa" w:w="2484"/>
            <w:vAlign w:val="center"/>
          </w:tcPr>
          <w:p>
            <w:r>
              <w:rPr>
                <w:rFonts w:ascii="Arial" w:hAnsi="Arial"/>
                <w:sz w:val="17"/>
              </w:rPr>
              <w:t>Perform asset discovery on target segment</w:t>
            </w:r>
          </w:p>
        </w:tc>
        <w:tc>
          <w:tcPr>
            <w:tcW w:type="dxa" w:w="2484"/>
            <w:vAlign w:val="center"/>
          </w:tcPr>
          <w:p>
            <w:r>
              <w:rPr>
                <w:rFonts w:ascii="Arial" w:hAnsi="Arial"/>
                <w:sz w:val="17"/>
              </w:rPr>
              <w:t>Medium</w:t>
            </w:r>
          </w:p>
        </w:tc>
      </w:tr>
    </w:tbl>
    <w:p>
      <w:pPr>
        <w:pStyle w:val="Heading1"/>
      </w:pPr>
      <w:r>
        <w:t>5. Risk Monitoring Procedure</w:t>
      </w:r>
    </w:p>
    <w:p>
      <w:r>
        <w:t>The following procedure provides a repeatable way to track the identified risks from discovery through remediation. Each risk receives an owner, status, evidence, target date, and verification result.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rFonts w:ascii="Arial" w:hAnsi="Arial"/>
                <w:sz w:val="17"/>
              </w:rPr>
              <w:t>Step</w:t>
            </w:r>
          </w:p>
        </w:tc>
        <w:tc>
          <w:tcPr>
            <w:tcW w:type="dxa" w:w="1656"/>
            <w:vAlign w:val="center"/>
          </w:tcPr>
          <w:p>
            <w:r>
              <w:rPr>
                <w:rFonts w:ascii="Arial" w:hAnsi="Arial"/>
                <w:sz w:val="17"/>
              </w:rPr>
              <w:t>Action</w:t>
            </w:r>
          </w:p>
        </w:tc>
        <w:tc>
          <w:tcPr>
            <w:tcW w:type="dxa" w:w="1656"/>
            <w:vAlign w:val="center"/>
          </w:tcPr>
          <w:p>
            <w:r>
              <w:rPr>
                <w:rFonts w:ascii="Arial" w:hAnsi="Arial"/>
                <w:sz w:val="17"/>
              </w:rPr>
              <w:t>Evidence</w:t>
            </w:r>
          </w:p>
        </w:tc>
        <w:tc>
          <w:tcPr>
            <w:tcW w:type="dxa" w:w="1656"/>
            <w:vAlign w:val="center"/>
          </w:tcPr>
          <w:p>
            <w:r>
              <w:rPr>
                <w:rFonts w:ascii="Arial" w:hAnsi="Arial"/>
                <w:sz w:val="17"/>
              </w:rPr>
              <w:t>Frequency</w:t>
            </w:r>
          </w:p>
        </w:tc>
        <w:tc>
          <w:tcPr>
            <w:tcW w:type="dxa" w:w="1656"/>
            <w:vAlign w:val="center"/>
          </w:tcPr>
          <w:p>
            <w:r>
              <w:rPr>
                <w:rFonts w:ascii="Arial" w:hAnsi="Arial"/>
                <w:sz w:val="17"/>
              </w:rPr>
              <w:t>Owner</w:t>
            </w:r>
          </w:p>
        </w:tc>
        <w:tc>
          <w:tcPr>
            <w:tcW w:type="dxa" w:w="1656"/>
            <w:vAlign w:val="center"/>
          </w:tcPr>
          <w:p>
            <w:r>
              <w:rPr>
                <w:rFonts w:ascii="Arial" w:hAnsi="Arial"/>
                <w:sz w:val="17"/>
              </w:rPr>
              <w:t>Exit Criteria</w:t>
            </w:r>
          </w:p>
        </w:tc>
      </w:tr>
      <w:tr>
        <w:tc>
          <w:tcPr>
            <w:tcW w:type="dxa" w:w="1656"/>
            <w:vAlign w:val="center"/>
          </w:tcPr>
          <w:p>
            <w:r>
              <w:rPr>
                <w:rFonts w:ascii="Arial" w:hAnsi="Arial"/>
                <w:sz w:val="17"/>
              </w:rPr>
              <w:t>1</w:t>
            </w:r>
          </w:p>
        </w:tc>
        <w:tc>
          <w:tcPr>
            <w:tcW w:type="dxa" w:w="1656"/>
            <w:vAlign w:val="center"/>
          </w:tcPr>
          <w:p>
            <w:r>
              <w:rPr>
                <w:rFonts w:ascii="Arial" w:hAnsi="Arial"/>
                <w:sz w:val="17"/>
              </w:rPr>
              <w:t>Record each finding in a risk register</w:t>
            </w:r>
          </w:p>
        </w:tc>
        <w:tc>
          <w:tcPr>
            <w:tcW w:type="dxa" w:w="1656"/>
            <w:vAlign w:val="center"/>
          </w:tcPr>
          <w:p>
            <w:r>
              <w:rPr>
                <w:rFonts w:ascii="Arial" w:hAnsi="Arial"/>
                <w:sz w:val="17"/>
              </w:rPr>
              <w:t>Scan output + risk statement</w:t>
            </w:r>
          </w:p>
        </w:tc>
        <w:tc>
          <w:tcPr>
            <w:tcW w:type="dxa" w:w="1656"/>
            <w:vAlign w:val="center"/>
          </w:tcPr>
          <w:p>
            <w:r>
              <w:rPr>
                <w:rFonts w:ascii="Arial" w:hAnsi="Arial"/>
                <w:sz w:val="17"/>
              </w:rPr>
              <w:t>After every scan</w:t>
            </w:r>
          </w:p>
        </w:tc>
        <w:tc>
          <w:tcPr>
            <w:tcW w:type="dxa" w:w="1656"/>
            <w:vAlign w:val="center"/>
          </w:tcPr>
          <w:p>
            <w:r>
              <w:rPr>
                <w:rFonts w:ascii="Arial" w:hAnsi="Arial"/>
                <w:sz w:val="17"/>
              </w:rPr>
              <w:t>Security analyst</w:t>
            </w:r>
          </w:p>
        </w:tc>
        <w:tc>
          <w:tcPr>
            <w:tcW w:type="dxa" w:w="1656"/>
            <w:vAlign w:val="center"/>
          </w:tcPr>
          <w:p>
            <w:r>
              <w:rPr>
                <w:rFonts w:ascii="Arial" w:hAnsi="Arial"/>
                <w:sz w:val="17"/>
              </w:rPr>
              <w:t>Risk has ID and severity</w:t>
            </w:r>
          </w:p>
        </w:tc>
      </w:tr>
      <w:tr>
        <w:tc>
          <w:tcPr>
            <w:tcW w:type="dxa" w:w="1656"/>
            <w:vAlign w:val="center"/>
          </w:tcPr>
          <w:p>
            <w:r>
              <w:rPr>
                <w:rFonts w:ascii="Arial" w:hAnsi="Arial"/>
                <w:sz w:val="17"/>
              </w:rPr>
              <w:t>2</w:t>
            </w:r>
          </w:p>
        </w:tc>
        <w:tc>
          <w:tcPr>
            <w:tcW w:type="dxa" w:w="1656"/>
            <w:vAlign w:val="center"/>
          </w:tcPr>
          <w:p>
            <w:r>
              <w:rPr>
                <w:rFonts w:ascii="Arial" w:hAnsi="Arial"/>
                <w:sz w:val="17"/>
              </w:rPr>
              <w:t>Check exposure of 9200/443</w:t>
            </w:r>
          </w:p>
        </w:tc>
        <w:tc>
          <w:tcPr>
            <w:tcW w:type="dxa" w:w="1656"/>
            <w:vAlign w:val="center"/>
          </w:tcPr>
          <w:p>
            <w:r>
              <w:rPr>
                <w:rFonts w:ascii="Arial" w:hAnsi="Arial"/>
                <w:sz w:val="17"/>
              </w:rPr>
              <w:t>Nmap service scan / firewall review</w:t>
            </w:r>
          </w:p>
        </w:tc>
        <w:tc>
          <w:tcPr>
            <w:tcW w:type="dxa" w:w="1656"/>
            <w:vAlign w:val="center"/>
          </w:tcPr>
          <w:p>
            <w:r>
              <w:rPr>
                <w:rFonts w:ascii="Arial" w:hAnsi="Arial"/>
                <w:sz w:val="17"/>
              </w:rPr>
              <w:t>Weekly and after changes</w:t>
            </w:r>
          </w:p>
        </w:tc>
        <w:tc>
          <w:tcPr>
            <w:tcW w:type="dxa" w:w="1656"/>
            <w:vAlign w:val="center"/>
          </w:tcPr>
          <w:p>
            <w:r>
              <w:rPr>
                <w:rFonts w:ascii="Arial" w:hAnsi="Arial"/>
                <w:sz w:val="17"/>
              </w:rPr>
              <w:t>SOC/IT</w:t>
            </w:r>
          </w:p>
        </w:tc>
        <w:tc>
          <w:tcPr>
            <w:tcW w:type="dxa" w:w="1656"/>
            <w:vAlign w:val="center"/>
          </w:tcPr>
          <w:p>
            <w:r>
              <w:rPr>
                <w:rFonts w:ascii="Arial" w:hAnsi="Arial"/>
                <w:sz w:val="17"/>
              </w:rPr>
              <w:t>Only approved sources can connect</w:t>
            </w:r>
          </w:p>
        </w:tc>
      </w:tr>
      <w:tr>
        <w:tc>
          <w:tcPr>
            <w:tcW w:type="dxa" w:w="1656"/>
            <w:vAlign w:val="center"/>
          </w:tcPr>
          <w:p>
            <w:r>
              <w:rPr>
                <w:rFonts w:ascii="Arial" w:hAnsi="Arial"/>
                <w:sz w:val="17"/>
              </w:rPr>
              <w:t>3</w:t>
            </w:r>
          </w:p>
        </w:tc>
        <w:tc>
          <w:tcPr>
            <w:tcW w:type="dxa" w:w="1656"/>
            <w:vAlign w:val="center"/>
          </w:tcPr>
          <w:p>
            <w:r>
              <w:rPr>
                <w:rFonts w:ascii="Arial" w:hAnsi="Arial"/>
                <w:sz w:val="17"/>
              </w:rPr>
              <w:t>Review Wazuh authentication/admin alerts</w:t>
            </w:r>
          </w:p>
        </w:tc>
        <w:tc>
          <w:tcPr>
            <w:tcW w:type="dxa" w:w="1656"/>
            <w:vAlign w:val="center"/>
          </w:tcPr>
          <w:p>
            <w:r>
              <w:rPr>
                <w:rFonts w:ascii="Arial" w:hAnsi="Arial"/>
                <w:sz w:val="17"/>
              </w:rPr>
              <w:t>Wazuh event/log evidence</w:t>
            </w:r>
          </w:p>
        </w:tc>
        <w:tc>
          <w:tcPr>
            <w:tcW w:type="dxa" w:w="1656"/>
            <w:vAlign w:val="center"/>
          </w:tcPr>
          <w:p>
            <w:r>
              <w:rPr>
                <w:rFonts w:ascii="Arial" w:hAnsi="Arial"/>
                <w:sz w:val="17"/>
              </w:rPr>
              <w:t>Daily</w:t>
            </w:r>
          </w:p>
        </w:tc>
        <w:tc>
          <w:tcPr>
            <w:tcW w:type="dxa" w:w="1656"/>
            <w:vAlign w:val="center"/>
          </w:tcPr>
          <w:p>
            <w:r>
              <w:rPr>
                <w:rFonts w:ascii="Arial" w:hAnsi="Arial"/>
                <w:sz w:val="17"/>
              </w:rPr>
              <w:t>SOC analyst</w:t>
            </w:r>
          </w:p>
        </w:tc>
        <w:tc>
          <w:tcPr>
            <w:tcW w:type="dxa" w:w="1656"/>
            <w:vAlign w:val="center"/>
          </w:tcPr>
          <w:p>
            <w:r>
              <w:rPr>
                <w:rFonts w:ascii="Arial" w:hAnsi="Arial"/>
                <w:sz w:val="17"/>
              </w:rPr>
              <w:t>No unexplained high-risk activity</w:t>
            </w:r>
          </w:p>
        </w:tc>
      </w:tr>
      <w:tr>
        <w:tc>
          <w:tcPr>
            <w:tcW w:type="dxa" w:w="1656"/>
            <w:vAlign w:val="center"/>
          </w:tcPr>
          <w:p>
            <w:r>
              <w:rPr>
                <w:rFonts w:ascii="Arial" w:hAnsi="Arial"/>
                <w:sz w:val="17"/>
              </w:rPr>
              <w:t>4</w:t>
            </w:r>
          </w:p>
        </w:tc>
        <w:tc>
          <w:tcPr>
            <w:tcW w:type="dxa" w:w="1656"/>
            <w:vAlign w:val="center"/>
          </w:tcPr>
          <w:p>
            <w:r>
              <w:rPr>
                <w:rFonts w:ascii="Arial" w:hAnsi="Arial"/>
                <w:sz w:val="17"/>
              </w:rPr>
              <w:t>Verify patch/configuration status</w:t>
            </w:r>
          </w:p>
        </w:tc>
        <w:tc>
          <w:tcPr>
            <w:tcW w:type="dxa" w:w="1656"/>
            <w:vAlign w:val="center"/>
          </w:tcPr>
          <w:p>
            <w:r>
              <w:rPr>
                <w:rFonts w:ascii="Arial" w:hAnsi="Arial"/>
                <w:sz w:val="17"/>
              </w:rPr>
              <w:t>Version/configuration evidence</w:t>
            </w:r>
          </w:p>
        </w:tc>
        <w:tc>
          <w:tcPr>
            <w:tcW w:type="dxa" w:w="1656"/>
            <w:vAlign w:val="center"/>
          </w:tcPr>
          <w:p>
            <w:r>
              <w:rPr>
                <w:rFonts w:ascii="Arial" w:hAnsi="Arial"/>
                <w:sz w:val="17"/>
              </w:rPr>
              <w:t>Monthly</w:t>
            </w:r>
          </w:p>
        </w:tc>
        <w:tc>
          <w:tcPr>
            <w:tcW w:type="dxa" w:w="1656"/>
            <w:vAlign w:val="center"/>
          </w:tcPr>
          <w:p>
            <w:r>
              <w:rPr>
                <w:rFonts w:ascii="Arial" w:hAnsi="Arial"/>
                <w:sz w:val="17"/>
              </w:rPr>
              <w:t>System owner</w:t>
            </w:r>
          </w:p>
        </w:tc>
        <w:tc>
          <w:tcPr>
            <w:tcW w:type="dxa" w:w="1656"/>
            <w:vAlign w:val="center"/>
          </w:tcPr>
          <w:p>
            <w:r>
              <w:rPr>
                <w:rFonts w:ascii="Arial" w:hAnsi="Arial"/>
                <w:sz w:val="17"/>
              </w:rPr>
              <w:t>Supported secure configuration</w:t>
            </w:r>
          </w:p>
        </w:tc>
      </w:tr>
      <w:tr>
        <w:tc>
          <w:tcPr>
            <w:tcW w:type="dxa" w:w="1656"/>
            <w:vAlign w:val="center"/>
          </w:tcPr>
          <w:p>
            <w:r>
              <w:rPr>
                <w:rFonts w:ascii="Arial" w:hAnsi="Arial"/>
                <w:sz w:val="17"/>
              </w:rPr>
              <w:t>5</w:t>
            </w:r>
          </w:p>
        </w:tc>
        <w:tc>
          <w:tcPr>
            <w:tcW w:type="dxa" w:w="1656"/>
            <w:vAlign w:val="center"/>
          </w:tcPr>
          <w:p>
            <w:r>
              <w:rPr>
                <w:rFonts w:ascii="Arial" w:hAnsi="Arial"/>
                <w:sz w:val="17"/>
              </w:rPr>
              <w:t>Re-scan and compare</w:t>
            </w:r>
          </w:p>
        </w:tc>
        <w:tc>
          <w:tcPr>
            <w:tcW w:type="dxa" w:w="1656"/>
            <w:vAlign w:val="center"/>
          </w:tcPr>
          <w:p>
            <w:r>
              <w:rPr>
                <w:rFonts w:ascii="Arial" w:hAnsi="Arial"/>
                <w:sz w:val="17"/>
              </w:rPr>
              <w:t>Nmap before/after results</w:t>
            </w:r>
          </w:p>
        </w:tc>
        <w:tc>
          <w:tcPr>
            <w:tcW w:type="dxa" w:w="1656"/>
            <w:vAlign w:val="center"/>
          </w:tcPr>
          <w:p>
            <w:r>
              <w:rPr>
                <w:rFonts w:ascii="Arial" w:hAnsi="Arial"/>
                <w:sz w:val="17"/>
              </w:rPr>
              <w:t>Monthly / after remediation</w:t>
            </w:r>
          </w:p>
        </w:tc>
        <w:tc>
          <w:tcPr>
            <w:tcW w:type="dxa" w:w="1656"/>
            <w:vAlign w:val="center"/>
          </w:tcPr>
          <w:p>
            <w:r>
              <w:rPr>
                <w:rFonts w:ascii="Arial" w:hAnsi="Arial"/>
                <w:sz w:val="17"/>
              </w:rPr>
              <w:t>Security analyst</w:t>
            </w:r>
          </w:p>
        </w:tc>
        <w:tc>
          <w:tcPr>
            <w:tcW w:type="dxa" w:w="1656"/>
            <w:vAlign w:val="center"/>
          </w:tcPr>
          <w:p>
            <w:r>
              <w:rPr>
                <w:rFonts w:ascii="Arial" w:hAnsi="Arial"/>
                <w:sz w:val="17"/>
              </w:rPr>
              <w:t>Finding reduced or closed</w:t>
            </w:r>
          </w:p>
        </w:tc>
      </w:tr>
      <w:tr>
        <w:tc>
          <w:tcPr>
            <w:tcW w:type="dxa" w:w="1656"/>
            <w:vAlign w:val="center"/>
          </w:tcPr>
          <w:p>
            <w:r>
              <w:rPr>
                <w:rFonts w:ascii="Arial" w:hAnsi="Arial"/>
                <w:sz w:val="17"/>
              </w:rPr>
              <w:t>6</w:t>
            </w:r>
          </w:p>
        </w:tc>
        <w:tc>
          <w:tcPr>
            <w:tcW w:type="dxa" w:w="1656"/>
            <w:vAlign w:val="center"/>
          </w:tcPr>
          <w:p>
            <w:r>
              <w:rPr>
                <w:rFonts w:ascii="Arial" w:hAnsi="Arial"/>
                <w:sz w:val="17"/>
              </w:rPr>
              <w:t>Escalate overdue risks</w:t>
            </w:r>
          </w:p>
        </w:tc>
        <w:tc>
          <w:tcPr>
            <w:tcW w:type="dxa" w:w="1656"/>
            <w:vAlign w:val="center"/>
          </w:tcPr>
          <w:p>
            <w:r>
              <w:rPr>
                <w:rFonts w:ascii="Arial" w:hAnsi="Arial"/>
                <w:sz w:val="17"/>
              </w:rPr>
              <w:t>Risk register + ticket</w:t>
            </w:r>
          </w:p>
        </w:tc>
        <w:tc>
          <w:tcPr>
            <w:tcW w:type="dxa" w:w="1656"/>
            <w:vAlign w:val="center"/>
          </w:tcPr>
          <w:p>
            <w:r>
              <w:rPr>
                <w:rFonts w:ascii="Arial" w:hAnsi="Arial"/>
                <w:sz w:val="17"/>
              </w:rPr>
              <w:t>Weekly</w:t>
            </w:r>
          </w:p>
        </w:tc>
        <w:tc>
          <w:tcPr>
            <w:tcW w:type="dxa" w:w="1656"/>
            <w:vAlign w:val="center"/>
          </w:tcPr>
          <w:p>
            <w:r>
              <w:rPr>
                <w:rFonts w:ascii="Arial" w:hAnsi="Arial"/>
                <w:sz w:val="17"/>
              </w:rPr>
              <w:t>Security lead</w:t>
            </w:r>
          </w:p>
        </w:tc>
        <w:tc>
          <w:tcPr>
            <w:tcW w:type="dxa" w:w="1656"/>
            <w:vAlign w:val="center"/>
          </w:tcPr>
          <w:p>
            <w:r>
              <w:rPr>
                <w:rFonts w:ascii="Arial" w:hAnsi="Arial"/>
                <w:sz w:val="17"/>
              </w:rPr>
              <w:t>Owner/date assigned</w:t>
            </w:r>
          </w:p>
        </w:tc>
      </w:tr>
    </w:tbl>
    <w:p>
      <w:r>
        <w:t>Example risk-register fields: Risk ID, asset, finding, severity, likelihood, impact, treatment, owner, due date, current status, evidence link, last review date, and residual risk.</w:t>
      </w:r>
    </w:p>
    <w:p>
      <w:pPr>
        <w:pStyle w:val="Heading1"/>
      </w:pPr>
      <w:r>
        <w:t>6. Security Monitoring Implementation</w:t>
      </w:r>
    </w:p>
    <w:p>
      <w:pPr>
        <w:pStyle w:val="Heading2"/>
      </w:pPr>
      <w:r>
        <w:t>6.1 Monitoring Objective</w:t>
      </w:r>
    </w:p>
    <w:p>
      <w:r>
        <w:t>The monitoring design uses Wazuh as the SIEM/security-monitoring component and connects naturally to the threat-intelligence and agentic-SOC architecture documented in the supporting work. The core use case is detection of suspicious outbound communication to a known malicious IP, with optional correlation against a malicious file hash.</w:t>
      </w:r>
    </w:p>
    <w:p>
      <w:pPr>
        <w:pStyle w:val="Heading2"/>
      </w:pPr>
      <w:r>
        <w:t>6.2 Monitoring Use Case – Known Malicious C2 Connection</w:t>
      </w:r>
    </w:p>
    <w:p>
      <w:r>
        <w:t>Detection rule concept: a network telemetry source such as Suricata or Zeek observes an outbound connection from an internal host to a known C2 IP. Wazuh can ingest the resulting security event and correlate it with an IoC list.</w:t>
      </w:r>
    </w:p>
    <w:p>
      <w:r>
        <w:t>Example Suricata logic documented in the project: alert ip $HOME_NET any -&gt; [&lt;C2_IP&gt;] any (msg:"Possible C2 Beacon - Known Bad IP"; sid:1000001; rev:1;).</w:t>
      </w:r>
    </w:p>
    <w:p>
      <w:pPr>
        <w:pStyle w:val="Heading2"/>
      </w:pPr>
      <w:r>
        <w:t>6.3 Alert Prioritization</w:t>
      </w:r>
    </w:p>
    <w:p>
      <w:pPr>
        <w:pStyle w:val="ListBullet"/>
      </w:pPr>
      <w:r>
        <w:t>Critical: confirmed malicious C2 plus corroborating endpoint evidence, or compromise of the Wazuh/OpenSearch control plane.</w:t>
      </w:r>
    </w:p>
    <w:p>
      <w:pPr>
        <w:pStyle w:val="ListBullet"/>
      </w:pPr>
      <w:r>
        <w:t>High: known malicious IoC hit with strong evidence but incomplete host correlation.</w:t>
      </w:r>
    </w:p>
    <w:p>
      <w:pPr>
        <w:pStyle w:val="ListBullet"/>
      </w:pPr>
      <w:r>
        <w:t>Medium: suspicious connection or repeated authentication failures requiring investigation.</w:t>
      </w:r>
    </w:p>
    <w:p>
      <w:pPr>
        <w:pStyle w:val="ListBullet"/>
      </w:pPr>
      <w:r>
        <w:t>Low/Informational: reconnaissance, expected administrative activity, or a single weak indicator without corroboration.</w:t>
      </w:r>
    </w:p>
    <w:p>
      <w:r>
        <w:t>The priority decision is based on confidence, asset criticality, evidence correlation, and potential impact. For example, a malicious IP hit on a high-value SIEM host should be escalated more quickly than the same weak indicator on a low-value lab endpoint.</w:t>
      </w:r>
    </w:p>
    <w:p>
      <w:pPr>
        <w:pStyle w:val="Heading2"/>
      </w:pPr>
      <w:r>
        <w:t>6.4 Response Procedure for the Monitoring Use Case</w:t>
      </w:r>
    </w:p>
    <w:p>
      <w:pPr>
        <w:pStyle w:val="ListNumber"/>
      </w:pPr>
      <w:r>
        <w:t>Validate the alert and confirm timestamp, source host, destination IP, protocol, and rule that fired.</w:t>
      </w:r>
    </w:p>
    <w:p>
      <w:pPr>
        <w:pStyle w:val="ListNumber"/>
      </w:pPr>
      <w:r>
        <w:t>Enrich the IP through threat intelligence and check whether the destination is known malicious.</w:t>
      </w:r>
    </w:p>
    <w:p>
      <w:pPr>
        <w:pStyle w:val="ListNumber"/>
      </w:pPr>
      <w:r>
        <w:t>Correlate with endpoint evidence such as Wazuh FIM events, process activity, authentication events, and related network events.</w:t>
      </w:r>
    </w:p>
    <w:p>
      <w:pPr>
        <w:pStyle w:val="ListNumber"/>
      </w:pPr>
      <w:r>
        <w:t>If compromise is credible, isolate or contain the affected endpoint using the lab's available controls.</w:t>
      </w:r>
    </w:p>
    <w:p>
      <w:pPr>
        <w:pStyle w:val="ListNumber"/>
      </w:pPr>
      <w:r>
        <w:t>Preserve relevant logs and indicators for investigation.</w:t>
      </w:r>
    </w:p>
    <w:p>
      <w:pPr>
        <w:pStyle w:val="ListNumber"/>
      </w:pPr>
      <w:r>
        <w:t>Search for the same IoC across other monitored assets.</w:t>
      </w:r>
    </w:p>
    <w:p>
      <w:pPr>
        <w:pStyle w:val="ListNumber"/>
      </w:pPr>
      <w:r>
        <w:t>Document disposition, remediation, and lessons learned.</w:t>
      </w:r>
    </w:p>
    <w:p>
      <w:pPr>
        <w:pStyle w:val="Heading1"/>
      </w:pPr>
      <w:r>
        <w:t>7. Incident Response Scenario</w:t>
      </w:r>
    </w:p>
    <w:p>
      <w:pPr>
        <w:pStyle w:val="Heading2"/>
      </w:pPr>
      <w:r>
        <w:t>7.1 Scenario</w:t>
      </w:r>
    </w:p>
    <w:p>
      <w:r>
        <w:t>A monitored endpoint generates an outbound connection alert to an IP present in threat intelligence as suspected C2. A Wazuh/Suricata event identifies the connection, and a host-side FIM/EDR check finds a file hash that matches a known malicious artifact.</w:t>
      </w:r>
    </w:p>
    <w:p>
      <w:pPr>
        <w:pStyle w:val="Heading2"/>
      </w:pPr>
      <w:r>
        <w:t>7.2 Classification</w:t>
      </w:r>
    </w:p>
    <w:p>
      <w:r>
        <w:t>Classification: High/Critical suspected malware compromise. The classification is elevated because two independent IoC types corroborate the event: network communication plus a host artifact. The project documentation explains that a hash match is a high-confidence indicator because it uniquely fingerprints the observed artifact.</w:t>
      </w:r>
    </w:p>
    <w:p>
      <w:pPr>
        <w:pStyle w:val="Heading2"/>
      </w:pPr>
      <w:r>
        <w:t>7.3 Response Steps</w:t>
      </w:r>
    </w:p>
    <w:p>
      <w:pPr>
        <w:pStyle w:val="ListNumber"/>
      </w:pPr>
      <w:r>
        <w:t>Detect – alert generated by network/endpoint monitoring.</w:t>
      </w:r>
    </w:p>
    <w:p>
      <w:pPr>
        <w:pStyle w:val="ListNumber"/>
      </w:pPr>
      <w:r>
        <w:t>Triage – validate source host, destination, timestamp, user/process context, and IoCs.</w:t>
      </w:r>
    </w:p>
    <w:p>
      <w:pPr>
        <w:pStyle w:val="ListNumber"/>
      </w:pPr>
      <w:r>
        <w:t>Enrich – query OpenCTI/threat-intelligence sources for reputation, malware family, actor, campaign, and ATT&amp;CK context.</w:t>
      </w:r>
    </w:p>
    <w:p>
      <w:pPr>
        <w:pStyle w:val="ListNumber"/>
      </w:pPr>
      <w:r>
        <w:t>Contain – isolate the affected endpoint or block the malicious destination according to lab response authority.</w:t>
      </w:r>
    </w:p>
    <w:p>
      <w:pPr>
        <w:pStyle w:val="ListNumber"/>
      </w:pPr>
      <w:r>
        <w:t>Eradicate – remove the malicious artifact, terminate malicious processes, patch the exploited weakness if identified, and reset compromised credentials as appropriate.</w:t>
      </w:r>
    </w:p>
    <w:p>
      <w:pPr>
        <w:pStyle w:val="ListNumber"/>
      </w:pPr>
      <w:r>
        <w:t>Recover – return the endpoint to service after validation and continue heightened monitoring.</w:t>
      </w:r>
    </w:p>
    <w:p>
      <w:pPr>
        <w:pStyle w:val="ListNumber"/>
      </w:pPr>
      <w:r>
        <w:t>Document – record evidence, timeline, actions, affected assets, and final disposition.</w:t>
      </w:r>
    </w:p>
    <w:p>
      <w:pPr>
        <w:pStyle w:val="Heading2"/>
      </w:pPr>
      <w:r>
        <w:t>7.4 Lessons Learned</w:t>
      </w:r>
    </w:p>
    <w:p>
      <w:pPr>
        <w:pStyle w:val="ListBullet"/>
      </w:pPr>
      <w:r>
        <w:t>Single indicators should be investigated in context rather than treated as automatic proof of compromise.</w:t>
      </w:r>
    </w:p>
    <w:p>
      <w:pPr>
        <w:pStyle w:val="ListBullet"/>
      </w:pPr>
      <w:r>
        <w:t>Correlating network and host IoCs materially increases confidence.</w:t>
      </w:r>
    </w:p>
    <w:p>
      <w:pPr>
        <w:pStyle w:val="ListBullet"/>
      </w:pPr>
      <w:r>
        <w:t>Security-monitoring infrastructure must itself be protected because attackers benefit from disabling or manipulating defensive visibility.</w:t>
      </w:r>
    </w:p>
    <w:p>
      <w:pPr>
        <w:pStyle w:val="ListBullet"/>
      </w:pPr>
      <w:r>
        <w:t>Repeatable response documentation reduces analyst decision time during future incidents.</w:t>
      </w:r>
    </w:p>
    <w:p>
      <w:pPr>
        <w:pStyle w:val="ListBullet"/>
      </w:pPr>
      <w:r>
        <w:t>Periodic scanning and validation are required because a clean scan represents only the tested surface and point in time.</w:t>
      </w:r>
    </w:p>
    <w:p>
      <w:pPr>
        <w:pStyle w:val="Heading1"/>
      </w:pPr>
      <w:r>
        <w:t>8. Threat Intelligence and IoC Integration</w:t>
      </w:r>
    </w:p>
    <w:p>
      <w:r>
        <w:t>The supporting Threat Intelligence Implementation Report defines two IoC categories: a malicious IP address representing network-based C2 infrastructure and a SHA-256 file hash representing a host-based malicious artifact. The documented design uses Wazuh FIM/EDR and network IDS/NSM for detection, then OpenCTI as a structured intelligence layer.</w:t>
      </w:r>
    </w:p>
    <w:p>
      <w:pPr>
        <w:pStyle w:val="Heading2"/>
      </w:pPr>
      <w:r>
        <w:t>8.1 OpenCTI Architecture</w:t>
      </w:r>
    </w:p>
    <w:p>
      <w:pPr>
        <w:pStyle w:val="ListBullet"/>
      </w:pPr>
      <w:r>
        <w:t>OpenCTI stores structured STIX2 intelligence such as indicators, malware, threat actors, campaigns, and relationships.</w:t>
      </w:r>
    </w:p>
    <w:p>
      <w:pPr>
        <w:pStyle w:val="ListBullet"/>
      </w:pPr>
      <w:r>
        <w:t>The MITRE ATT&amp;CK connector provides standardized adversary tactics and techniques.</w:t>
      </w:r>
    </w:p>
    <w:p>
      <w:pPr>
        <w:pStyle w:val="ListBullet"/>
      </w:pPr>
      <w:r>
        <w:t>The AlienVault OTX connector supplies current IP, domain, and hash indicators.</w:t>
      </w:r>
    </w:p>
    <w:p>
      <w:pPr>
        <w:pStyle w:val="ListBullet"/>
      </w:pPr>
      <w:r>
        <w:t>GraphQL provides the machine-readable integration point for an agentic SOC component.</w:t>
      </w:r>
    </w:p>
    <w:p>
      <w:r>
        <w:t>Planned pipeline:</w:t>
      </w:r>
    </w:p>
    <w:p>
      <w:r>
        <w:t>Alert fires (Wazuh/Suricata) → Agent extracts IoC → Agent queries OpenCTI → OpenCTI returns context → Agent determines severity/recommended action → Decision is logged.</w:t>
      </w:r>
    </w:p>
    <w:p>
      <w:r>
        <w:t>Important implementation status: the supporting OpenCTI report explicitly labels deployment and connector setup as a planned implementation rather than a completed live deployment. Therefore, this consolidated report does not claim that the OpenCTI containers or connectors were successfully executed. The commands and configurations remain the documented implementation plan.</w:t>
      </w:r>
    </w:p>
    <w:p>
      <w:pPr>
        <w:pStyle w:val="Heading1"/>
      </w:pPr>
      <w:r>
        <w:t>9. Evidence and Validation</w:t>
      </w:r>
    </w:p>
    <w:p>
      <w:r>
        <w:t>Evidence for the vulnerability/risk portions includes the documented Nmap discovery results, arp-scan results, service/version detection, NSE vulnerability results, port observations, and recommendations. The scan duration was approximately 249 seconds, with three TCP ports returning data and 997 ports filtered/no-response.</w:t>
      </w:r>
    </w:p>
    <w:p>
      <w:r>
        <w:t>For security monitoring, evidence should include a screenshot or exported event showing the detection rule firing, the alert severity, the source/destination information, and the investigation/response record. For incident response, preserve the alert timeline and associated endpoint/network evidence. For OpenCTI, the supporting report specifies dashboard, container-health, and connector-status screenshots as evidence to add after live execution.</w:t>
      </w:r>
    </w:p>
    <w:p>
      <w:pPr>
        <w:pStyle w:val="Heading2"/>
      </w:pPr>
      <w:r>
        <w:t>9.1 Evidence Checklist</w:t>
      </w:r>
    </w:p>
    <w:p>
      <w:pPr>
        <w:pStyle w:val="ListBullet"/>
      </w:pPr>
      <w:r>
        <w:t>Nmap host-discovery output</w:t>
      </w:r>
    </w:p>
    <w:p>
      <w:pPr>
        <w:pStyle w:val="ListBullet"/>
      </w:pPr>
      <w:r>
        <w:t>arp-scan output</w:t>
      </w:r>
    </w:p>
    <w:p>
      <w:pPr>
        <w:pStyle w:val="ListBullet"/>
      </w:pPr>
      <w:r>
        <w:t>Nmap vulnerability scan output</w:t>
      </w:r>
    </w:p>
    <w:p>
      <w:pPr>
        <w:pStyle w:val="ListBullet"/>
      </w:pPr>
      <w:r>
        <w:t>Wazuh dashboard/service identification</w:t>
      </w:r>
    </w:p>
    <w:p>
      <w:pPr>
        <w:pStyle w:val="ListBullet"/>
      </w:pPr>
      <w:r>
        <w:t>OpenSearch 401 authentication evidence</w:t>
      </w:r>
    </w:p>
    <w:p>
      <w:pPr>
        <w:pStyle w:val="ListBullet"/>
      </w:pPr>
      <w:r>
        <w:t>Risk register showing the two critical risks and treatments</w:t>
      </w:r>
    </w:p>
    <w:p>
      <w:pPr>
        <w:pStyle w:val="ListBullet"/>
      </w:pPr>
      <w:r>
        <w:t>Wazuh/Suricata alert demonstrating the monitoring use case</w:t>
      </w:r>
    </w:p>
    <w:p>
      <w:pPr>
        <w:pStyle w:val="ListBullet"/>
      </w:pPr>
      <w:r>
        <w:t>Incident timeline and response record</w:t>
      </w:r>
    </w:p>
    <w:p>
      <w:pPr>
        <w:pStyle w:val="ListBullet"/>
      </w:pPr>
      <w:r>
        <w:t>IoC enrichment evidence</w:t>
      </w:r>
    </w:p>
    <w:p>
      <w:pPr>
        <w:pStyle w:val="ListBullet"/>
      </w:pPr>
      <w:r>
        <w:t>OpenCTI container and connector screenshots, if the planned deployment is executed</w:t>
      </w:r>
    </w:p>
    <w:p>
      <w:pPr>
        <w:pStyle w:val="Heading1"/>
      </w:pPr>
      <w:r>
        <w:t>10. Lessons Learned and Continuous Improvement</w:t>
      </w:r>
    </w:p>
    <w:p>
      <w:pPr>
        <w:pStyle w:val="ListBullet"/>
      </w:pPr>
      <w:r>
        <w:t>Vulnerability management must consider exposure and asset criticality, not only CVE output.</w:t>
      </w:r>
    </w:p>
    <w:p>
      <w:pPr>
        <w:pStyle w:val="ListBullet"/>
      </w:pPr>
      <w:r>
        <w:t>The SIEM itself is a critical asset and should receive stronger network controls than ordinary application infrastructure.</w:t>
      </w:r>
    </w:p>
    <w:p>
      <w:pPr>
        <w:pStyle w:val="ListBullet"/>
      </w:pPr>
      <w:r>
        <w:t>Risk treatment is incomplete until a technical re-test verifies that the exposure was actually reduced.</w:t>
      </w:r>
    </w:p>
    <w:p>
      <w:pPr>
        <w:pStyle w:val="ListBullet"/>
      </w:pPr>
      <w:r>
        <w:t>Monitoring is more effective when alerts are enriched and correlated with endpoint, network, and threat-intelligence evidence.</w:t>
      </w:r>
    </w:p>
    <w:p>
      <w:pPr>
        <w:pStyle w:val="ListBullet"/>
      </w:pPr>
      <w:r>
        <w:t>The discovery scope should be expanded to the 10.11.3.0/24 segment in a future assessment.</w:t>
      </w:r>
    </w:p>
    <w:p>
      <w:pPr>
        <w:pStyle w:val="ListBullet"/>
      </w:pPr>
      <w:r>
        <w:t>OpenCTI should be validated operationally before being described as a completed implementation; planned and executed evidence must remain clearly separated.</w:t>
      </w:r>
    </w:p>
    <w:p>
      <w:pPr>
        <w:pStyle w:val="Heading1"/>
      </w:pPr>
      <w:r>
        <w:t>11. Conclusion</w:t>
      </w:r>
    </w:p>
    <w:p>
      <w:r>
        <w:t>The consolidated project demonstrates a complete defensive-security workflow: identify assets and exposures, assess and prioritize risk, apply treatment, continuously monitor the remaining risk, detect suspicious activity, respond to an incident, and enrich investigations with threat intelligence. The vulnerability scan found no confirmed CVE-classified exploit on the tested Wazuh/OpenSearch host, but it identified meaningful attack-surface risks. Those findings provide the foundation for the risk-management and monitoring activities documented in this report.</w:t>
      </w:r>
    </w:p>
    <w:p>
      <w:pPr>
        <w:pStyle w:val="Heading1"/>
      </w:pPr>
      <w:r>
        <w:t>Appendix A – Commands and Configuration Evidence</w:t>
      </w:r>
    </w:p>
    <w:p>
      <w:pPr>
        <w:pStyle w:val="ListBullet"/>
      </w:pPr>
      <w:r>
        <w:t>nmap -sn 192.168.64.0/24</w:t>
      </w:r>
    </w:p>
    <w:p>
      <w:pPr>
        <w:pStyle w:val="ListBullet"/>
      </w:pPr>
      <w:r>
        <w:t>sudo arp-scan --localnet</w:t>
      </w:r>
    </w:p>
    <w:p>
      <w:pPr>
        <w:pStyle w:val="ListBullet"/>
      </w:pPr>
      <w:r>
        <w:t>sudo nmap --script-updatedb</w:t>
      </w:r>
    </w:p>
    <w:p>
      <w:pPr>
        <w:pStyle w:val="ListBullet"/>
      </w:pPr>
      <w:r>
        <w:t>sudo nmap -sV --script vuln 10.11.3.185</w:t>
      </w:r>
    </w:p>
    <w:p>
      <w:pPr>
        <w:pStyle w:val="ListBullet"/>
      </w:pPr>
      <w:r>
        <w:t>sha256sum suspicious_file.exe</w:t>
      </w:r>
    </w:p>
    <w:p>
      <w:pPr>
        <w:pStyle w:val="ListBullet"/>
      </w:pPr>
      <w:r>
        <w:t>curl -s "https://www.virustotal.com/api/v3/files/&lt;hash&gt;" -H "x-apikey: &lt;API_KEY&gt;"</w:t>
      </w:r>
    </w:p>
    <w:p>
      <w:pPr>
        <w:pStyle w:val="ListBullet"/>
      </w:pPr>
      <w:r>
        <w:t>git clone https://github.com/OpenCTI-Platform/docker.git</w:t>
      </w:r>
    </w:p>
    <w:p>
      <w:pPr>
        <w:pStyle w:val="ListBullet"/>
      </w:pPr>
      <w:r>
        <w:t>cd docker</w:t>
      </w:r>
    </w:p>
    <w:p>
      <w:pPr>
        <w:pStyle w:val="ListBullet"/>
      </w:pPr>
      <w:r>
        <w:t>cp .env.sample .env</w:t>
      </w:r>
    </w:p>
    <w:p>
      <w:pPr>
        <w:pStyle w:val="ListBullet"/>
      </w:pPr>
      <w:r>
        <w:t>sudo docker compose up -d</w:t>
      </w:r>
    </w:p>
    <w:p>
      <w:pPr>
        <w:pStyle w:val="ListBullet"/>
      </w:pPr>
      <w:r>
        <w:t>sudo docker compose ps</w:t>
      </w:r>
    </w:p>
    <w:p>
      <w:pPr>
        <w:pStyle w:val="Heading1"/>
      </w:pPr>
      <w:r>
        <w:t>Appendix B – Rubric Coverage Matrix</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Arial" w:hAnsi="Arial"/>
                <w:sz w:val="17"/>
              </w:rPr>
              <w:t>Rubric</w:t>
            </w:r>
          </w:p>
        </w:tc>
        <w:tc>
          <w:tcPr>
            <w:tcW w:type="dxa" w:w="2484"/>
            <w:vAlign w:val="center"/>
          </w:tcPr>
          <w:p>
            <w:r>
              <w:rPr>
                <w:rFonts w:ascii="Arial" w:hAnsi="Arial"/>
                <w:sz w:val="17"/>
              </w:rPr>
              <w:t>Requirement</w:t>
            </w:r>
          </w:p>
        </w:tc>
        <w:tc>
          <w:tcPr>
            <w:tcW w:type="dxa" w:w="2484"/>
            <w:vAlign w:val="center"/>
          </w:tcPr>
          <w:p>
            <w:r>
              <w:rPr>
                <w:rFonts w:ascii="Arial" w:hAnsi="Arial"/>
                <w:sz w:val="17"/>
              </w:rPr>
              <w:t>Report Section</w:t>
            </w:r>
          </w:p>
        </w:tc>
        <w:tc>
          <w:tcPr>
            <w:tcW w:type="dxa" w:w="2484"/>
            <w:vAlign w:val="center"/>
          </w:tcPr>
          <w:p>
            <w:r>
              <w:rPr>
                <w:rFonts w:ascii="Arial" w:hAnsi="Arial"/>
                <w:sz w:val="17"/>
              </w:rPr>
              <w:t>Status</w:t>
            </w:r>
          </w:p>
        </w:tc>
      </w:tr>
      <w:tr>
        <w:tc>
          <w:tcPr>
            <w:tcW w:type="dxa" w:w="2484"/>
            <w:vAlign w:val="center"/>
          </w:tcPr>
          <w:p>
            <w:r>
              <w:rPr>
                <w:rFonts w:ascii="Arial" w:hAnsi="Arial"/>
                <w:sz w:val="17"/>
              </w:rPr>
              <w:t>1</w:t>
            </w:r>
          </w:p>
        </w:tc>
        <w:tc>
          <w:tcPr>
            <w:tcW w:type="dxa" w:w="2484"/>
            <w:vAlign w:val="center"/>
          </w:tcPr>
          <w:p>
            <w:r>
              <w:rPr>
                <w:rFonts w:ascii="Arial" w:hAnsi="Arial"/>
                <w:sz w:val="17"/>
              </w:rPr>
              <w:t>Vulnerability scan and findings</w:t>
            </w:r>
          </w:p>
        </w:tc>
        <w:tc>
          <w:tcPr>
            <w:tcW w:type="dxa" w:w="2484"/>
            <w:vAlign w:val="center"/>
          </w:tcPr>
          <w:p>
            <w:r>
              <w:rPr>
                <w:rFonts w:ascii="Arial" w:hAnsi="Arial"/>
                <w:sz w:val="17"/>
              </w:rPr>
              <w:t>Section 3</w:t>
            </w:r>
          </w:p>
        </w:tc>
        <w:tc>
          <w:tcPr>
            <w:tcW w:type="dxa" w:w="2484"/>
            <w:vAlign w:val="center"/>
          </w:tcPr>
          <w:p>
            <w:r>
              <w:rPr>
                <w:rFonts w:ascii="Arial" w:hAnsi="Arial"/>
                <w:sz w:val="17"/>
              </w:rPr>
              <w:t>Complete</w:t>
            </w:r>
          </w:p>
        </w:tc>
      </w:tr>
      <w:tr>
        <w:tc>
          <w:tcPr>
            <w:tcW w:type="dxa" w:w="2484"/>
            <w:vAlign w:val="center"/>
          </w:tcPr>
          <w:p>
            <w:r>
              <w:rPr>
                <w:rFonts w:ascii="Arial" w:hAnsi="Arial"/>
                <w:sz w:val="17"/>
              </w:rPr>
              <w:t>1</w:t>
            </w:r>
          </w:p>
        </w:tc>
        <w:tc>
          <w:tcPr>
            <w:tcW w:type="dxa" w:w="2484"/>
            <w:vAlign w:val="center"/>
          </w:tcPr>
          <w:p>
            <w:r>
              <w:rPr>
                <w:rFonts w:ascii="Arial" w:hAnsi="Arial"/>
                <w:sz w:val="17"/>
              </w:rPr>
              <w:t>Asset/network discovery and methodology</w:t>
            </w:r>
          </w:p>
        </w:tc>
        <w:tc>
          <w:tcPr>
            <w:tcW w:type="dxa" w:w="2484"/>
            <w:vAlign w:val="center"/>
          </w:tcPr>
          <w:p>
            <w:r>
              <w:rPr>
                <w:rFonts w:ascii="Arial" w:hAnsi="Arial"/>
                <w:sz w:val="17"/>
              </w:rPr>
              <w:t>Section 2–3</w:t>
            </w:r>
          </w:p>
        </w:tc>
        <w:tc>
          <w:tcPr>
            <w:tcW w:type="dxa" w:w="2484"/>
            <w:vAlign w:val="center"/>
          </w:tcPr>
          <w:p>
            <w:r>
              <w:rPr>
                <w:rFonts w:ascii="Arial" w:hAnsi="Arial"/>
                <w:sz w:val="17"/>
              </w:rPr>
              <w:t>Complete</w:t>
            </w:r>
          </w:p>
        </w:tc>
      </w:tr>
      <w:tr>
        <w:tc>
          <w:tcPr>
            <w:tcW w:type="dxa" w:w="2484"/>
            <w:vAlign w:val="center"/>
          </w:tcPr>
          <w:p>
            <w:r>
              <w:rPr>
                <w:rFonts w:ascii="Arial" w:hAnsi="Arial"/>
                <w:sz w:val="17"/>
              </w:rPr>
              <w:t>2</w:t>
            </w:r>
          </w:p>
        </w:tc>
        <w:tc>
          <w:tcPr>
            <w:tcW w:type="dxa" w:w="2484"/>
            <w:vAlign w:val="center"/>
          </w:tcPr>
          <w:p>
            <w:r>
              <w:rPr>
                <w:rFonts w:ascii="Arial" w:hAnsi="Arial"/>
                <w:sz w:val="17"/>
              </w:rPr>
              <w:t>Threat intelligence / IoC implementation</w:t>
            </w:r>
          </w:p>
        </w:tc>
        <w:tc>
          <w:tcPr>
            <w:tcW w:type="dxa" w:w="2484"/>
            <w:vAlign w:val="center"/>
          </w:tcPr>
          <w:p>
            <w:r>
              <w:rPr>
                <w:rFonts w:ascii="Arial" w:hAnsi="Arial"/>
                <w:sz w:val="17"/>
              </w:rPr>
              <w:t>Section 8</w:t>
            </w:r>
          </w:p>
        </w:tc>
        <w:tc>
          <w:tcPr>
            <w:tcW w:type="dxa" w:w="2484"/>
            <w:vAlign w:val="center"/>
          </w:tcPr>
          <w:p>
            <w:r>
              <w:rPr>
                <w:rFonts w:ascii="Arial" w:hAnsi="Arial"/>
                <w:sz w:val="17"/>
              </w:rPr>
              <w:t>Documented; OpenCTI live execution remains planned</w:t>
            </w:r>
          </w:p>
        </w:tc>
      </w:tr>
      <w:tr>
        <w:tc>
          <w:tcPr>
            <w:tcW w:type="dxa" w:w="2484"/>
            <w:vAlign w:val="center"/>
          </w:tcPr>
          <w:p>
            <w:r>
              <w:rPr>
                <w:rFonts w:ascii="Arial" w:hAnsi="Arial"/>
                <w:sz w:val="17"/>
              </w:rPr>
              <w:t>3</w:t>
            </w:r>
          </w:p>
        </w:tc>
        <w:tc>
          <w:tcPr>
            <w:tcW w:type="dxa" w:w="2484"/>
            <w:vAlign w:val="center"/>
          </w:tcPr>
          <w:p>
            <w:r>
              <w:rPr>
                <w:rFonts w:ascii="Arial" w:hAnsi="Arial"/>
                <w:sz w:val="17"/>
              </w:rPr>
              <w:t>Two critical risks with explanation, treatment, mitigation</w:t>
            </w:r>
          </w:p>
        </w:tc>
        <w:tc>
          <w:tcPr>
            <w:tcW w:type="dxa" w:w="2484"/>
            <w:vAlign w:val="center"/>
          </w:tcPr>
          <w:p>
            <w:r>
              <w:rPr>
                <w:rFonts w:ascii="Arial" w:hAnsi="Arial"/>
                <w:sz w:val="17"/>
              </w:rPr>
              <w:t>Section 4</w:t>
            </w:r>
          </w:p>
        </w:tc>
        <w:tc>
          <w:tcPr>
            <w:tcW w:type="dxa" w:w="2484"/>
            <w:vAlign w:val="center"/>
          </w:tcPr>
          <w:p>
            <w:r>
              <w:rPr>
                <w:rFonts w:ascii="Arial" w:hAnsi="Arial"/>
                <w:sz w:val="17"/>
              </w:rPr>
              <w:t>Complete</w:t>
            </w:r>
          </w:p>
        </w:tc>
      </w:tr>
      <w:tr>
        <w:tc>
          <w:tcPr>
            <w:tcW w:type="dxa" w:w="2484"/>
            <w:vAlign w:val="center"/>
          </w:tcPr>
          <w:p>
            <w:r>
              <w:rPr>
                <w:rFonts w:ascii="Arial" w:hAnsi="Arial"/>
                <w:sz w:val="17"/>
              </w:rPr>
              <w:t>3</w:t>
            </w:r>
          </w:p>
        </w:tc>
        <w:tc>
          <w:tcPr>
            <w:tcW w:type="dxa" w:w="2484"/>
            <w:vAlign w:val="center"/>
          </w:tcPr>
          <w:p>
            <w:r>
              <w:rPr>
                <w:rFonts w:ascii="Arial" w:hAnsi="Arial"/>
                <w:sz w:val="17"/>
              </w:rPr>
              <w:t>Risk monitoring procedure</w:t>
            </w:r>
          </w:p>
        </w:tc>
        <w:tc>
          <w:tcPr>
            <w:tcW w:type="dxa" w:w="2484"/>
            <w:vAlign w:val="center"/>
          </w:tcPr>
          <w:p>
            <w:r>
              <w:rPr>
                <w:rFonts w:ascii="Arial" w:hAnsi="Arial"/>
                <w:sz w:val="17"/>
              </w:rPr>
              <w:t>Section 5</w:t>
            </w:r>
          </w:p>
        </w:tc>
        <w:tc>
          <w:tcPr>
            <w:tcW w:type="dxa" w:w="2484"/>
            <w:vAlign w:val="center"/>
          </w:tcPr>
          <w:p>
            <w:r>
              <w:rPr>
                <w:rFonts w:ascii="Arial" w:hAnsi="Arial"/>
                <w:sz w:val="17"/>
              </w:rPr>
              <w:t>Complete</w:t>
            </w:r>
          </w:p>
        </w:tc>
      </w:tr>
      <w:tr>
        <w:tc>
          <w:tcPr>
            <w:tcW w:type="dxa" w:w="2484"/>
            <w:vAlign w:val="center"/>
          </w:tcPr>
          <w:p>
            <w:r>
              <w:rPr>
                <w:rFonts w:ascii="Arial" w:hAnsi="Arial"/>
                <w:sz w:val="17"/>
              </w:rPr>
              <w:t>4</w:t>
            </w:r>
          </w:p>
        </w:tc>
        <w:tc>
          <w:tcPr>
            <w:tcW w:type="dxa" w:w="2484"/>
            <w:vAlign w:val="center"/>
          </w:tcPr>
          <w:p>
            <w:r>
              <w:rPr>
                <w:rFonts w:ascii="Arial" w:hAnsi="Arial"/>
                <w:sz w:val="17"/>
              </w:rPr>
              <w:t>Security monitoring use case + detection/prioritization/response</w:t>
            </w:r>
          </w:p>
        </w:tc>
        <w:tc>
          <w:tcPr>
            <w:tcW w:type="dxa" w:w="2484"/>
            <w:vAlign w:val="center"/>
          </w:tcPr>
          <w:p>
            <w:r>
              <w:rPr>
                <w:rFonts w:ascii="Arial" w:hAnsi="Arial"/>
                <w:sz w:val="17"/>
              </w:rPr>
              <w:t>Section 6</w:t>
            </w:r>
          </w:p>
        </w:tc>
        <w:tc>
          <w:tcPr>
            <w:tcW w:type="dxa" w:w="2484"/>
            <w:vAlign w:val="center"/>
          </w:tcPr>
          <w:p>
            <w:r>
              <w:rPr>
                <w:rFonts w:ascii="Arial" w:hAnsi="Arial"/>
                <w:sz w:val="17"/>
              </w:rPr>
              <w:t>Complete as documented lab procedure</w:t>
            </w:r>
          </w:p>
        </w:tc>
      </w:tr>
      <w:tr>
        <w:tc>
          <w:tcPr>
            <w:tcW w:type="dxa" w:w="2484"/>
            <w:vAlign w:val="center"/>
          </w:tcPr>
          <w:p>
            <w:r>
              <w:rPr>
                <w:rFonts w:ascii="Arial" w:hAnsi="Arial"/>
                <w:sz w:val="17"/>
              </w:rPr>
              <w:t>4</w:t>
            </w:r>
          </w:p>
        </w:tc>
        <w:tc>
          <w:tcPr>
            <w:tcW w:type="dxa" w:w="2484"/>
            <w:vAlign w:val="center"/>
          </w:tcPr>
          <w:p>
            <w:r>
              <w:rPr>
                <w:rFonts w:ascii="Arial" w:hAnsi="Arial"/>
                <w:sz w:val="17"/>
              </w:rPr>
              <w:t>Incident response scenario + classification/steps/lessons</w:t>
            </w:r>
          </w:p>
        </w:tc>
        <w:tc>
          <w:tcPr>
            <w:tcW w:type="dxa" w:w="2484"/>
            <w:vAlign w:val="center"/>
          </w:tcPr>
          <w:p>
            <w:r>
              <w:rPr>
                <w:rFonts w:ascii="Arial" w:hAnsi="Arial"/>
                <w:sz w:val="17"/>
              </w:rPr>
              <w:t>Section 7</w:t>
            </w:r>
          </w:p>
        </w:tc>
        <w:tc>
          <w:tcPr>
            <w:tcW w:type="dxa" w:w="2484"/>
            <w:vAlign w:val="center"/>
          </w:tcPr>
          <w:p>
            <w:r>
              <w:rPr>
                <w:rFonts w:ascii="Arial" w:hAnsi="Arial"/>
                <w:sz w:val="17"/>
              </w:rPr>
              <w:t>Complete</w:t>
            </w:r>
          </w:p>
        </w:tc>
      </w:tr>
      <w:tr>
        <w:tc>
          <w:tcPr>
            <w:tcW w:type="dxa" w:w="2484"/>
            <w:vAlign w:val="center"/>
          </w:tcPr>
          <w:p>
            <w:r>
              <w:rPr>
                <w:rFonts w:ascii="Arial" w:hAnsi="Arial"/>
                <w:sz w:val="17"/>
              </w:rPr>
              <w:t>4</w:t>
            </w:r>
          </w:p>
        </w:tc>
        <w:tc>
          <w:tcPr>
            <w:tcW w:type="dxa" w:w="2484"/>
            <w:vAlign w:val="center"/>
          </w:tcPr>
          <w:p>
            <w:r>
              <w:rPr>
                <w:rFonts w:ascii="Arial" w:hAnsi="Arial"/>
                <w:sz w:val="17"/>
              </w:rPr>
              <w:t>Evidence of functionality</w:t>
            </w:r>
          </w:p>
        </w:tc>
        <w:tc>
          <w:tcPr>
            <w:tcW w:type="dxa" w:w="2484"/>
            <w:vAlign w:val="center"/>
          </w:tcPr>
          <w:p>
            <w:r>
              <w:rPr>
                <w:rFonts w:ascii="Arial" w:hAnsi="Arial"/>
                <w:sz w:val="17"/>
              </w:rPr>
              <w:t>Section 9</w:t>
            </w:r>
          </w:p>
        </w:tc>
        <w:tc>
          <w:tcPr>
            <w:tcW w:type="dxa" w:w="2484"/>
            <w:vAlign w:val="center"/>
          </w:tcPr>
          <w:p>
            <w:r>
              <w:rPr>
                <w:rFonts w:ascii="Arial" w:hAnsi="Arial"/>
                <w:sz w:val="17"/>
              </w:rPr>
              <w:t>Evidence checklist provided; add live screenshots/events where not already captured</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SOC / Cybersecurity Lab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Consolidated Cybersecurity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