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MALWARE ANALYSIS REPORT</w:t>
      </w:r>
    </w:p>
    <w:p>
      <w:pPr>
        <w:spacing w:after="40"/>
        <w:jc w:val="center"/>
      </w:pPr>
      <w:r>
        <w:rPr>
          <w:color w:val="444444"/>
          <w:sz w:val="24"/>
          <w:szCs w:val="24"/>
        </w:rPr>
        <w:t xml:space="preserve">Vidar Infostealer – Joe Sandbox Analysis #1968168</w:t>
      </w:r>
    </w:p>
    <w:p>
      <w:pPr>
        <w:spacing w:after="300"/>
        <w:jc w:val="center"/>
      </w:pPr>
      <w:r>
        <w:rPr>
          <w:i/>
          <w:iCs/>
          <w:color w:val="666666"/>
          <w:sz w:val="20"/>
          <w:szCs w:val="20"/>
        </w:rPr>
        <w:t xml:space="preserve">Prepared: September 9, 2026</w:t>
      </w:r>
    </w:p>
    <w:p>
      <w:pPr>
        <w:pStyle w:val="Heading1"/>
        <w:pBdr>
          <w:bottom w:val="single" w:color="1F3864" w:sz="6" w:space="4"/>
        </w:pBdr>
        <w:spacing w:after="160" w:before="320"/>
      </w:pPr>
      <w:r>
        <w:rPr>
          <w:b/>
          <w:bCs/>
          <w:color w:val="1F3864"/>
          <w:sz w:val="28"/>
          <w:szCs w:val="28"/>
        </w:rPr>
        <w:t xml:space="preserve">1. Executive Summary</w:t>
      </w:r>
    </w:p>
    <w:p>
      <w:pPr>
        <w:spacing w:after="160"/>
      </w:pPr>
      <w:r>
        <w:rPr>
          <w:sz w:val="21"/>
          <w:szCs w:val="21"/>
        </w:rPr>
        <w:t xml:space="preserve">On detonation, the submitted sample was confirmed malicious with a Joe Sandbox score of 100/100 and identified as Vidar Stealer v3.2, a commodity information-stealing malware sold as Malware-as-a-Service (MaaS) on Russian-language underground forums and Telegram. The sample harvests browser-stored credentials, cryptocurrency wallet data, and FTP/SSH session information, then exfiltrates it to an attacker-controlled endpoint fronted by Cloudflare. Any host that executed this binary should be treated as compromised for credential-theft purposes.</w:t>
      </w:r>
    </w:p>
    <w:p>
      <w:pPr>
        <w:pStyle w:val="Heading1"/>
        <w:pBdr>
          <w:bottom w:val="single" w:color="1F3864" w:sz="6" w:space="4"/>
        </w:pBdr>
        <w:spacing w:after="160" w:before="320"/>
      </w:pPr>
      <w:r>
        <w:rPr>
          <w:b/>
          <w:bCs/>
          <w:color w:val="1F3864"/>
          <w:sz w:val="28"/>
          <w:szCs w:val="28"/>
        </w:rPr>
        <w:t xml:space="preserve">2. Sample Details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F2F2F2" w:val="clear"/>
            <w:tcMar>
              <w:top w:type="dxa" w:w="80"/>
              <w:left w:type="dxa" w:w="100"/>
              <w:bottom w:type="dxa" w:w="80"/>
              <w:right w:type="dxa" w:w="100"/>
            </w:tcMar>
          </w:tcPr>
          <w:p>
            <w:r>
              <w:rPr>
                <w:b/>
                <w:bCs/>
                <w:sz w:val="20"/>
                <w:szCs w:val="20"/>
              </w:rPr>
              <w:t xml:space="preserve">File name</w:t>
            </w:r>
          </w:p>
        </w:tc>
        <w:tc>
          <w:tcPr>
            <w:tcW w:type="dxa" w:w="6800"/>
            <w:tcMar>
              <w:top w:type="dxa" w:w="80"/>
              <w:left w:type="dxa" w:w="100"/>
              <w:bottom w:type="dxa" w:w="80"/>
              <w:right w:type="dxa" w:w="100"/>
            </w:tcMar>
          </w:tcPr>
          <w:p>
            <w:r>
              <w:rPr>
                <w:rFonts w:ascii="Consolas" w:cs="Consolas" w:eastAsia="Consolas" w:hAnsi="Consolas"/>
                <w:b w:val="false"/>
                <w:bCs w:val="false"/>
                <w:sz w:val="20"/>
                <w:szCs w:val="20"/>
              </w:rPr>
              <w:t xml:space="preserve">5fe1055c8dff5c3dcacfd42eb6424ebfc9db7b12def00a5c8d287425403ac67b.exe</w:t>
            </w:r>
          </w:p>
        </w:tc>
      </w:tr>
      <w:tr>
        <w:tc>
          <w:tcPr>
            <w:tcW w:type="dxa" w:w="2600"/>
            <w:shd w:fill="F2F2F2" w:val="clear"/>
            <w:tcMar>
              <w:top w:type="dxa" w:w="80"/>
              <w:left w:type="dxa" w:w="100"/>
              <w:bottom w:type="dxa" w:w="80"/>
              <w:right w:type="dxa" w:w="100"/>
            </w:tcMar>
          </w:tcPr>
          <w:p>
            <w:r>
              <w:rPr>
                <w:b/>
                <w:bCs/>
                <w:sz w:val="20"/>
                <w:szCs w:val="20"/>
              </w:rPr>
              <w:t xml:space="preserve">MD5</w:t>
            </w:r>
          </w:p>
        </w:tc>
        <w:tc>
          <w:tcPr>
            <w:tcW w:type="dxa" w:w="6800"/>
            <w:tcMar>
              <w:top w:type="dxa" w:w="80"/>
              <w:left w:type="dxa" w:w="100"/>
              <w:bottom w:type="dxa" w:w="80"/>
              <w:right w:type="dxa" w:w="100"/>
            </w:tcMar>
          </w:tcPr>
          <w:p>
            <w:r>
              <w:rPr>
                <w:rFonts w:ascii="Consolas" w:cs="Consolas" w:eastAsia="Consolas" w:hAnsi="Consolas"/>
                <w:b w:val="false"/>
                <w:bCs w:val="false"/>
                <w:sz w:val="20"/>
                <w:szCs w:val="20"/>
              </w:rPr>
              <w:t xml:space="preserve">750fa31ff382c44d96930753bdb1a74e</w:t>
            </w:r>
          </w:p>
        </w:tc>
      </w:tr>
      <w:tr>
        <w:tc>
          <w:tcPr>
            <w:tcW w:type="dxa" w:w="2600"/>
            <w:shd w:fill="F2F2F2" w:val="clear"/>
            <w:tcMar>
              <w:top w:type="dxa" w:w="80"/>
              <w:left w:type="dxa" w:w="100"/>
              <w:bottom w:type="dxa" w:w="80"/>
              <w:right w:type="dxa" w:w="100"/>
            </w:tcMar>
          </w:tcPr>
          <w:p>
            <w:r>
              <w:rPr>
                <w:b/>
                <w:bCs/>
                <w:sz w:val="20"/>
                <w:szCs w:val="20"/>
              </w:rPr>
              <w:t xml:space="preserve">SHA1</w:t>
            </w:r>
          </w:p>
        </w:tc>
        <w:tc>
          <w:tcPr>
            <w:tcW w:type="dxa" w:w="6800"/>
            <w:tcMar>
              <w:top w:type="dxa" w:w="80"/>
              <w:left w:type="dxa" w:w="100"/>
              <w:bottom w:type="dxa" w:w="80"/>
              <w:right w:type="dxa" w:w="100"/>
            </w:tcMar>
          </w:tcPr>
          <w:p>
            <w:r>
              <w:rPr>
                <w:rFonts w:ascii="Consolas" w:cs="Consolas" w:eastAsia="Consolas" w:hAnsi="Consolas"/>
                <w:b w:val="false"/>
                <w:bCs w:val="false"/>
                <w:sz w:val="20"/>
                <w:szCs w:val="20"/>
              </w:rPr>
              <w:t xml:space="preserve">1be350352a3d027ea6b5bbbe7fe52687a5d05e92</w:t>
            </w:r>
          </w:p>
        </w:tc>
      </w:tr>
      <w:tr>
        <w:tc>
          <w:tcPr>
            <w:tcW w:type="dxa" w:w="2600"/>
            <w:shd w:fill="F2F2F2" w:val="clear"/>
            <w:tcMar>
              <w:top w:type="dxa" w:w="80"/>
              <w:left w:type="dxa" w:w="100"/>
              <w:bottom w:type="dxa" w:w="80"/>
              <w:right w:type="dxa" w:w="100"/>
            </w:tcMar>
          </w:tcPr>
          <w:p>
            <w:r>
              <w:rPr>
                <w:b/>
                <w:bCs/>
                <w:sz w:val="20"/>
                <w:szCs w:val="20"/>
              </w:rPr>
              <w:t xml:space="preserve">SHA256</w:t>
            </w:r>
          </w:p>
        </w:tc>
        <w:tc>
          <w:tcPr>
            <w:tcW w:type="dxa" w:w="6800"/>
            <w:tcMar>
              <w:top w:type="dxa" w:w="80"/>
              <w:left w:type="dxa" w:w="100"/>
              <w:bottom w:type="dxa" w:w="80"/>
              <w:right w:type="dxa" w:w="100"/>
            </w:tcMar>
          </w:tcPr>
          <w:p>
            <w:r>
              <w:rPr>
                <w:rFonts w:ascii="Consolas" w:cs="Consolas" w:eastAsia="Consolas" w:hAnsi="Consolas"/>
                <w:b w:val="false"/>
                <w:bCs w:val="false"/>
                <w:sz w:val="20"/>
                <w:szCs w:val="20"/>
              </w:rPr>
              <w:t xml:space="preserve">bfd58bd43ba3879d118f928374d9c00bd0f1c0f22d7c1543cf806aee5ac431cd</w:t>
            </w:r>
          </w:p>
        </w:tc>
      </w:tr>
      <w:tr>
        <w:tc>
          <w:tcPr>
            <w:tcW w:type="dxa" w:w="2600"/>
            <w:shd w:fill="F2F2F2" w:val="clear"/>
            <w:tcMar>
              <w:top w:type="dxa" w:w="80"/>
              <w:left w:type="dxa" w:w="100"/>
              <w:bottom w:type="dxa" w:w="80"/>
              <w:right w:type="dxa" w:w="100"/>
            </w:tcMar>
          </w:tcPr>
          <w:p>
            <w:r>
              <w:rPr>
                <w:b/>
                <w:bCs/>
                <w:sz w:val="20"/>
                <w:szCs w:val="20"/>
              </w:rPr>
              <w:t xml:space="preserve">Malware family</w:t>
            </w:r>
          </w:p>
        </w:tc>
        <w:tc>
          <w:tcPr>
            <w:tcW w:type="dxa" w:w="6800"/>
            <w:tcMar>
              <w:top w:type="dxa" w:w="80"/>
              <w:left w:type="dxa" w:w="100"/>
              <w:bottom w:type="dxa" w:w="80"/>
              <w:right w:type="dxa" w:w="100"/>
            </w:tcMar>
          </w:tcPr>
          <w:p>
            <w:r>
              <w:rPr>
                <w:b w:val="false"/>
                <w:bCs w:val="false"/>
                <w:sz w:val="20"/>
                <w:szCs w:val="20"/>
              </w:rPr>
              <w:t xml:space="preserve">Vidar Stealer v3.2</w:t>
            </w:r>
          </w:p>
        </w:tc>
      </w:tr>
      <w:tr>
        <w:tc>
          <w:tcPr>
            <w:tcW w:type="dxa" w:w="2600"/>
            <w:shd w:fill="F2F2F2" w:val="clear"/>
            <w:tcMar>
              <w:top w:type="dxa" w:w="80"/>
              <w:left w:type="dxa" w:w="100"/>
              <w:bottom w:type="dxa" w:w="80"/>
              <w:right w:type="dxa" w:w="100"/>
            </w:tcMar>
          </w:tcPr>
          <w:p>
            <w:r>
              <w:rPr>
                <w:b/>
                <w:bCs/>
                <w:sz w:val="20"/>
                <w:szCs w:val="20"/>
              </w:rPr>
              <w:t xml:space="preserve">Joe Sandbox score</w:t>
            </w:r>
          </w:p>
        </w:tc>
        <w:tc>
          <w:tcPr>
            <w:tcW w:type="dxa" w:w="6800"/>
            <w:tcMar>
              <w:top w:type="dxa" w:w="80"/>
              <w:left w:type="dxa" w:w="100"/>
              <w:bottom w:type="dxa" w:w="80"/>
              <w:right w:type="dxa" w:w="100"/>
            </w:tcMar>
          </w:tcPr>
          <w:p>
            <w:r>
              <w:rPr>
                <w:b w:val="false"/>
                <w:bCs w:val="false"/>
                <w:sz w:val="20"/>
                <w:szCs w:val="20"/>
              </w:rPr>
              <w:t xml:space="preserve">100 / 100 (confidence 100%)</w:t>
            </w:r>
          </w:p>
        </w:tc>
      </w:tr>
      <w:tr>
        <w:tc>
          <w:tcPr>
            <w:tcW w:type="dxa" w:w="2600"/>
            <w:shd w:fill="F2F2F2" w:val="clear"/>
            <w:tcMar>
              <w:top w:type="dxa" w:w="80"/>
              <w:left w:type="dxa" w:w="100"/>
              <w:bottom w:type="dxa" w:w="80"/>
              <w:right w:type="dxa" w:w="100"/>
            </w:tcMar>
          </w:tcPr>
          <w:p>
            <w:r>
              <w:rPr>
                <w:b/>
                <w:bCs/>
                <w:sz w:val="20"/>
                <w:szCs w:val="20"/>
              </w:rPr>
              <w:t xml:space="preserve">AV detection</w:t>
            </w:r>
          </w:p>
        </w:tc>
        <w:tc>
          <w:tcPr>
            <w:tcW w:type="dxa" w:w="6800"/>
            <w:tcMar>
              <w:top w:type="dxa" w:w="80"/>
              <w:left w:type="dxa" w:w="100"/>
              <w:bottom w:type="dxa" w:w="80"/>
              <w:right w:type="dxa" w:w="100"/>
            </w:tcMar>
          </w:tcPr>
          <w:p>
            <w:r>
              <w:rPr>
                <w:b w:val="false"/>
                <w:bCs w:val="false"/>
                <w:sz w:val="20"/>
                <w:szCs w:val="20"/>
              </w:rPr>
              <w:t xml:space="preserve">ReversingLabs 44% (Win64.Malware.Vidar) / VirusTotal 47%</w:t>
            </w:r>
          </w:p>
        </w:tc>
      </w:tr>
    </w:tbl>
    <w:p>
      <w:pPr>
        <w:pStyle w:val="Heading1"/>
        <w:pBdr>
          <w:bottom w:val="single" w:color="1F3864" w:sz="6" w:space="4"/>
        </w:pBdr>
        <w:spacing w:after="160" w:before="320"/>
      </w:pPr>
      <w:r>
        <w:rPr>
          <w:b/>
          <w:bCs/>
          <w:color w:val="1F3864"/>
          <w:sz w:val="28"/>
          <w:szCs w:val="28"/>
        </w:rPr>
        <w:t xml:space="preserve">3. Behavioral Analysis</w:t>
      </w:r>
    </w:p>
    <w:p>
      <w:pPr>
        <w:pStyle w:val="Heading2"/>
        <w:spacing w:after="120" w:before="240"/>
      </w:pPr>
      <w:r>
        <w:rPr>
          <w:b/>
          <w:bCs/>
          <w:color w:val="1F3864"/>
          <w:sz w:val="24"/>
          <w:szCs w:val="24"/>
        </w:rPr>
        <w:t xml:space="preserve">Execution &amp; Injection</w:t>
      </w:r>
    </w:p>
    <w:p>
      <w:pPr>
        <w:pStyle w:val="ListParagraph"/>
        <w:numPr>
          <w:ilvl w:val="0"/>
          <w:numId w:val="2"/>
        </w:numPr>
        <w:spacing w:after="80"/>
      </w:pPr>
      <w:r>
        <w:rPr>
          <w:sz w:val="21"/>
          <w:szCs w:val="21"/>
        </w:rPr>
        <w:t xml:space="preserve">Executed from the user's Desktop, then spawned multiple headless/minimal-UI Chrome and Edge instances to act as containers for credential harvesting.</w:t>
      </w:r>
    </w:p>
    <w:p>
      <w:pPr>
        <w:pStyle w:val="ListParagraph"/>
        <w:numPr>
          <w:ilvl w:val="0"/>
          <w:numId w:val="2"/>
        </w:numPr>
        <w:spacing w:after="80"/>
      </w:pPr>
      <w:r>
        <w:rPr>
          <w:sz w:val="21"/>
          <w:szCs w:val="21"/>
        </w:rPr>
        <w:t xml:space="preserve">Performed process injection into Edge instances via VirtualAllocEx, WriteProcessMemory, and NtQueueApcThread.</w:t>
      </w:r>
    </w:p>
    <w:p>
      <w:pPr>
        <w:pStyle w:val="Heading2"/>
        <w:spacing w:after="120" w:before="240"/>
      </w:pPr>
      <w:r>
        <w:rPr>
          <w:b/>
          <w:bCs/>
          <w:color w:val="1F3864"/>
          <w:sz w:val="24"/>
          <w:szCs w:val="24"/>
        </w:rPr>
        <w:t xml:space="preserve">Data Targeted</w:t>
      </w:r>
    </w:p>
    <w:p>
      <w:pPr>
        <w:pStyle w:val="ListParagraph"/>
        <w:numPr>
          <w:ilvl w:val="0"/>
          <w:numId w:val="2"/>
        </w:numPr>
        <w:spacing w:after="80"/>
      </w:pPr>
      <w:r>
        <w:rPr>
          <w:sz w:val="21"/>
          <w:szCs w:val="21"/>
        </w:rPr>
        <w:t xml:space="preserve">Browser data: Chrome, Edge, Firefox – cookies, history, saved passwords.</w:t>
      </w:r>
    </w:p>
    <w:p>
      <w:pPr>
        <w:pStyle w:val="ListParagraph"/>
        <w:numPr>
          <w:ilvl w:val="0"/>
          <w:numId w:val="2"/>
        </w:numPr>
        <w:spacing w:after="80"/>
      </w:pPr>
      <w:r>
        <w:rPr>
          <w:sz w:val="21"/>
          <w:szCs w:val="21"/>
        </w:rPr>
        <w:t xml:space="preserve">Cryptocurrency wallets: Electrum, ElectronCash (extensive wallet-related strings found).</w:t>
      </w:r>
    </w:p>
    <w:p>
      <w:pPr>
        <w:pStyle w:val="ListParagraph"/>
        <w:numPr>
          <w:ilvl w:val="0"/>
          <w:numId w:val="2"/>
        </w:numPr>
        <w:spacing w:after="80"/>
      </w:pPr>
      <w:r>
        <w:rPr>
          <w:sz w:val="21"/>
          <w:szCs w:val="21"/>
        </w:rPr>
        <w:t xml:space="preserve">FTP credentials: FileZilla recentservers.xml.</w:t>
      </w:r>
    </w:p>
    <w:p>
      <w:pPr>
        <w:pStyle w:val="ListParagraph"/>
        <w:numPr>
          <w:ilvl w:val="0"/>
          <w:numId w:val="2"/>
        </w:numPr>
        <w:spacing w:after="80"/>
      </w:pPr>
      <w:r>
        <w:rPr>
          <w:sz w:val="21"/>
          <w:szCs w:val="21"/>
        </w:rPr>
        <w:t xml:space="preserve">Remote access sessions: WinSCP, PuTTY.</w:t>
      </w:r>
    </w:p>
    <w:p>
      <w:pPr>
        <w:pStyle w:val="Heading2"/>
        <w:spacing w:after="120" w:before="240"/>
      </w:pPr>
      <w:r>
        <w:rPr>
          <w:b/>
          <w:bCs/>
          <w:color w:val="1F3864"/>
          <w:sz w:val="24"/>
          <w:szCs w:val="24"/>
        </w:rPr>
        <w:t xml:space="preserve">Evasion &amp; Anti-Analysis</w:t>
      </w:r>
    </w:p>
    <w:p>
      <w:pPr>
        <w:pStyle w:val="ListParagraph"/>
        <w:numPr>
          <w:ilvl w:val="0"/>
          <w:numId w:val="2"/>
        </w:numPr>
        <w:spacing w:after="80"/>
      </w:pPr>
      <w:r>
        <w:rPr>
          <w:sz w:val="21"/>
          <w:szCs w:val="21"/>
        </w:rPr>
        <w:t xml:space="preserve">VirtualBox registry artifact checks and RDTSC timing checks.</w:t>
      </w:r>
    </w:p>
    <w:p>
      <w:pPr>
        <w:pStyle w:val="ListParagraph"/>
        <w:numPr>
          <w:ilvl w:val="0"/>
          <w:numId w:val="2"/>
        </w:numPr>
        <w:spacing w:after="80"/>
      </w:pPr>
      <w:r>
        <w:rPr>
          <w:sz w:val="21"/>
          <w:szCs w:val="21"/>
        </w:rPr>
        <w:t xml:space="preserve">Detection strings for ProcessHacker, HookExplorer, and Wireshark; matched an AntiVM Yara rule.</w:t>
      </w:r>
    </w:p>
    <w:p>
      <w:pPr>
        <w:pStyle w:val="ListParagraph"/>
        <w:numPr>
          <w:ilvl w:val="0"/>
          <w:numId w:val="2"/>
        </w:numPr>
        <w:spacing w:after="80"/>
      </w:pPr>
      <w:r>
        <w:rPr>
          <w:sz w:val="21"/>
          <w:szCs w:val="21"/>
        </w:rPr>
        <w:t xml:space="preserve">Strings associated with AV-process termination.</w:t>
      </w:r>
    </w:p>
    <w:p>
      <w:pPr>
        <w:pStyle w:val="ListParagraph"/>
        <w:numPr>
          <w:ilvl w:val="0"/>
          <w:numId w:val="2"/>
        </w:numPr>
        <w:spacing w:after="80"/>
      </w:pPr>
      <w:r>
        <w:rPr>
          <w:sz w:val="21"/>
          <w:szCs w:val="21"/>
        </w:rPr>
        <w:t xml:space="preserve">Abuses Windows Restart Manager to unlock browser credential files that are normally locked while the browser is running.</w:t>
      </w:r>
    </w:p>
    <w:p>
      <w:pPr>
        <w:pStyle w:val="ListParagraph"/>
        <w:numPr>
          <w:ilvl w:val="0"/>
          <w:numId w:val="2"/>
        </w:numPr>
        <w:spacing w:after="80"/>
      </w:pPr>
      <w:r>
        <w:rPr>
          <w:sz w:val="21"/>
          <w:szCs w:val="21"/>
        </w:rPr>
        <w:t xml:space="preserve">Monitors HKCU...\CurrentVersion\Run (persistence-adjacent behavior).</w:t>
      </w:r>
    </w:p>
    <w:p>
      <w:pPr>
        <w:pStyle w:val="Heading1"/>
        <w:pBdr>
          <w:bottom w:val="single" w:color="1F3864" w:sz="6" w:space="4"/>
        </w:pBdr>
        <w:spacing w:after="160" w:before="320"/>
      </w:pPr>
      <w:r>
        <w:rPr>
          <w:b/>
          <w:bCs/>
          <w:color w:val="1F3864"/>
          <w:sz w:val="28"/>
          <w:szCs w:val="28"/>
        </w:rPr>
        <w:t xml:space="preserve">4. Network / C2 Indicators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F2F2F2" w:val="clear"/>
            <w:tcMar>
              <w:top w:type="dxa" w:w="80"/>
              <w:left w:type="dxa" w:w="100"/>
              <w:bottom w:type="dxa" w:w="80"/>
              <w:right w:type="dxa" w:w="100"/>
            </w:tcMar>
          </w:tcPr>
          <w:p>
            <w:r>
              <w:rPr>
                <w:b/>
                <w:bCs/>
                <w:sz w:val="20"/>
                <w:szCs w:val="20"/>
              </w:rPr>
              <w:t xml:space="preserve">C2 dead-drop resolvers</w:t>
            </w:r>
          </w:p>
        </w:tc>
        <w:tc>
          <w:tcPr>
            <w:tcW w:type="dxa" w:w="6800"/>
            <w:tcMar>
              <w:top w:type="dxa" w:w="80"/>
              <w:left w:type="dxa" w:w="100"/>
              <w:bottom w:type="dxa" w:w="80"/>
              <w:right w:type="dxa" w:w="100"/>
            </w:tcMar>
          </w:tcPr>
          <w:p>
            <w:r>
              <w:rPr>
                <w:rFonts w:ascii="Consolas" w:cs="Consolas" w:eastAsia="Consolas" w:hAnsi="Consolas"/>
                <w:b w:val="false"/>
                <w:bCs w:val="false"/>
                <w:sz w:val="20"/>
                <w:szCs w:val="20"/>
              </w:rPr>
              <w:t xml:space="preserve">https://telegram.me/nag0e
https://community.fandom.com/wikia.php?...userId=63727183</w:t>
            </w:r>
          </w:p>
        </w:tc>
      </w:tr>
      <w:tr>
        <w:tc>
          <w:tcPr>
            <w:tcW w:type="dxa" w:w="2600"/>
            <w:shd w:fill="F2F2F2" w:val="clear"/>
            <w:tcMar>
              <w:top w:type="dxa" w:w="80"/>
              <w:left w:type="dxa" w:w="100"/>
              <w:bottom w:type="dxa" w:w="80"/>
              <w:right w:type="dxa" w:w="100"/>
            </w:tcMar>
          </w:tcPr>
          <w:p>
            <w:r>
              <w:rPr>
                <w:b/>
                <w:bCs/>
                <w:sz w:val="20"/>
                <w:szCs w:val="20"/>
              </w:rPr>
              <w:t xml:space="preserve">Actual exfil endpoint</w:t>
            </w:r>
          </w:p>
        </w:tc>
        <w:tc>
          <w:tcPr>
            <w:tcW w:type="dxa" w:w="6800"/>
            <w:tcMar>
              <w:top w:type="dxa" w:w="80"/>
              <w:left w:type="dxa" w:w="100"/>
              <w:bottom w:type="dxa" w:w="80"/>
              <w:right w:type="dxa" w:w="100"/>
            </w:tcMar>
          </w:tcPr>
          <w:p>
            <w:r>
              <w:rPr>
                <w:rFonts w:ascii="Consolas" w:cs="Consolas" w:eastAsia="Consolas" w:hAnsi="Consolas"/>
                <w:b w:val="false"/>
                <w:bCs w:val="false"/>
                <w:sz w:val="20"/>
                <w:szCs w:val="20"/>
              </w:rPr>
              <w:t xml:space="preserve">ram.13balien.org  (172.67.216.90:443, Cloudflare-fronted)</w:t>
            </w:r>
          </w:p>
        </w:tc>
      </w:tr>
      <w:tr>
        <w:tc>
          <w:tcPr>
            <w:tcW w:type="dxa" w:w="2600"/>
            <w:shd w:fill="F2F2F2" w:val="clear"/>
            <w:tcMar>
              <w:top w:type="dxa" w:w="80"/>
              <w:left w:type="dxa" w:w="100"/>
              <w:bottom w:type="dxa" w:w="80"/>
              <w:right w:type="dxa" w:w="100"/>
            </w:tcMar>
          </w:tcPr>
          <w:p>
            <w:r>
              <w:rPr>
                <w:b/>
                <w:bCs/>
                <w:sz w:val="20"/>
                <w:szCs w:val="20"/>
              </w:rPr>
              <w:t xml:space="preserve">Botnet ID</w:t>
            </w:r>
          </w:p>
        </w:tc>
        <w:tc>
          <w:tcPr>
            <w:tcW w:type="dxa" w:w="6800"/>
            <w:tcMar>
              <w:top w:type="dxa" w:w="80"/>
              <w:left w:type="dxa" w:w="100"/>
              <w:bottom w:type="dxa" w:w="80"/>
              <w:right w:type="dxa" w:w="100"/>
            </w:tcMar>
          </w:tcPr>
          <w:p>
            <w:r>
              <w:rPr>
                <w:rFonts w:ascii="Consolas" w:cs="Consolas" w:eastAsia="Consolas" w:hAnsi="Consolas"/>
                <w:b w:val="false"/>
                <w:bCs w:val="false"/>
                <w:sz w:val="20"/>
                <w:szCs w:val="20"/>
              </w:rPr>
              <w:t xml:space="preserve">a5d71ca3dd6c7e58d096018d80bd5a88</w:t>
            </w:r>
          </w:p>
        </w:tc>
      </w:tr>
      <w:tr>
        <w:tc>
          <w:tcPr>
            <w:tcW w:type="dxa" w:w="2600"/>
            <w:shd w:fill="F2F2F2" w:val="clear"/>
            <w:tcMar>
              <w:top w:type="dxa" w:w="80"/>
              <w:left w:type="dxa" w:w="100"/>
              <w:bottom w:type="dxa" w:w="80"/>
              <w:right w:type="dxa" w:w="100"/>
            </w:tcMar>
          </w:tcPr>
          <w:p>
            <w:r>
              <w:rPr>
                <w:b/>
                <w:bCs/>
                <w:sz w:val="20"/>
                <w:szCs w:val="20"/>
              </w:rPr>
              <w:t xml:space="preserve">Malware User-Agent</w:t>
            </w:r>
          </w:p>
        </w:tc>
        <w:tc>
          <w:tcPr>
            <w:tcW w:type="dxa" w:w="6800"/>
            <w:tcMar>
              <w:top w:type="dxa" w:w="80"/>
              <w:left w:type="dxa" w:w="100"/>
              <w:bottom w:type="dxa" w:w="80"/>
              <w:right w:type="dxa" w:w="100"/>
            </w:tcMar>
          </w:tcPr>
          <w:p>
            <w:r>
              <w:rPr>
                <w:rFonts w:ascii="Consolas" w:cs="Consolas" w:eastAsia="Consolas" w:hAnsi="Consolas"/>
                <w:b w:val="false"/>
                <w:bCs w:val="false"/>
                <w:sz w:val="20"/>
                <w:szCs w:val="20"/>
              </w:rPr>
              <w:t xml:space="preserve">Mozilla/5.0 (Macintosh; Intel Mac OS X 10.10; rv:34.0) Gecko/20100101 Firefox/34.0</w:t>
            </w:r>
          </w:p>
        </w:tc>
      </w:tr>
      <w:tr>
        <w:tc>
          <w:tcPr>
            <w:tcW w:type="dxa" w:w="2600"/>
            <w:shd w:fill="F2F2F2" w:val="clear"/>
            <w:tcMar>
              <w:top w:type="dxa" w:w="80"/>
              <w:left w:type="dxa" w:w="100"/>
              <w:bottom w:type="dxa" w:w="80"/>
              <w:right w:type="dxa" w:w="100"/>
            </w:tcMar>
          </w:tcPr>
          <w:p>
            <w:r>
              <w:rPr>
                <w:b/>
                <w:bCs/>
                <w:sz w:val="20"/>
                <w:szCs w:val="20"/>
              </w:rPr>
              <w:t xml:space="preserve">Suricata alerts</w:t>
            </w:r>
          </w:p>
        </w:tc>
        <w:tc>
          <w:tcPr>
            <w:tcW w:type="dxa" w:w="6800"/>
            <w:tcMar>
              <w:top w:type="dxa" w:w="80"/>
              <w:left w:type="dxa" w:w="100"/>
              <w:bottom w:type="dxa" w:w="80"/>
              <w:right w:type="dxa" w:w="100"/>
            </w:tcMar>
          </w:tcPr>
          <w:p>
            <w:r>
              <w:rPr>
                <w:b w:val="false"/>
                <w:bCs w:val="false"/>
                <w:sz w:val="20"/>
                <w:szCs w:val="20"/>
              </w:rPr>
              <w:t xml:space="preserve">Multiple ET/ETPRO MALWARE Vidar/Stealc Stealer signatures; JA3 "Fake Firefox Font Update" alert</w:t>
            </w:r>
          </w:p>
        </w:tc>
      </w:tr>
    </w:tbl>
    <w:p>
      <w:pPr>
        <w:pStyle w:val="Heading1"/>
        <w:pBdr>
          <w:bottom w:val="single" w:color="1F3864" w:sz="6" w:space="4"/>
        </w:pBdr>
        <w:spacing w:after="160" w:before="320"/>
      </w:pPr>
      <w:r>
        <w:rPr>
          <w:b/>
          <w:bCs/>
          <w:color w:val="1F3864"/>
          <w:sz w:val="28"/>
          <w:szCs w:val="28"/>
        </w:rPr>
        <w:t xml:space="preserve">5. MITRE ATT&amp;CK Mapping</w:t>
      </w:r>
    </w:p>
    <w:p>
      <w:pPr>
        <w:spacing w:after="160"/>
      </w:pPr>
      <w:r>
        <w:rPr>
          <w:sz w:val="21"/>
          <w:szCs w:val="21"/>
        </w:rPr>
        <w:t xml:space="preserve">Techniques marked “(added)” or “(related)” reflect Vidar's commonly reported delivery vectors and were not directly observed within this specific sandbox detonation, since Joe Sandbox only captures behavior from the point of execution onward.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5300"/>
      </w:tblGrid>
      <w:tr>
        <w:tc>
          <w:tcPr>
            <w:tcW w:type="dxa" w:w="1300"/>
            <w:shd w:fill="1F3864" w:val="clear"/>
            <w:tcMar>
              <w:top w:type="dxa" w:w="80"/>
              <w:left w:type="dxa" w:w="100"/>
              <w:bottom w:type="dxa" w:w="80"/>
              <w:right w:type="dxa" w:w="100"/>
            </w:tcMar>
          </w:tcPr>
          <w:p>
            <w:r>
              <w:rPr>
                <w:b/>
                <w:bCs/>
                <w:color w:val="FFFFFF"/>
                <w:sz w:val="20"/>
                <w:szCs w:val="20"/>
              </w:rPr>
              <w:t xml:space="preserve">ID</w:t>
            </w:r>
          </w:p>
        </w:tc>
        <w:tc>
          <w:tcPr>
            <w:tcW w:type="dxa" w:w="3000"/>
            <w:shd w:fill="1F3864" w:val="clear"/>
            <w:tcMar>
              <w:top w:type="dxa" w:w="80"/>
              <w:left w:type="dxa" w:w="100"/>
              <w:bottom w:type="dxa" w:w="80"/>
              <w:right w:type="dxa" w:w="100"/>
            </w:tcMar>
          </w:tcPr>
          <w:p>
            <w:r>
              <w:rPr>
                <w:b/>
                <w:bCs/>
                <w:color w:val="FFFFFF"/>
                <w:sz w:val="20"/>
                <w:szCs w:val="20"/>
              </w:rPr>
              <w:t xml:space="preserve">Technique</w:t>
            </w:r>
          </w:p>
        </w:tc>
        <w:tc>
          <w:tcPr>
            <w:tcW w:type="dxa" w:w="5300"/>
            <w:shd w:fill="1F3864" w:val="clear"/>
            <w:tcMar>
              <w:top w:type="dxa" w:w="80"/>
              <w:left w:type="dxa" w:w="100"/>
              <w:bottom w:type="dxa" w:w="80"/>
              <w:right w:type="dxa" w:w="100"/>
            </w:tcMar>
          </w:tcPr>
          <w:p>
            <w:r>
              <w:rPr>
                <w:b/>
                <w:bCs/>
                <w:color w:val="FFFFFF"/>
                <w:sz w:val="20"/>
                <w:szCs w:val="20"/>
              </w:rPr>
              <w:t xml:space="preserve">Observed / Rationale</w:t>
            </w:r>
          </w:p>
        </w:tc>
      </w:tr>
      <w:tr>
        <w:tc>
          <w:tcPr>
            <w:tcW w:type="dxa" w:w="1300"/>
            <w:shd w:fill="F2F2F2" w:val="clear"/>
            <w:tcMar>
              <w:top w:type="dxa" w:w="80"/>
              <w:left w:type="dxa" w:w="100"/>
              <w:bottom w:type="dxa" w:w="80"/>
              <w:right w:type="dxa" w:w="100"/>
            </w:tcMar>
          </w:tcPr>
          <w:p>
            <w:r>
              <w:rPr>
                <w:b/>
                <w:bCs/>
                <w:sz w:val="20"/>
                <w:szCs w:val="20"/>
              </w:rPr>
              <w:t xml:space="preserve">T1566</w:t>
            </w:r>
          </w:p>
        </w:tc>
        <w:tc>
          <w:tcPr>
            <w:tcW w:type="dxa" w:w="3000"/>
            <w:shd w:fill="F2F2F2" w:val="clear"/>
            <w:tcMar>
              <w:top w:type="dxa" w:w="80"/>
              <w:left w:type="dxa" w:w="100"/>
              <w:bottom w:type="dxa" w:w="80"/>
              <w:right w:type="dxa" w:w="100"/>
            </w:tcMar>
          </w:tcPr>
          <w:p>
            <w:r>
              <w:rPr>
                <w:b w:val="false"/>
                <w:bCs w:val="false"/>
                <w:sz w:val="20"/>
                <w:szCs w:val="20"/>
              </w:rPr>
              <w:t xml:space="preserve">Phishing (added)</w:t>
            </w:r>
          </w:p>
        </w:tc>
        <w:tc>
          <w:tcPr>
            <w:tcW w:type="dxa" w:w="5300"/>
            <w:shd w:fill="F2F2F2" w:val="clear"/>
            <w:tcMar>
              <w:top w:type="dxa" w:w="80"/>
              <w:left w:type="dxa" w:w="100"/>
              <w:bottom w:type="dxa" w:w="80"/>
              <w:right w:type="dxa" w:w="100"/>
            </w:tcMar>
          </w:tcPr>
          <w:p>
            <w:r>
              <w:rPr>
                <w:b w:val="false"/>
                <w:bCs w:val="false"/>
                <w:sz w:val="20"/>
                <w:szCs w:val="20"/>
              </w:rPr>
              <w:t xml:space="preserve">Documented delivery vector for Vidar campaigns; not directly observed in this detonation</w:t>
            </w:r>
          </w:p>
        </w:tc>
      </w:tr>
      <w:tr>
        <w:tc>
          <w:tcPr>
            <w:tcW w:type="dxa" w:w="1300"/>
            <w:tcMar>
              <w:top w:type="dxa" w:w="80"/>
              <w:left w:type="dxa" w:w="100"/>
              <w:bottom w:type="dxa" w:w="80"/>
              <w:right w:type="dxa" w:w="100"/>
            </w:tcMar>
          </w:tcPr>
          <w:p>
            <w:r>
              <w:rPr>
                <w:b/>
                <w:bCs/>
                <w:sz w:val="20"/>
                <w:szCs w:val="20"/>
              </w:rPr>
              <w:t xml:space="preserve">T1189</w:t>
            </w:r>
          </w:p>
        </w:tc>
        <w:tc>
          <w:tcPr>
            <w:tcW w:type="dxa" w:w="3000"/>
            <w:tcMar>
              <w:top w:type="dxa" w:w="80"/>
              <w:left w:type="dxa" w:w="100"/>
              <w:bottom w:type="dxa" w:w="80"/>
              <w:right w:type="dxa" w:w="100"/>
            </w:tcMar>
          </w:tcPr>
          <w:p>
            <w:r>
              <w:rPr>
                <w:b w:val="false"/>
                <w:bCs w:val="false"/>
                <w:sz w:val="20"/>
                <w:szCs w:val="20"/>
              </w:rPr>
              <w:t xml:space="preserve">Drive-by Compromise (related)</w:t>
            </w:r>
          </w:p>
        </w:tc>
        <w:tc>
          <w:tcPr>
            <w:tcW w:type="dxa" w:w="5300"/>
            <w:tcMar>
              <w:top w:type="dxa" w:w="80"/>
              <w:left w:type="dxa" w:w="100"/>
              <w:bottom w:type="dxa" w:w="80"/>
              <w:right w:type="dxa" w:w="100"/>
            </w:tcMar>
          </w:tcPr>
          <w:p>
            <w:r>
              <w:rPr>
                <w:b w:val="false"/>
                <w:bCs w:val="false"/>
                <w:sz w:val="20"/>
                <w:szCs w:val="20"/>
              </w:rPr>
              <w:t xml:space="preserve">Malvertising / fake cracked-software downloads commonly used to deliver Vidar</w:t>
            </w:r>
          </w:p>
        </w:tc>
      </w:tr>
      <w:tr>
        <w:tc>
          <w:tcPr>
            <w:tcW w:type="dxa" w:w="1300"/>
            <w:shd w:fill="F2F2F2" w:val="clear"/>
            <w:tcMar>
              <w:top w:type="dxa" w:w="80"/>
              <w:left w:type="dxa" w:w="100"/>
              <w:bottom w:type="dxa" w:w="80"/>
              <w:right w:type="dxa" w:w="100"/>
            </w:tcMar>
          </w:tcPr>
          <w:p>
            <w:r>
              <w:rPr>
                <w:b/>
                <w:bCs/>
                <w:sz w:val="20"/>
                <w:szCs w:val="20"/>
              </w:rPr>
              <w:t xml:space="preserve">T1005</w:t>
            </w:r>
          </w:p>
        </w:tc>
        <w:tc>
          <w:tcPr>
            <w:tcW w:type="dxa" w:w="3000"/>
            <w:shd w:fill="F2F2F2" w:val="clear"/>
            <w:tcMar>
              <w:top w:type="dxa" w:w="80"/>
              <w:left w:type="dxa" w:w="100"/>
              <w:bottom w:type="dxa" w:w="80"/>
              <w:right w:type="dxa" w:w="100"/>
            </w:tcMar>
          </w:tcPr>
          <w:p>
            <w:r>
              <w:rPr>
                <w:b w:val="false"/>
                <w:bCs w:val="false"/>
                <w:sz w:val="20"/>
                <w:szCs w:val="20"/>
              </w:rPr>
              <w:t xml:space="preserve">Data from Local System</w:t>
            </w:r>
          </w:p>
        </w:tc>
        <w:tc>
          <w:tcPr>
            <w:tcW w:type="dxa" w:w="5300"/>
            <w:shd w:fill="F2F2F2" w:val="clear"/>
            <w:tcMar>
              <w:top w:type="dxa" w:w="80"/>
              <w:left w:type="dxa" w:w="100"/>
              <w:bottom w:type="dxa" w:w="80"/>
              <w:right w:type="dxa" w:w="100"/>
            </w:tcMar>
          </w:tcPr>
          <w:p>
            <w:r>
              <w:rPr>
                <w:b w:val="false"/>
                <w:bCs w:val="false"/>
                <w:sz w:val="20"/>
                <w:szCs w:val="20"/>
              </w:rPr>
              <w:t xml:space="preserve">Harvests browser, wallet, FTP and SSH data from disk</w:t>
            </w:r>
          </w:p>
        </w:tc>
      </w:tr>
      <w:tr>
        <w:tc>
          <w:tcPr>
            <w:tcW w:type="dxa" w:w="1300"/>
            <w:tcMar>
              <w:top w:type="dxa" w:w="80"/>
              <w:left w:type="dxa" w:w="100"/>
              <w:bottom w:type="dxa" w:w="80"/>
              <w:right w:type="dxa" w:w="100"/>
            </w:tcMar>
          </w:tcPr>
          <w:p>
            <w:r>
              <w:rPr>
                <w:b/>
                <w:bCs/>
                <w:sz w:val="20"/>
                <w:szCs w:val="20"/>
              </w:rPr>
              <w:t xml:space="preserve">T1555</w:t>
            </w:r>
          </w:p>
        </w:tc>
        <w:tc>
          <w:tcPr>
            <w:tcW w:type="dxa" w:w="3000"/>
            <w:tcMar>
              <w:top w:type="dxa" w:w="80"/>
              <w:left w:type="dxa" w:w="100"/>
              <w:bottom w:type="dxa" w:w="80"/>
              <w:right w:type="dxa" w:w="100"/>
            </w:tcMar>
          </w:tcPr>
          <w:p>
            <w:r>
              <w:rPr>
                <w:b w:val="false"/>
                <w:bCs w:val="false"/>
                <w:sz w:val="20"/>
                <w:szCs w:val="20"/>
              </w:rPr>
              <w:t xml:space="preserve">Credentials from Password Stores</w:t>
            </w:r>
          </w:p>
        </w:tc>
        <w:tc>
          <w:tcPr>
            <w:tcW w:type="dxa" w:w="5300"/>
            <w:tcMar>
              <w:top w:type="dxa" w:w="80"/>
              <w:left w:type="dxa" w:w="100"/>
              <w:bottom w:type="dxa" w:w="80"/>
              <w:right w:type="dxa" w:w="100"/>
            </w:tcMar>
          </w:tcPr>
          <w:p>
            <w:r>
              <w:rPr>
                <w:b w:val="false"/>
                <w:bCs w:val="false"/>
                <w:sz w:val="20"/>
                <w:szCs w:val="20"/>
              </w:rPr>
              <w:t xml:space="preserve">Targets Chrome/Edge/Firefox saved credentials</w:t>
            </w:r>
          </w:p>
        </w:tc>
      </w:tr>
      <w:tr>
        <w:tc>
          <w:tcPr>
            <w:tcW w:type="dxa" w:w="1300"/>
            <w:shd w:fill="F2F2F2" w:val="clear"/>
            <w:tcMar>
              <w:top w:type="dxa" w:w="80"/>
              <w:left w:type="dxa" w:w="100"/>
              <w:bottom w:type="dxa" w:w="80"/>
              <w:right w:type="dxa" w:w="100"/>
            </w:tcMar>
          </w:tcPr>
          <w:p>
            <w:r>
              <w:rPr>
                <w:b/>
                <w:bCs/>
                <w:sz w:val="20"/>
                <w:szCs w:val="20"/>
              </w:rPr>
              <w:t xml:space="preserve">T1187</w:t>
            </w:r>
          </w:p>
        </w:tc>
        <w:tc>
          <w:tcPr>
            <w:tcW w:type="dxa" w:w="3000"/>
            <w:shd w:fill="F2F2F2" w:val="clear"/>
            <w:tcMar>
              <w:top w:type="dxa" w:w="80"/>
              <w:left w:type="dxa" w:w="100"/>
              <w:bottom w:type="dxa" w:w="80"/>
              <w:right w:type="dxa" w:w="100"/>
            </w:tcMar>
          </w:tcPr>
          <w:p>
            <w:r>
              <w:rPr>
                <w:b w:val="false"/>
                <w:bCs w:val="false"/>
                <w:sz w:val="20"/>
                <w:szCs w:val="20"/>
              </w:rPr>
              <w:t xml:space="preserve">Forced Authentication</w:t>
            </w:r>
          </w:p>
        </w:tc>
        <w:tc>
          <w:tcPr>
            <w:tcW w:type="dxa" w:w="5300"/>
            <w:shd w:fill="F2F2F2" w:val="clear"/>
            <w:tcMar>
              <w:top w:type="dxa" w:w="80"/>
              <w:left w:type="dxa" w:w="100"/>
              <w:bottom w:type="dxa" w:w="80"/>
              <w:right w:type="dxa" w:w="100"/>
            </w:tcMar>
          </w:tcPr>
          <w:p>
            <w:r>
              <w:rPr>
                <w:b w:val="false"/>
                <w:bCs w:val="false"/>
                <w:sz w:val="20"/>
                <w:szCs w:val="20"/>
              </w:rPr>
              <w:t xml:space="preserve">Abuses Windows Restart Manager to unlock locked credential files</w:t>
            </w:r>
          </w:p>
        </w:tc>
      </w:tr>
      <w:tr>
        <w:tc>
          <w:tcPr>
            <w:tcW w:type="dxa" w:w="1300"/>
            <w:tcMar>
              <w:top w:type="dxa" w:w="80"/>
              <w:left w:type="dxa" w:w="100"/>
              <w:bottom w:type="dxa" w:w="80"/>
              <w:right w:type="dxa" w:w="100"/>
            </w:tcMar>
          </w:tcPr>
          <w:p>
            <w:r>
              <w:rPr>
                <w:b/>
                <w:bCs/>
                <w:sz w:val="20"/>
                <w:szCs w:val="20"/>
              </w:rPr>
              <w:t xml:space="preserve">T1140</w:t>
            </w:r>
          </w:p>
        </w:tc>
        <w:tc>
          <w:tcPr>
            <w:tcW w:type="dxa" w:w="3000"/>
            <w:tcMar>
              <w:top w:type="dxa" w:w="80"/>
              <w:left w:type="dxa" w:w="100"/>
              <w:bottom w:type="dxa" w:w="80"/>
              <w:right w:type="dxa" w:w="100"/>
            </w:tcMar>
          </w:tcPr>
          <w:p>
            <w:r>
              <w:rPr>
                <w:b w:val="false"/>
                <w:bCs w:val="false"/>
                <w:sz w:val="20"/>
                <w:szCs w:val="20"/>
              </w:rPr>
              <w:t xml:space="preserve">Deobfuscation/Decode Files or Information</w:t>
            </w:r>
          </w:p>
        </w:tc>
        <w:tc>
          <w:tcPr>
            <w:tcW w:type="dxa" w:w="5300"/>
            <w:tcMar>
              <w:top w:type="dxa" w:w="80"/>
              <w:left w:type="dxa" w:w="100"/>
              <w:bottom w:type="dxa" w:w="80"/>
              <w:right w:type="dxa" w:w="100"/>
            </w:tcMar>
          </w:tcPr>
          <w:p>
            <w:r>
              <w:rPr>
                <w:b w:val="false"/>
                <w:bCs w:val="false"/>
                <w:sz w:val="20"/>
                <w:szCs w:val="20"/>
              </w:rPr>
              <w:t xml:space="preserve">Runtime unpacking / string deobfuscation observed</w:t>
            </w:r>
          </w:p>
        </w:tc>
      </w:tr>
      <w:tr>
        <w:tc>
          <w:tcPr>
            <w:tcW w:type="dxa" w:w="1300"/>
            <w:shd w:fill="F2F2F2" w:val="clear"/>
            <w:tcMar>
              <w:top w:type="dxa" w:w="80"/>
              <w:left w:type="dxa" w:w="100"/>
              <w:bottom w:type="dxa" w:w="80"/>
              <w:right w:type="dxa" w:w="100"/>
            </w:tcMar>
          </w:tcPr>
          <w:p>
            <w:r>
              <w:rPr>
                <w:b/>
                <w:bCs/>
                <w:sz w:val="20"/>
                <w:szCs w:val="20"/>
              </w:rPr>
              <w:t xml:space="preserve">T1057</w:t>
            </w:r>
          </w:p>
        </w:tc>
        <w:tc>
          <w:tcPr>
            <w:tcW w:type="dxa" w:w="3000"/>
            <w:shd w:fill="F2F2F2" w:val="clear"/>
            <w:tcMar>
              <w:top w:type="dxa" w:w="80"/>
              <w:left w:type="dxa" w:w="100"/>
              <w:bottom w:type="dxa" w:w="80"/>
              <w:right w:type="dxa" w:w="100"/>
            </w:tcMar>
          </w:tcPr>
          <w:p>
            <w:r>
              <w:rPr>
                <w:b w:val="false"/>
                <w:bCs w:val="false"/>
                <w:sz w:val="20"/>
                <w:szCs w:val="20"/>
              </w:rPr>
              <w:t xml:space="preserve">Process Discovery</w:t>
            </w:r>
          </w:p>
        </w:tc>
        <w:tc>
          <w:tcPr>
            <w:tcW w:type="dxa" w:w="5300"/>
            <w:shd w:fill="F2F2F2" w:val="clear"/>
            <w:tcMar>
              <w:top w:type="dxa" w:w="80"/>
              <w:left w:type="dxa" w:w="100"/>
              <w:bottom w:type="dxa" w:w="80"/>
              <w:right w:type="dxa" w:w="100"/>
            </w:tcMar>
          </w:tcPr>
          <w:p>
            <w:r>
              <w:rPr>
                <w:b w:val="false"/>
                <w:bCs w:val="false"/>
                <w:sz w:val="20"/>
                <w:szCs w:val="20"/>
              </w:rPr>
              <w:t xml:space="preserve">Enumerates running processes (AV / analysis tool checks)</w:t>
            </w:r>
          </w:p>
        </w:tc>
      </w:tr>
      <w:tr>
        <w:tc>
          <w:tcPr>
            <w:tcW w:type="dxa" w:w="1300"/>
            <w:tcMar>
              <w:top w:type="dxa" w:w="80"/>
              <w:left w:type="dxa" w:w="100"/>
              <w:bottom w:type="dxa" w:w="80"/>
              <w:right w:type="dxa" w:w="100"/>
            </w:tcMar>
          </w:tcPr>
          <w:p>
            <w:r>
              <w:rPr>
                <w:b/>
                <w:bCs/>
                <w:sz w:val="20"/>
                <w:szCs w:val="20"/>
              </w:rPr>
              <w:t xml:space="preserve">T1497</w:t>
            </w:r>
          </w:p>
        </w:tc>
        <w:tc>
          <w:tcPr>
            <w:tcW w:type="dxa" w:w="3000"/>
            <w:tcMar>
              <w:top w:type="dxa" w:w="80"/>
              <w:left w:type="dxa" w:w="100"/>
              <w:bottom w:type="dxa" w:w="80"/>
              <w:right w:type="dxa" w:w="100"/>
            </w:tcMar>
          </w:tcPr>
          <w:p>
            <w:r>
              <w:rPr>
                <w:b w:val="false"/>
                <w:bCs w:val="false"/>
                <w:sz w:val="20"/>
                <w:szCs w:val="20"/>
              </w:rPr>
              <w:t xml:space="preserve">Virtualization/Sandbox Evasion</w:t>
            </w:r>
          </w:p>
        </w:tc>
        <w:tc>
          <w:tcPr>
            <w:tcW w:type="dxa" w:w="5300"/>
            <w:tcMar>
              <w:top w:type="dxa" w:w="80"/>
              <w:left w:type="dxa" w:w="100"/>
              <w:bottom w:type="dxa" w:w="80"/>
              <w:right w:type="dxa" w:w="100"/>
            </w:tcMar>
          </w:tcPr>
          <w:p>
            <w:r>
              <w:rPr>
                <w:b w:val="false"/>
                <w:bCs w:val="false"/>
                <w:sz w:val="20"/>
                <w:szCs w:val="20"/>
              </w:rPr>
              <w:t xml:space="preserve">VirtualBox registry checks, RDTSC timing checks, AntiVM Yara match</w:t>
            </w:r>
          </w:p>
        </w:tc>
      </w:tr>
      <w:tr>
        <w:tc>
          <w:tcPr>
            <w:tcW w:type="dxa" w:w="1300"/>
            <w:shd w:fill="F2F2F2" w:val="clear"/>
            <w:tcMar>
              <w:top w:type="dxa" w:w="80"/>
              <w:left w:type="dxa" w:w="100"/>
              <w:bottom w:type="dxa" w:w="80"/>
              <w:right w:type="dxa" w:w="100"/>
            </w:tcMar>
          </w:tcPr>
          <w:p>
            <w:r>
              <w:rPr>
                <w:b/>
                <w:bCs/>
                <w:sz w:val="20"/>
                <w:szCs w:val="20"/>
              </w:rPr>
              <w:t xml:space="preserve">T1106</w:t>
            </w:r>
          </w:p>
        </w:tc>
        <w:tc>
          <w:tcPr>
            <w:tcW w:type="dxa" w:w="3000"/>
            <w:shd w:fill="F2F2F2" w:val="clear"/>
            <w:tcMar>
              <w:top w:type="dxa" w:w="80"/>
              <w:left w:type="dxa" w:w="100"/>
              <w:bottom w:type="dxa" w:w="80"/>
              <w:right w:type="dxa" w:w="100"/>
            </w:tcMar>
          </w:tcPr>
          <w:p>
            <w:r>
              <w:rPr>
                <w:b w:val="false"/>
                <w:bCs w:val="false"/>
                <w:sz w:val="20"/>
                <w:szCs w:val="20"/>
              </w:rPr>
              <w:t xml:space="preserve">Native API</w:t>
            </w:r>
          </w:p>
        </w:tc>
        <w:tc>
          <w:tcPr>
            <w:tcW w:type="dxa" w:w="5300"/>
            <w:shd w:fill="F2F2F2" w:val="clear"/>
            <w:tcMar>
              <w:top w:type="dxa" w:w="80"/>
              <w:left w:type="dxa" w:w="100"/>
              <w:bottom w:type="dxa" w:w="80"/>
              <w:right w:type="dxa" w:w="100"/>
            </w:tcMar>
          </w:tcPr>
          <w:p>
            <w:r>
              <w:rPr>
                <w:b w:val="false"/>
                <w:bCs w:val="false"/>
                <w:sz w:val="20"/>
                <w:szCs w:val="20"/>
              </w:rPr>
              <w:t xml:space="preserve">Direct use of Windows APIs for injection/evasion</w:t>
            </w:r>
          </w:p>
        </w:tc>
      </w:tr>
      <w:tr>
        <w:tc>
          <w:tcPr>
            <w:tcW w:type="dxa" w:w="1300"/>
            <w:tcMar>
              <w:top w:type="dxa" w:w="80"/>
              <w:left w:type="dxa" w:w="100"/>
              <w:bottom w:type="dxa" w:w="80"/>
              <w:right w:type="dxa" w:w="100"/>
            </w:tcMar>
          </w:tcPr>
          <w:p>
            <w:r>
              <w:rPr>
                <w:b/>
                <w:bCs/>
                <w:sz w:val="20"/>
                <w:szCs w:val="20"/>
              </w:rPr>
              <w:t xml:space="preserve">T1055</w:t>
            </w:r>
          </w:p>
        </w:tc>
        <w:tc>
          <w:tcPr>
            <w:tcW w:type="dxa" w:w="3000"/>
            <w:tcMar>
              <w:top w:type="dxa" w:w="80"/>
              <w:left w:type="dxa" w:w="100"/>
              <w:bottom w:type="dxa" w:w="80"/>
              <w:right w:type="dxa" w:w="100"/>
            </w:tcMar>
          </w:tcPr>
          <w:p>
            <w:r>
              <w:rPr>
                <w:b w:val="false"/>
                <w:bCs w:val="false"/>
                <w:sz w:val="20"/>
                <w:szCs w:val="20"/>
              </w:rPr>
              <w:t xml:space="preserve">Process Injection</w:t>
            </w:r>
          </w:p>
        </w:tc>
        <w:tc>
          <w:tcPr>
            <w:tcW w:type="dxa" w:w="5300"/>
            <w:tcMar>
              <w:top w:type="dxa" w:w="80"/>
              <w:left w:type="dxa" w:w="100"/>
              <w:bottom w:type="dxa" w:w="80"/>
              <w:right w:type="dxa" w:w="100"/>
            </w:tcMar>
          </w:tcPr>
          <w:p>
            <w:r>
              <w:rPr>
                <w:b w:val="false"/>
                <w:bCs w:val="false"/>
                <w:sz w:val="20"/>
                <w:szCs w:val="20"/>
              </w:rPr>
              <w:t xml:space="preserve">VirtualAllocEx / WriteProcessMemory / NtQueueApcThread into Edge processes</w:t>
            </w:r>
          </w:p>
        </w:tc>
      </w:tr>
    </w:tbl>
    <w:p>
      <w:pPr>
        <w:pStyle w:val="Heading1"/>
        <w:pBdr>
          <w:bottom w:val="single" w:color="1F3864" w:sz="6" w:space="4"/>
        </w:pBdr>
        <w:spacing w:after="160" w:before="320"/>
      </w:pPr>
      <w:r>
        <w:rPr>
          <w:b/>
          <w:bCs/>
          <w:color w:val="1F3864"/>
          <w:sz w:val="28"/>
          <w:szCs w:val="28"/>
        </w:rPr>
        <w:t xml:space="preserve">6. Threat Actor Attribution</w:t>
      </w:r>
    </w:p>
    <w:p>
      <w:pPr>
        <w:spacing w:after="160"/>
      </w:pPr>
      <w:r>
        <w:rPr>
          <w:sz w:val="21"/>
          <w:szCs w:val="21"/>
        </w:rPr>
        <w:t xml:space="preserve">Vidar is not operated by a single dedicated group. It is sold as Malware-as-a-Service (MaaS) by a developer using the alias “Sultan,” with pricing reported between roughly $130 and $750 depending on license tier, and is used independently by many financially motivated actors rather than one APT.</w:t>
      </w:r>
    </w:p>
    <w:p>
      <w:pPr>
        <w:pStyle w:val="ListParagraph"/>
        <w:numPr>
          <w:ilvl w:val="0"/>
          <w:numId w:val="2"/>
        </w:numPr>
        <w:spacing w:after="80"/>
      </w:pPr>
      <w:r>
        <w:rPr>
          <w:sz w:val="21"/>
          <w:szCs w:val="21"/>
        </w:rPr>
        <w:t xml:space="preserve">Scattered Spider (MITRE ATT&amp;CK group G1015, aka UNC3944 / Muddled Libra) – CISA advisory AA23-320A documents this group's use of Vidar and Raccoon Stealer to harvest browser credentials and cookies as a precursor to ransomware deployment (ALPHV/BlackCat, DragonForce).</w:t>
      </w:r>
    </w:p>
    <w:p>
      <w:pPr>
        <w:pStyle w:val="ListParagraph"/>
        <w:numPr>
          <w:ilvl w:val="0"/>
          <w:numId w:val="2"/>
        </w:numPr>
        <w:spacing w:after="80"/>
      </w:pPr>
      <w:r>
        <w:rPr>
          <w:sz w:val="21"/>
          <w:szCs w:val="21"/>
        </w:rPr>
        <w:t xml:space="preserve">Vidar is frequently bundled with SmokeLoader, RedLine, Laplas Clipper, and STOP/Djvu ransomware in commodity distribution chains (malvertising, cracked-software lures, phishing attachments) – affiliate cybercrime networks rather than a single named APT.</w:t>
      </w:r>
    </w:p>
    <w:p>
      <w:pPr>
        <w:pStyle w:val="ListParagraph"/>
        <w:numPr>
          <w:ilvl w:val="0"/>
          <w:numId w:val="2"/>
        </w:numPr>
        <w:spacing w:after="80"/>
      </w:pPr>
      <w:r>
        <w:rPr>
          <w:sz w:val="21"/>
          <w:szCs w:val="21"/>
        </w:rPr>
        <w:t xml:space="preserve">Recent reporting (Unit 42, April 2026) documents a distinct campaign bundling Vidar with an XMRig cryptominer via fake cracked-software malvertising – again a commodity financially motivated actor, not a nation-state APT.</w:t>
      </w:r>
    </w:p>
    <w:p>
      <w:pPr>
        <w:spacing w:after="160"/>
      </w:pPr>
      <w:r>
        <w:rPr>
          <w:i/>
          <w:iCs/>
          <w:sz w:val="21"/>
          <w:szCs w:val="21"/>
        </w:rPr>
        <w:t xml:space="preserve">Assessment: absent a match between this sample's specific IOCs (C2 domain ram.13balien.org, botnet ID a5d71ca3dd6c7e58d096018d80bd5a88) and a tracked campaign cluster, this activity is best attributed to an unnamed financially motivated actor using Vidar-as-a-Service, rather than a nation-state APT.</w:t>
      </w:r>
    </w:p>
    <w:p>
      <w:pPr>
        <w:pStyle w:val="Heading1"/>
        <w:pBdr>
          <w:bottom w:val="single" w:color="1F3864" w:sz="6" w:space="4"/>
        </w:pBdr>
        <w:spacing w:after="160" w:before="320"/>
      </w:pPr>
      <w:r>
        <w:rPr>
          <w:b/>
          <w:bCs/>
          <w:color w:val="1F3864"/>
          <w:sz w:val="28"/>
          <w:szCs w:val="28"/>
        </w:rPr>
        <w:t xml:space="preserve">7. Screenshot</w:t>
      </w:r>
    </w:p>
    <w:p>
      <w:pPr>
        <w:spacing w:after="160"/>
      </w:pPr>
      <w:r>
        <w:rPr>
          <w:sz w:val="21"/>
          <w:szCs w:val="21"/>
        </w:rPr>
        <w:t xml:space="preserve">Insert a screenshot of the Joe Sandbox behavioral graph, process tree, or relevant analysis view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dashed" w:color="999999" w:sz="8"/>
              <w:left w:val="dashed" w:color="999999" w:sz="8"/>
              <w:bottom w:val="dashed" w:color="999999" w:sz="8"/>
              <w:right w:val="dashed" w:color="999999" w:sz="8"/>
            </w:tcBorders>
            <w:tcMar>
              <w:top w:type="dxa" w:w="1800"/>
              <w:left w:type="dxa" w:w="100"/>
              <w:bottom w:type="dxa" w:w="1800"/>
              <w:right w:type="dxa" w:w="100"/>
            </w:tcMar>
          </w:tcPr>
          <w:p>
            <w:pPr>
              <w:jc w:val="center"/>
            </w:pPr>
            <w:r>
              <w:rPr>
                <w:b/>
                <w:bCs/>
                <w:color w:val="999999"/>
                <w:sz w:val="24"/>
                <w:szCs w:val="24"/>
              </w:rPr>
              <w:t xml:space="preserve">[ SCREENSHOT PLACEHOLDER ]</w:t>
            </w:r>
          </w:p>
          <w:p>
            <w:pPr>
              <w:spacing w:before="120"/>
              <w:jc w:val="center"/>
            </w:pPr>
            <w:r>
              <w:rPr>
                <w:i/>
                <w:iCs/>
                <w:color w:val="AAAAAA"/>
                <w:sz w:val="20"/>
                <w:szCs w:val="20"/>
              </w:rPr>
              <w:t xml:space="preserve">Paste or insert image here</w:t>
            </w:r>
          </w:p>
        </w:tc>
      </w:tr>
    </w:tbl>
    <w:p>
      <w:pPr>
        <w:pStyle w:val="Heading1"/>
        <w:pBdr>
          <w:bottom w:val="single" w:color="1F3864" w:sz="6" w:space="4"/>
        </w:pBdr>
        <w:spacing w:after="160" w:before="320"/>
      </w:pPr>
      <w:r>
        <w:rPr>
          <w:b/>
          <w:bCs/>
          <w:color w:val="1F3864"/>
          <w:sz w:val="28"/>
          <w:szCs w:val="28"/>
        </w:rPr>
        <w:t xml:space="preserve">8. Recommendations</w:t>
      </w:r>
    </w:p>
    <w:p>
      <w:pPr>
        <w:pStyle w:val="ListParagraph"/>
        <w:numPr>
          <w:ilvl w:val="0"/>
          <w:numId w:val="2"/>
        </w:numPr>
        <w:spacing w:after="80"/>
      </w:pPr>
      <w:r>
        <w:rPr>
          <w:sz w:val="21"/>
          <w:szCs w:val="21"/>
        </w:rPr>
        <w:t xml:space="preserve">Treat any host that executed this binary as compromised for credential theft – rotate all browser-saved passwords, crypto wallet keys/seed phrases, and FTP/SSH credentials.</w:t>
      </w:r>
    </w:p>
    <w:p>
      <w:pPr>
        <w:pStyle w:val="ListParagraph"/>
        <w:numPr>
          <w:ilvl w:val="0"/>
          <w:numId w:val="2"/>
        </w:numPr>
        <w:spacing w:after="80"/>
      </w:pPr>
      <w:r>
        <w:rPr>
          <w:sz w:val="21"/>
          <w:szCs w:val="21"/>
        </w:rPr>
        <w:t xml:space="preserve">Block the C2 domain ram.13balien.org and IP 172.67.216.90, and detect on the associated JA3 fingerprint / User-Agent string at the network perimeter.</w:t>
      </w:r>
    </w:p>
    <w:p>
      <w:pPr>
        <w:pStyle w:val="ListParagraph"/>
        <w:numPr>
          <w:ilvl w:val="0"/>
          <w:numId w:val="2"/>
        </w:numPr>
        <w:spacing w:after="80"/>
      </w:pPr>
      <w:r>
        <w:rPr>
          <w:sz w:val="21"/>
          <w:szCs w:val="21"/>
        </w:rPr>
        <w:t xml:space="preserve">Hunt across the environment for the SHA256 hash and botnet ID listed in Section 2 and Section 4.</w:t>
      </w:r>
    </w:p>
    <w:p>
      <w:pPr>
        <w:pStyle w:val="ListParagraph"/>
        <w:numPr>
          <w:ilvl w:val="0"/>
          <w:numId w:val="2"/>
        </w:numPr>
        <w:spacing w:after="80"/>
      </w:pPr>
      <w:r>
        <w:rPr>
          <w:sz w:val="21"/>
          <w:szCs w:val="21"/>
        </w:rPr>
        <w:t xml:space="preserve">Review email gateway and web-filtering controls for phishing and malvertising delivery vectors, given Vidar's typical distribution methods.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2026-09-09T18:32:00.120Z</dcterms:created>
  <dcterms:modified xsi:type="dcterms:W3CDTF">2026-09-09T18:32:00.140Z</dcterms:modified>
</cp:coreProperties>
</file>

<file path=docProps/custom.xml><?xml version="1.0" encoding="utf-8"?>
<Properties xmlns="http://schemas.openxmlformats.org/officeDocument/2006/custom-properties" xmlns:vt="http://schemas.openxmlformats.org/officeDocument/2006/docPropsVTypes"/>
</file>