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10004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4, 148, 1501, 434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04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Table 12: Ablation study of data augmentation, cosine learning rate decay, the stride of the second down sampling feature map, </w:t>
      </w:r>
      <w:r>
        <w:rPr>
          <w:sz w:val="20"/>
        </w:rPr>
        <w:t xml:space="preserve">regularization parameters L2_decay and learning rate warm-up for text recognition. Backbone is MobileNetV3_small_x0.5. The. </w:t>
      </w:r>
      <w:r>
        <w:rPr>
          <w:sz w:val="20"/>
        </w:rPr>
        <w:t xml:space="preserve">number of channel in the head is 48.. 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4666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64, 611, 795, 772]_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66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Table 13: Ablation study of PACT quantization for text </w:t>
      </w:r>
      <w:r>
        <w:rPr>
          <w:sz w:val="20"/>
        </w:rPr>
        <w:t xml:space="preserve">recognition.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4487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14, 907, 752, 1039]_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487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Table 14: Ablation study of the prunner or quantization for </w:t>
      </w:r>
      <w:r>
        <w:rPr>
          <w:sz w:val="20"/>
        </w:rPr>
        <w:t xml:space="preserve">the OCR system. </w:t>
      </w:r>
    </w:p>
    <w:p>
      <w:pPr>
        <w:ind w:firstLine="360"/>
      </w:pPr>
      <w:r>
        <w:rPr>
          <w:sz w:val="20"/>
        </w:rPr>
        <w:t xml:space="preserve">model. We utilize 17.9M training images to learn a text rec- </w:t>
      </w:r>
      <w:r>
        <w:rPr>
          <w:sz w:val="20"/>
        </w:rPr>
        <w:t xml:space="preserve">ognizer. Then, use this model as the pre-trained model to </w:t>
      </w:r>
      <w:r>
        <w:rPr>
          <w:sz w:val="20"/>
        </w:rPr>
        <w:t xml:space="preserve">fine-tuning the samples for the ablation experiments. When </w:t>
      </w:r>
      <w:r>
        <w:rPr>
          <w:sz w:val="20"/>
        </w:rPr>
        <w:t xml:space="preserve">using above pre-trained model, the accuracy will go from </w:t>
      </w:r>
      <w:r>
        <w:rPr>
          <w:sz w:val="20"/>
        </w:rPr>
        <w:t xml:space="preserve">65.81% to 69% and the effect is very obvious. </w:t>
      </w:r>
    </w:p>
    <w:p>
      <w:pPr>
        <w:pStyle w:val="Heading1"/>
      </w:pPr>
      <w:r>
        <w:t>3.5System Performance</w:t>
      </w:r>
    </w:p>
    <w:p>
      <w:pPr>
        <w:ind w:firstLine="360"/>
      </w:pPr>
      <w:r>
        <w:rPr>
          <w:sz w:val="20"/>
        </w:rPr>
        <w:t xml:space="preserve">Table14shows the ablation study of the prunner or quantiza-. </w:t>
      </w:r>
      <w:r>
        <w:rPr>
          <w:sz w:val="20"/>
        </w:rPr>
        <w:t xml:space="preserve">tion for the OCR system. When we use the slim approaches, </w:t>
      </w:r>
      <w:r>
        <w:rPr>
          <w:sz w:val="20"/>
        </w:rPr>
        <w:t xml:space="preserve">the model size is reduced 55.7% and the inference time has. </w:t>
      </w:r>
      <w:r>
        <w:rPr>
          <w:sz w:val="20"/>
        </w:rPr>
        <w:t xml:space="preserve">accelerated 12.42%. F-score has no impact. The inference </w:t>
      </w:r>
      <w:r>
        <w:rPr>
          <w:sz w:val="20"/>
        </w:rPr>
        <w:t xml:space="preserve">time includes pre-process and post-process of each parts of </w:t>
      </w:r>
      <w:r>
        <w:rPr>
          <w:sz w:val="20"/>
        </w:rPr>
        <w:t xml:space="preserve">the system. Therefore, FPGM pruner and PACT quantization </w:t>
      </w:r>
      <w:r>
        <w:rPr>
          <w:sz w:val="20"/>
        </w:rPr>
        <w:t xml:space="preserve">also are effective strategies for reducing the model size. </w:t>
      </w:r>
    </w:p>
    <w:p>
      <w:pPr>
        <w:ind w:firstLine="360"/>
      </w:pPr>
      <w:r>
        <w:rPr>
          <w:sz w:val="20"/>
        </w:rPr>
        <w:t xml:space="preserve">also are effective strategies for reducing the model size. </w:t>
      </w:r>
      <w:r>
        <w:rPr>
          <w:sz w:val="20"/>
        </w:rPr>
        <w:t xml:space="preserve">To compare the gap between the proposed ultra </w:t>
      </w:r>
      <w:r>
        <w:rPr>
          <w:sz w:val="20"/>
        </w:rPr>
        <w:t xml:space="preserve">lightweight OCR system and large-scale OCR system, we </w:t>
      </w:r>
      <w:r>
        <w:rPr>
          <w:sz w:val="20"/>
        </w:rPr>
        <w:t xml:space="preserve">also train a large-scale OCR system and use Res18_vd as the </w:t>
      </w:r>
      <w:r>
        <w:rPr>
          <w:sz w:val="20"/>
        </w:rPr>
        <w:t xml:space="preserve">text detector backbone and Res34_vd as the text recognizer </w:t>
      </w:r>
      <w:r>
        <w:rPr>
          <w:sz w:val="20"/>
        </w:rPr>
        <w:t xml:space="preserve">backbone. Table [15] shows the comparison. F-score of the </w:t>
      </w:r>
      <w:r>
        <w:rPr>
          <w:sz w:val="20"/>
        </w:rPr>
        <w:t xml:space="preserve">large-scale OCR system is higher than the ultra lightweight. </w:t>
      </w:r>
      <w:r>
        <w:rPr>
          <w:sz w:val="20"/>
        </w:rPr>
        <w:t xml:space="preserve">OCR system, but the model size and the inference time of </w:t>
      </w:r>
      <w:r>
        <w:rPr>
          <w:sz w:val="20"/>
        </w:rPr>
        <w:t xml:space="preserve">the ultra lightweight system are better obviously.. </w:t>
      </w:r>
    </w:p>
    <w:p>
      <w:pPr>
        <w:ind w:firstLine="360"/>
      </w:pPr>
      <w:r>
        <w:rPr>
          <w:sz w:val="20"/>
        </w:rPr>
        <w:t xml:space="preserve">the ultra lightweight system are better obviously.. </w:t>
      </w:r>
      <w:r>
        <w:rPr>
          <w:sz w:val="20"/>
        </w:rPr>
        <w:t xml:space="preserve">Figure13and Figure[14 show some image results of the </w:t>
      </w:r>
      <w:r>
        <w:rPr>
          <w:sz w:val="20"/>
        </w:rPr>
        <w:t xml:space="preserve">proposed PP-OCR system for Chinese and English recog- 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6123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889, 612, 1549, 833]_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12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firstLine="360"/>
      </w:pPr>
      <w:r>
        <w:rPr>
          <w:sz w:val="20"/>
        </w:rPr>
        <w:t xml:space="preserve">Table 15: Compare between the ultra lightweight OCR sys- </w:t>
      </w:r>
      <w:r>
        <w:rPr>
          <w:sz w:val="20"/>
        </w:rPr>
        <w:t xml:space="preserve">tem and the large scale one.. </w:t>
      </w:r>
    </w:p>
    <w:p>
      <w:pPr>
        <w:ind w:firstLine="360"/>
      </w:pPr>
      <w:r>
        <w:rPr>
          <w:sz w:val="20"/>
        </w:rPr>
        <w:t xml:space="preserve">nition. Figure[15 show some image results of the proposed </w:t>
      </w:r>
      <w:r>
        <w:rPr>
          <w:sz w:val="20"/>
        </w:rPr>
        <w:t xml:space="preserve">PP-OCR system for multilingual recognition. </w:t>
      </w:r>
    </w:p>
    <w:p>
      <w:pPr>
        <w:pStyle w:val="Heading1"/>
      </w:pPr>
      <w:r>
        <w:t>4Conclusions</w:t>
      </w:r>
    </w:p>
    <w:p>
      <w:pPr>
        <w:ind w:firstLine="360"/>
      </w:pPr>
      <w:r>
        <w:rPr>
          <w:sz w:val="20"/>
        </w:rPr>
        <w:t xml:space="preserve">In this paper, we propose a practical ultra lightweight OCR </w:t>
      </w:r>
      <w:r>
        <w:rPr>
          <w:sz w:val="20"/>
        </w:rPr>
        <w:t xml:space="preserve">system, PP-OCR, which the overall model size is only 3.5M </w:t>
      </w:r>
      <w:r>
        <w:rPr>
          <w:sz w:val="20"/>
        </w:rPr>
        <w:t xml:space="preserve">for recognizing 6622 Chinese characters and 2.8M for rec- </w:t>
      </w:r>
      <w:r>
        <w:rPr>
          <w:sz w:val="20"/>
        </w:rPr>
        <w:t xml:space="preserve">ognizing 63 alphanumeric symbols. We introduce a bag of </w:t>
      </w:r>
      <w:r>
        <w:rPr>
          <w:sz w:val="20"/>
        </w:rPr>
        <w:t xml:space="preserve">strategies to either enhance the model ability or light the </w:t>
      </w:r>
      <w:r>
        <w:rPr>
          <w:sz w:val="20"/>
        </w:rPr>
        <w:t xml:space="preserve">model. The corresponding ablation experiments are also </w:t>
      </w:r>
      <w:r>
        <w:rPr>
          <w:sz w:val="20"/>
        </w:rPr>
        <w:t xml:space="preserve">provided. Meanwhile, some practical ultra lightweight OCR </w:t>
      </w:r>
      <w:r>
        <w:rPr>
          <w:sz w:val="20"/>
        </w:rPr>
        <w:t xml:space="preserve">models are released with a large-scale dataset.. </w:t>
      </w:r>
    </w:p>
    <w:p>
      <w:pPr>
        <w:pStyle w:val="Heading1"/>
      </w:pPr>
      <w:r>
        <w:t>References</w:t>
      </w:r>
    </w:p>
    <w:p>
      <w:pPr>
        <w:pStyle w:val="Heading1"/>
      </w:pPr>
      <w:r>
        <w:t>Chen, P. 2020. GridMask data augmentation. arXiv preprint</w:t>
      </w:r>
    </w:p>
    <w:p>
      <w:pPr>
        <w:ind w:firstLine="360"/>
      </w:pPr>
      <w:r>
        <w:rPr>
          <w:sz w:val="20"/>
        </w:rPr>
        <w:t xml:space="preserve">Choi, J.; Wang, Z.;, Venkataramani, S.; Chuang, P. I.-J.; </w:t>
      </w:r>
      <w:r>
        <w:rPr>
          <w:sz w:val="20"/>
        </w:rPr>
        <w:t xml:space="preserve">Srinivasan, V.; and Gopalakrishnan, K. 2018. Pact: Param- </w:t>
      </w:r>
      <w:r>
        <w:rPr>
          <w:sz w:val="20"/>
        </w:rPr>
        <w:t xml:space="preserve">eterized clipping activation for quantized neural networks. </w:t>
      </w:r>
      <w:r>
        <w:rPr>
          <w:sz w:val="20"/>
        </w:rPr>
        <w:t xml:space="preserve">arXiv preprint arXiv:1805.06085 .2.2 </w:t>
      </w:r>
    </w:p>
    <w:p>
      <w:pPr>
        <w:ind w:firstLine="360"/>
      </w:pPr>
      <w:r>
        <w:rPr>
          <w:sz w:val="20"/>
        </w:rPr>
        <w:t xml:space="preserve">Cubuk, E. D.; Zoph, B.; Mane, D.;, Vasudevan, V.;, and Le, </w:t>
      </w:r>
      <w:r>
        <w:rPr>
          <w:sz w:val="20"/>
        </w:rPr>
        <w:t xml:space="preserve">Q. V. 2019. Autoaugment: Learning augmentation strate- </w:t>
      </w:r>
      <w:r>
        <w:rPr>
          <w:sz w:val="20"/>
        </w:rPr>
        <w:t xml:space="preserve">gies from data. In Proceedings of the IEEE conference on </w:t>
      </w:r>
      <w:r>
        <w:rPr>
          <w:sz w:val="20"/>
        </w:rPr>
        <w:t xml:space="preserve">computer vision and pattern recognition, 113-123.2.2 </w:t>
      </w:r>
    </w:p>
    <w:p>
      <w:pPr>
        <w:ind w:firstLine="360"/>
      </w:pPr>
      <w:r>
        <w:rPr>
          <w:sz w:val="20"/>
        </w:rPr>
        <w:t xml:space="preserve">Cubuk, E. D.;, Zoph, B.; Shlens, J.;, and Le, Q. V. 2020. Ran- </w:t>
      </w:r>
      <w:r>
        <w:rPr>
          <w:sz w:val="20"/>
        </w:rPr>
        <w:t xml:space="preserve">daugment: Practical automated data augmentation with a re- </w:t>
      </w:r>
      <w:r>
        <w:rPr>
          <w:sz w:val="20"/>
        </w:rPr>
        <w:t xml:space="preserve">duced search space. In Proceedings of the IEEE/CVF Con- </w:t>
      </w:r>
      <w:r>
        <w:rPr>
          <w:sz w:val="20"/>
        </w:rPr>
        <w:t xml:space="preserve">ference on Computer Vision and Pattern Recognition Work- </w:t>
      </w:r>
      <w:r>
        <w:rPr>
          <w:sz w:val="20"/>
        </w:rPr>
        <w:t xml:space="preserve">shops, 702-703.2.2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