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Figure 7: Architecture of the SE block. This figure comes </w:t>
      </w:r>
      <w:r>
        <w:rPr>
          <w:sz w:val="20"/>
        </w:rPr>
        <w:t xml:space="preserve">from the paper (Hu, Shen, and Sun|2018)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2971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53, 416, 810, 882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97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360"/>
      </w:pPr>
      <w:r>
        <w:rPr>
          <w:sz w:val="20"/>
        </w:rPr>
        <w:t xml:space="preserve">Figure 8: Comparison of different ways of learning rate de- </w:t>
      </w:r>
      <w:r>
        <w:rPr>
          <w:sz w:val="20"/>
        </w:rPr>
        <w:t xml:space="preserve">cay. </w:t>
      </w:r>
    </w:p>
    <w:p>
      <w:pPr>
        <w:ind w:firstLine="360"/>
      </w:pPr>
      <w:r>
        <w:rPr>
          <w:sz w:val="20"/>
        </w:rPr>
        <w:t xml:space="preserve">short). The probability map and the threshold map are gen- </w:t>
      </w:r>
      <w:r>
        <w:rPr>
          <w:sz w:val="20"/>
        </w:rPr>
        <w:t xml:space="preserve">erated from the fused feature map with convolutions which </w:t>
      </w:r>
      <w:r>
        <w:rPr>
          <w:sz w:val="20"/>
        </w:rPr>
        <w:t xml:space="preserve">are also associated with the above inner channels. Thus in- </w:t>
      </w:r>
      <w:r>
        <w:rPr>
          <w:sz w:val="20"/>
        </w:rPr>
        <w:t xml:space="preserve">ner channels has a great influence on the model size. When </w:t>
      </w:r>
      <w:r>
        <w:rPr>
          <w:sz w:val="20"/>
        </w:rPr>
        <w:t xml:space="preserve">inner channels is reduced from 256 to 96, the model size is </w:t>
      </w:r>
      <w:r>
        <w:rPr>
          <w:sz w:val="20"/>
        </w:rPr>
        <w:t xml:space="preserve"> reduced from 7M to 4.1M, but the accuracy declines slightly </w:t>
      </w:r>
    </w:p>
    <w:p>
      <w:pPr>
        <w:ind w:firstLine="360"/>
      </w:pPr>
      <w:r>
        <w:rPr>
          <w:sz w:val="20"/>
        </w:rPr>
        <w:t xml:space="preserve"> reduced from 7M to 4.1M, but the accuracy declines slightly </w:t>
      </w:r>
      <w:r>
        <w:rPr>
          <w:sz w:val="20"/>
        </w:rPr>
        <w:t xml:space="preserve">Remove SE SE is the short for squeeze-and-excitation </w:t>
      </w:r>
      <w:r>
        <w:rPr>
          <w:sz w:val="20"/>
        </w:rPr>
        <w:t xml:space="preserve">(Hu, Shen, and Sun 2018). As shown in Figure7 SE blocks </w:t>
      </w:r>
      <w:r>
        <w:rPr>
          <w:sz w:val="20"/>
        </w:rPr>
        <w:t xml:space="preserve">model inter-dependencies between channels explicitly and </w:t>
      </w:r>
      <w:r>
        <w:rPr>
          <w:sz w:val="20"/>
        </w:rPr>
        <w:t xml:space="preserve">re-calibrate channel-wise feature responses adaptively. Be- </w:t>
      </w:r>
      <w:r>
        <w:rPr>
          <w:sz w:val="20"/>
        </w:rPr>
        <w:t xml:space="preserve">cause SE blocks can improve the accuracy of the vision tasks </w:t>
      </w:r>
      <w:r>
        <w:rPr>
          <w:sz w:val="20"/>
        </w:rPr>
        <w:t xml:space="preserve">obviously, the search space of MobileNetV3 contains them </w:t>
      </w:r>
      <w:r>
        <w:rPr>
          <w:sz w:val="20"/>
        </w:rPr>
        <w:t xml:space="preserve">and numerous of SE blocks are in MobileNetV3 architec- </w:t>
      </w:r>
      <w:r>
        <w:rPr>
          <w:sz w:val="20"/>
        </w:rPr>
        <w:t xml:space="preserve">ture. However, when the input resolution is large, such as </w:t>
      </w:r>
      <w:r>
        <w:rPr>
          <w:sz w:val="20"/>
        </w:rPr>
        <w:t xml:space="preserve">640  640, it is hard to estimate the channel-wise feature </w:t>
      </w:r>
      <w:r>
        <w:rPr>
          <w:sz w:val="20"/>
        </w:rPr>
        <w:t xml:space="preserve">responses with the SE block. The accuracy improvement is </w:t>
      </w:r>
      <w:r>
        <w:rPr>
          <w:sz w:val="20"/>
        </w:rPr>
        <w:t xml:space="preserve">limited, but the time cost is very high. When the SE blocks </w:t>
      </w:r>
      <w:r>
        <w:rPr>
          <w:sz w:val="20"/>
        </w:rPr>
        <w:t xml:space="preserve">are removed from the backbone, the model size is reduced </w:t>
      </w:r>
      <w:r>
        <w:rPr>
          <w:sz w:val="20"/>
        </w:rPr>
        <w:t xml:space="preserve">from 4.1M to 2.5M, but the accuracy has no effect. </w:t>
      </w:r>
    </w:p>
    <w:p>
      <w:pPr>
        <w:ind w:firstLine="360"/>
      </w:pPr>
      <w:r>
        <w:rPr>
          <w:sz w:val="20"/>
        </w:rPr>
        <w:t xml:space="preserve">from 4.1M to 2.5M, but the accuracy has no effect. </w:t>
      </w:r>
      <w:r>
        <w:rPr>
          <w:sz w:val="20"/>
        </w:rPr>
        <w:t xml:space="preserve">Cosine Learning Rate Decay The learning rate is the </w:t>
      </w:r>
      <w:r>
        <w:rPr>
          <w:sz w:val="20"/>
        </w:rPr>
        <w:t xml:space="preserve">hyperparameter to control the learning speed. The lower </w:t>
      </w:r>
      <w:r>
        <w:rPr>
          <w:sz w:val="20"/>
        </w:rPr>
        <w:t xml:space="preserve">the learning rate, the slower the change of the loss value </w:t>
      </w:r>
      <w:r>
        <w:rPr>
          <w:sz w:val="20"/>
        </w:rPr>
        <w:t xml:space="preserve">Though using a low learning rate can ensure that you will </w:t>
      </w:r>
      <w:r>
        <w:rPr>
          <w:sz w:val="20"/>
        </w:rPr>
        <w:t xml:space="preserve">not miss any local minimum, but it also means that the con- </w:t>
      </w:r>
      <w:r>
        <w:rPr>
          <w:sz w:val="20"/>
        </w:rPr>
        <w:t xml:space="preserve">vergence speed is slow. In the early stage of training, the </w:t>
      </w:r>
      <w:r>
        <w:rPr>
          <w:sz w:val="20"/>
        </w:rPr>
        <w:t xml:space="preserve">weights are in random initialization state, so we can set a </w:t>
      </w:r>
      <w:r>
        <w:rPr>
          <w:sz w:val="20"/>
        </w:rPr>
        <w:t xml:space="preserve">relatively large learning rate for faster convergence. In the </w:t>
      </w:r>
      <w:r>
        <w:rPr>
          <w:sz w:val="20"/>
        </w:rPr>
        <w:t xml:space="preserve">late stage of training, the weights are close to the optimal </w:t>
      </w:r>
      <w:r>
        <w:rPr>
          <w:sz w:val="20"/>
        </w:rPr>
        <w:t xml:space="preserve">values, so a relatively smaller learning rate should be used. </w:t>
      </w:r>
      <w:r>
        <w:rPr>
          <w:sz w:val="20"/>
        </w:rPr>
        <w:t xml:space="preserve">Cosine learning rate decay has become the preferred learn-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18168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895, 157, 1545, 577]_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816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360"/>
      </w:pPr>
      <w:r>
        <w:rPr>
          <w:sz w:val="20"/>
        </w:rPr>
        <w:t xml:space="preserve">Figure 9: Illustration of FPGM Pruner. This figure comes </w:t>
      </w:r>
      <w:r>
        <w:rPr>
          <w:sz w:val="20"/>
        </w:rPr>
        <w:t xml:space="preserve">from the paper (He et al. 2019b) </w:t>
      </w:r>
    </w:p>
    <w:p>
      <w:pPr>
        <w:ind w:firstLine="360"/>
      </w:pPr>
      <w:r>
        <w:rPr>
          <w:sz w:val="20"/>
        </w:rPr>
        <w:t xml:space="preserve">ing rate reduction strategy for improving model accuracy </w:t>
      </w:r>
      <w:r>
        <w:rPr>
          <w:sz w:val="20"/>
        </w:rPr>
        <w:t xml:space="preserve">During the entire training process, cosine learning rate de </w:t>
      </w:r>
      <w:r>
        <w:rPr>
          <w:sz w:val="20"/>
        </w:rPr>
        <w:t xml:space="preserve">cay keeps a relatively large learning rate, so its convergence </w:t>
      </w:r>
      <w:r>
        <w:rPr>
          <w:sz w:val="20"/>
        </w:rPr>
        <w:t xml:space="preserve">is slower, but the final convergence accuracy is better. Figure </w:t>
      </w:r>
      <w:r>
        <w:rPr>
          <w:sz w:val="20"/>
        </w:rPr>
        <w:t xml:space="preserve">8compares the different ways of learning rate decay. </w:t>
      </w:r>
    </w:p>
    <w:p>
      <w:pPr>
        <w:ind w:firstLine="360"/>
      </w:pPr>
      <w:r>
        <w:rPr>
          <w:sz w:val="20"/>
        </w:rPr>
        <w:t xml:space="preserve">8compares the different ways of learning rate decay. </w:t>
      </w:r>
      <w:r>
        <w:rPr>
          <w:sz w:val="20"/>
        </w:rPr>
        <w:t xml:space="preserve">Learning Rate Warm-up The paper (He et al.2019a) </w:t>
      </w:r>
      <w:r>
        <w:rPr>
          <w:sz w:val="20"/>
        </w:rPr>
        <w:t xml:space="preserve">shows that using learning rate warm-up operation can help </w:t>
      </w:r>
      <w:r>
        <w:rPr>
          <w:sz w:val="20"/>
        </w:rPr>
        <w:t xml:space="preserve">to improve the accuracy in the image classification. At the </w:t>
      </w:r>
      <w:r>
        <w:rPr>
          <w:sz w:val="20"/>
        </w:rPr>
        <w:t xml:space="preserve">beginning of the training process, using a too large learning </w:t>
      </w:r>
      <w:r>
        <w:rPr>
          <w:sz w:val="20"/>
        </w:rPr>
        <w:t xml:space="preserve">rate may result in numerical instability, a small learning rate </w:t>
      </w:r>
      <w:r>
        <w:rPr>
          <w:sz w:val="20"/>
        </w:rPr>
        <w:t xml:space="preserve">is recommended to be used. When the training process is sta- </w:t>
      </w:r>
      <w:r>
        <w:rPr>
          <w:sz w:val="20"/>
        </w:rPr>
        <w:t xml:space="preserve">ble, the initial learning rate is to be used. For text detection, </w:t>
      </w:r>
      <w:r>
        <w:rPr>
          <w:sz w:val="20"/>
        </w:rPr>
        <w:t xml:space="preserve">the experiments show that this strategy also is effective. </w:t>
      </w:r>
    </w:p>
    <w:p>
      <w:pPr>
        <w:ind w:firstLine="360"/>
      </w:pPr>
      <w:r>
        <w:rPr>
          <w:sz w:val="20"/>
        </w:rPr>
        <w:t xml:space="preserve">the experiments show that this strategy also is effective. </w:t>
      </w:r>
      <w:r>
        <w:rPr>
          <w:sz w:val="20"/>
        </w:rPr>
        <w:t xml:space="preserve">FPGM Pruner Pruning is another method to improve </w:t>
      </w:r>
      <w:r>
        <w:rPr>
          <w:sz w:val="20"/>
        </w:rPr>
        <w:t xml:space="preserve">the inference efficiency of neural network model. In order </w:t>
      </w:r>
      <w:r>
        <w:rPr>
          <w:sz w:val="20"/>
        </w:rPr>
        <w:t xml:space="preserve">to avoid the model performance degradation caused by the </w:t>
      </w:r>
      <w:r>
        <w:rPr>
          <w:sz w:val="20"/>
        </w:rPr>
        <w:t xml:space="preserve">model pruning, we use FPGM (He et al. 2019b) to find the </w:t>
      </w:r>
      <w:r>
        <w:rPr>
          <w:sz w:val="20"/>
        </w:rPr>
        <w:t xml:space="preserve">unimportant sub-network in original models. FPGM uses </w:t>
      </w:r>
      <w:r>
        <w:rPr>
          <w:sz w:val="20"/>
        </w:rPr>
        <w:t xml:space="preserve">geometric median as the criterion and the each filter in a con- </w:t>
      </w:r>
      <w:r>
        <w:rPr>
          <w:sz w:val="20"/>
        </w:rPr>
        <w:t xml:space="preserve">volution layer is considered as a point in Euclidean space. </w:t>
      </w:r>
      <w:r>
        <w:rPr>
          <w:sz w:val="20"/>
        </w:rPr>
        <w:t xml:space="preserve">Then calculate the geometric median of these points and re. </w:t>
      </w:r>
      <w:r>
        <w:rPr>
          <w:sz w:val="20"/>
        </w:rPr>
        <w:t xml:space="preserve">move the filters with the similar values, as shown in Figure </w:t>
      </w:r>
      <w:r>
        <w:rPr>
          <w:sz w:val="20"/>
        </w:rPr>
        <w:t xml:space="preserve">The compress ratio of each layer is also important for prun- </w:t>
      </w:r>
      <w:r>
        <w:rPr>
          <w:sz w:val="20"/>
        </w:rPr>
        <w:t xml:space="preserve">ing a model. Pruning every layer uniformly usually leads to </w:t>
      </w:r>
      <w:r>
        <w:rPr>
          <w:sz w:val="20"/>
        </w:rPr>
        <w:t xml:space="preserve">significant performance degradation. In PP-OCR, the prun- </w:t>
      </w:r>
      <w:r>
        <w:rPr>
          <w:sz w:val="20"/>
        </w:rPr>
        <w:t xml:space="preserve">ing sensitivity of each layer is calculated according to the </w:t>
      </w:r>
      <w:r>
        <w:rPr>
          <w:sz w:val="20"/>
        </w:rPr>
        <w:t xml:space="preserve">method in (Li et al. 2016) and then used to evaluate the re- </w:t>
      </w:r>
      <w:r>
        <w:rPr>
          <w:sz w:val="20"/>
        </w:rPr>
        <w:t xml:space="preserve"> dundancy of each layer. </w:t>
      </w:r>
    </w:p>
    <w:p>
      <w:pPr>
        <w:pStyle w:val="Heading1"/>
      </w:pPr>
      <w:r>
        <w:t>2.2Direction Classification</w:t>
      </w:r>
    </w:p>
    <w:p>
      <w:pPr>
        <w:ind w:firstLine="360"/>
      </w:pPr>
      <w:r>
        <w:rPr>
          <w:sz w:val="20"/>
        </w:rPr>
        <w:t xml:space="preserve">In this section, the details of four strategies for enhancing </w:t>
      </w:r>
      <w:r>
        <w:rPr>
          <w:sz w:val="20"/>
        </w:rPr>
        <w:t xml:space="preserve">the model ability or reducing the model size of a direction </w:t>
      </w:r>
      <w:r>
        <w:rPr>
          <w:sz w:val="20"/>
        </w:rPr>
        <w:t xml:space="preserve">classifier will be introduced. </w:t>
      </w:r>
    </w:p>
    <w:p>
      <w:pPr>
        <w:ind w:firstLine="360"/>
      </w:pPr>
      <w:r>
        <w:rPr>
          <w:sz w:val="20"/>
        </w:rPr>
        <w:t xml:space="preserve">Light Backbone We also adopt MobileNetV3 as the </w:t>
      </w:r>
      <w:r>
        <w:rPr>
          <w:sz w:val="20"/>
        </w:rPr>
        <w:t xml:space="preserve">backbone of the direction classifier which is the same as </w:t>
      </w:r>
      <w:r>
        <w:rPr>
          <w:sz w:val="20"/>
        </w:rPr>
        <w:t xml:space="preserve">the text detector. Because this task is relatively simple, we </w:t>
      </w:r>
      <w:r>
        <w:rPr>
          <w:sz w:val="20"/>
        </w:rPr>
        <w:t xml:space="preserve">use MobileNetV3_small_x0.35 to balance accuracy and effi- </w:t>
      </w:r>
      <w:r>
        <w:rPr>
          <w:sz w:val="20"/>
        </w:rPr>
        <w:t xml:space="preserve">ciency empirically. When using larger backbones, the accu- </w:t>
      </w:r>
      <w:r>
        <w:rPr>
          <w:sz w:val="20"/>
        </w:rPr>
        <w:t xml:space="preserve">racy doesn't improve more.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