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17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59, 157, 800, 568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7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Figure 11: Illustration of data augmentation, TIA. This fig- </w:t>
      </w:r>
      <w:r>
        <w:rPr>
          <w:sz w:val="20"/>
        </w:rPr>
        <w:t xml:space="preserve">ure comes from the paper (Luo et al. 2020)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9763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6, 706, 786, 1021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76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Figure 12: Illustration of the modify of the feature map reso- </w:t>
      </w:r>
      <w:r>
        <w:rPr>
          <w:sz w:val="20"/>
        </w:rPr>
        <w:t xml:space="preserve">lution. The table comes from the paper (Howard et al. 2019) </w:t>
      </w:r>
    </w:p>
    <w:p>
      <w:pPr>
        <w:ind w:firstLine="360"/>
      </w:pPr>
      <w:r>
        <w:rPr>
          <w:sz w:val="20"/>
        </w:rPr>
        <w:t xml:space="preserve">11] at first, a set of fiducial points are initialized on the im </w:t>
      </w:r>
      <w:r>
        <w:rPr>
          <w:sz w:val="20"/>
        </w:rPr>
        <w:t xml:space="preserve">age. Then move the points randomly to generate a new im </w:t>
      </w:r>
      <w:r>
        <w:rPr>
          <w:sz w:val="20"/>
        </w:rPr>
        <w:t xml:space="preserve">age with the geometric transformation. In PP-OCR, we add </w:t>
      </w:r>
      <w:r>
        <w:rPr>
          <w:sz w:val="20"/>
        </w:rPr>
        <w:t xml:space="preserve">BDA and TIA to the training images of the text recognition. </w:t>
      </w:r>
    </w:p>
    <w:p>
      <w:pPr>
        <w:ind w:firstLine="360"/>
      </w:pPr>
      <w:r>
        <w:rPr>
          <w:sz w:val="20"/>
        </w:rPr>
        <w:t xml:space="preserve">BDA and TIA to the training images of the text recognition. </w:t>
      </w:r>
      <w:r>
        <w:rPr>
          <w:sz w:val="20"/>
        </w:rPr>
        <w:t xml:space="preserve">Cosine Learning Rate Decay As mentioned in text de- </w:t>
      </w:r>
      <w:r>
        <w:rPr>
          <w:sz w:val="20"/>
        </w:rPr>
        <w:t xml:space="preserve">tection, cosine learning rate decay has become the preferred </w:t>
      </w:r>
      <w:r>
        <w:rPr>
          <w:sz w:val="20"/>
        </w:rPr>
        <w:t xml:space="preserve">learning rate reduction method. The experiments show that </w:t>
      </w:r>
      <w:r>
        <w:rPr>
          <w:sz w:val="20"/>
        </w:rPr>
        <w:t xml:space="preserve">cosine learning rate decay strategy is also effective to en- </w:t>
      </w:r>
      <w:r>
        <w:rPr>
          <w:sz w:val="20"/>
        </w:rPr>
        <w:t xml:space="preserve">hance the model ability for text recognition. </w:t>
      </w:r>
    </w:p>
    <w:p>
      <w:pPr>
        <w:ind w:firstLine="360"/>
      </w:pPr>
      <w:r>
        <w:rPr>
          <w:sz w:val="20"/>
        </w:rPr>
        <w:t xml:space="preserve">Feature Map Resolution In order to adapt to multilin- </w:t>
      </w:r>
      <w:r>
        <w:rPr>
          <w:sz w:val="20"/>
        </w:rPr>
        <w:t xml:space="preserve">gual recognition, particularly in Chinese recognition, in PP- </w:t>
      </w:r>
      <w:r>
        <w:rPr>
          <w:sz w:val="20"/>
        </w:rPr>
        <w:t xml:space="preserve">OCR the height and width of the CRNN input are set as 32 </w:t>
      </w:r>
      <w:r>
        <w:rPr>
          <w:sz w:val="20"/>
        </w:rPr>
        <w:t xml:space="preserve">and 320. Then, the strides of the original MobileNetV3 is </w:t>
      </w:r>
      <w:r>
        <w:rPr>
          <w:sz w:val="20"/>
        </w:rPr>
        <w:t xml:space="preserve">not appropriate for text recognition. As shown in Figure[12 </w:t>
      </w:r>
      <w:r>
        <w:rPr>
          <w:sz w:val="20"/>
        </w:rPr>
        <w:t xml:space="preserve">for the sake of keeping more the horizontal information, we </w:t>
      </w:r>
      <w:r>
        <w:rPr>
          <w:sz w:val="20"/>
        </w:rPr>
        <w:t xml:space="preserve">modify the stride of the down sampling feature map except </w:t>
      </w:r>
      <w:r>
        <w:rPr>
          <w:sz w:val="20"/>
        </w:rPr>
        <w:t xml:space="preserve">the first one from (2,2) to (2,1). In order to keep more verti. </w:t>
      </w:r>
      <w:r>
        <w:rPr>
          <w:sz w:val="20"/>
        </w:rPr>
        <w:t xml:space="preserve">cal information, we further modify the stride of the second </w:t>
      </w:r>
      <w:r>
        <w:rPr>
          <w:sz w:val="20"/>
        </w:rPr>
        <w:t xml:space="preserve">down sampling feature map from (2,1) to (1,1). Thus, the </w:t>
      </w:r>
      <w:r>
        <w:rPr>
          <w:sz w:val="20"/>
        </w:rPr>
        <w:t xml:space="preserve">stride of the second down sampling feature map s2 affects </w:t>
      </w:r>
      <w:r>
        <w:rPr>
          <w:sz w:val="20"/>
        </w:rPr>
        <w:t xml:space="preserve">the resolution of the whole feature map and the accuracy of </w:t>
      </w:r>
      <w:r>
        <w:rPr>
          <w:sz w:val="20"/>
        </w:rPr>
        <w:t xml:space="preserve">the text recognizer dramaticly. In PP-OCR, s2 is set as (1,1) </w:t>
      </w:r>
      <w:r>
        <w:rPr>
          <w:sz w:val="20"/>
        </w:rPr>
        <w:t xml:space="preserve">to achieve the better performance empirically. </w:t>
      </w:r>
    </w:p>
    <w:p>
      <w:pPr>
        <w:ind w:firstLine="360"/>
      </w:pPr>
      <w:r>
        <w:rPr>
          <w:sz w:val="20"/>
        </w:rPr>
        <w:t xml:space="preserve">to achieve the better performance empirically. </w:t>
      </w:r>
      <w:r>
        <w:rPr>
          <w:sz w:val="20"/>
        </w:rPr>
        <w:t xml:space="preserve">Regularization Parameters Overfitting is a common </w:t>
      </w:r>
      <w:r>
        <w:rPr>
          <w:sz w:val="20"/>
        </w:rPr>
        <w:t xml:space="preserve">term in machine learning. A simple understanding is that </w:t>
      </w:r>
    </w:p>
    <w:p>
      <w:pPr>
        <w:ind w:firstLine="360"/>
      </w:pPr>
      <w:r>
        <w:rPr>
          <w:sz w:val="20"/>
        </w:rPr>
        <w:t xml:space="preserve">the model performs well on the training data, but it performs </w:t>
      </w:r>
      <w:r>
        <w:rPr>
          <w:sz w:val="20"/>
        </w:rPr>
        <w:t xml:space="preserve">poorly on the test data. To avoid overfitting, many regular </w:t>
      </w:r>
      <w:r>
        <w:rPr>
          <w:sz w:val="20"/>
        </w:rPr>
        <w:t xml:space="preserve">ways have been proposed. Among them, weight_decay is </w:t>
      </w:r>
      <w:r>
        <w:rPr>
          <w:sz w:val="20"/>
        </w:rPr>
        <w:t xml:space="preserve">one of the widely used ways to avoid overfitting. After the </w:t>
      </w:r>
      <w:r>
        <w:rPr>
          <w:sz w:val="20"/>
        </w:rPr>
        <w:t xml:space="preserve">final loss function, L2 regularization (L2_decay) is added to </w:t>
      </w:r>
      <w:r>
        <w:rPr>
          <w:sz w:val="20"/>
        </w:rPr>
        <w:t xml:space="preserve">the loss function. With the help of L2 regularization, the </w:t>
      </w:r>
      <w:r>
        <w:rPr>
          <w:sz w:val="20"/>
        </w:rPr>
        <w:t xml:space="preserve">weight of the network tend to choose a smaller value, and </w:t>
      </w:r>
      <w:r>
        <w:rPr>
          <w:sz w:val="20"/>
        </w:rPr>
        <w:t xml:space="preserve">finally the parameters in the entire network tends to O, and </w:t>
      </w:r>
      <w:r>
        <w:rPr>
          <w:sz w:val="20"/>
        </w:rPr>
        <w:t xml:space="preserve">the generalization performance of the model is improved ac- </w:t>
      </w:r>
      <w:r>
        <w:rPr>
          <w:sz w:val="20"/>
        </w:rPr>
        <w:t xml:space="preserve">cordingly. For text recognition, L2_decay has a great influ- </w:t>
      </w:r>
      <w:r>
        <w:rPr>
          <w:sz w:val="20"/>
        </w:rPr>
        <w:t xml:space="preserve">ence on the accuracy. </w:t>
      </w:r>
    </w:p>
    <w:p>
      <w:pPr>
        <w:ind w:firstLine="360"/>
      </w:pPr>
      <w:r>
        <w:rPr>
          <w:sz w:val="20"/>
        </w:rPr>
        <w:t xml:space="preserve">ence on the accuracy. </w:t>
      </w:r>
      <w:r>
        <w:rPr>
          <w:sz w:val="20"/>
        </w:rPr>
        <w:t xml:space="preserve">Learning Rate Warm-up Similar as the text detection, </w:t>
      </w:r>
      <w:r>
        <w:rPr>
          <w:sz w:val="20"/>
        </w:rPr>
        <w:t xml:space="preserve">learning rate warm-up is also helping the text recognition. </w:t>
      </w:r>
      <w:r>
        <w:rPr>
          <w:sz w:val="20"/>
        </w:rPr>
        <w:t xml:space="preserve">For text recognition, the experiments show that using this </w:t>
      </w:r>
      <w:r>
        <w:rPr>
          <w:sz w:val="20"/>
        </w:rPr>
        <w:t xml:space="preserve">strategy is also effective. </w:t>
      </w:r>
    </w:p>
    <w:p>
      <w:pPr>
        <w:ind w:firstLine="360"/>
      </w:pPr>
      <w:r>
        <w:rPr>
          <w:sz w:val="20"/>
        </w:rPr>
        <w:t xml:space="preserve">strategy is also effective. </w:t>
      </w:r>
      <w:r>
        <w:rPr>
          <w:sz w:val="20"/>
        </w:rPr>
        <w:t xml:space="preserve">Light Head A full connection layer is used to encode the </w:t>
      </w:r>
      <w:r>
        <w:rPr>
          <w:sz w:val="20"/>
        </w:rPr>
        <w:t xml:space="preserve">sequence features to the predicted characters in the ordinary. </w:t>
      </w:r>
      <w:r>
        <w:rPr>
          <w:sz w:val="20"/>
        </w:rPr>
        <w:t xml:space="preserve">The dimension of the sequence features have an impact on </w:t>
      </w:r>
      <w:r>
        <w:rPr>
          <w:sz w:val="20"/>
        </w:rPr>
        <w:t xml:space="preserve">the model size of a text recognizer, especially for Chinese </w:t>
      </w:r>
      <w:r>
        <w:rPr>
          <w:sz w:val="20"/>
        </w:rPr>
        <w:t xml:space="preserve">recognition whose characters are more than 6 thousands. </w:t>
      </w:r>
      <w:r>
        <w:rPr>
          <w:sz w:val="20"/>
        </w:rPr>
        <w:t xml:space="preserve">Meanwhile, it is not that the higher of the dimension, the </w:t>
      </w:r>
      <w:r>
        <w:rPr>
          <w:sz w:val="20"/>
        </w:rPr>
        <w:t xml:space="preserve">stronger of the ability of the sequence features representa- </w:t>
      </w:r>
      <w:r>
        <w:rPr>
          <w:sz w:val="20"/>
        </w:rPr>
        <w:t xml:space="preserve">tion. In PP-OCR, the dimension of the sequence features is </w:t>
      </w:r>
      <w:r>
        <w:rPr>
          <w:sz w:val="20"/>
        </w:rPr>
        <w:t xml:space="preserve">set to 48 empirically. </w:t>
      </w:r>
    </w:p>
    <w:p>
      <w:pPr>
        <w:ind w:firstLine="360"/>
      </w:pPr>
      <w:r>
        <w:rPr>
          <w:sz w:val="20"/>
        </w:rPr>
        <w:t xml:space="preserve">set to 48 empirically. </w:t>
      </w:r>
      <w:r>
        <w:rPr>
          <w:sz w:val="20"/>
        </w:rPr>
        <w:t xml:space="preserve">Pre-trained Model If the training data is fewer, fine tune </w:t>
      </w:r>
      <w:r>
        <w:rPr>
          <w:sz w:val="20"/>
        </w:rPr>
        <w:t xml:space="preserve">the existing networks, which are trained on a large data set </w:t>
      </w:r>
      <w:r>
        <w:rPr>
          <w:sz w:val="20"/>
        </w:rPr>
        <w:t xml:space="preserve">such as ImageNet, to achieve fast convergence and better </w:t>
      </w:r>
      <w:r>
        <w:rPr>
          <w:sz w:val="20"/>
        </w:rPr>
        <w:t xml:space="preserve">accuracy. The transfer learning in image classification and </w:t>
      </w:r>
      <w:r>
        <w:rPr>
          <w:sz w:val="20"/>
        </w:rPr>
        <w:t xml:space="preserve">object detection show the above strategy is effective. In real </w:t>
      </w:r>
      <w:r>
        <w:rPr>
          <w:sz w:val="20"/>
        </w:rPr>
        <w:t xml:space="preserve">scenes, the data used for text recognition is often limited. If </w:t>
      </w:r>
      <w:r>
        <w:rPr>
          <w:sz w:val="20"/>
        </w:rPr>
        <w:t xml:space="preserve">the models are trained with tens of millions samples, even if </w:t>
      </w:r>
      <w:r>
        <w:rPr>
          <w:sz w:val="20"/>
        </w:rPr>
        <w:t xml:space="preserve">they are synthesized ones, the accuracy can be significantly </w:t>
      </w:r>
      <w:r>
        <w:rPr>
          <w:sz w:val="20"/>
        </w:rPr>
        <w:t xml:space="preserve">improved with the above models. We demonstrate the effec- </w:t>
      </w:r>
      <w:r>
        <w:rPr>
          <w:sz w:val="20"/>
        </w:rPr>
        <w:t xml:space="preserve">tiveness of this strategy through experiments. </w:t>
      </w:r>
    </w:p>
    <w:p>
      <w:pPr>
        <w:ind w:firstLine="360"/>
      </w:pPr>
      <w:r>
        <w:rPr>
          <w:sz w:val="20"/>
        </w:rPr>
        <w:t xml:space="preserve">PACT Quantization We adopt the similar quantization </w:t>
      </w:r>
      <w:r>
        <w:rPr>
          <w:sz w:val="20"/>
        </w:rPr>
        <w:t xml:space="preserve">scheme of the direction classification to reduce the model </w:t>
      </w:r>
      <w:r>
        <w:rPr>
          <w:sz w:val="20"/>
        </w:rPr>
        <w:t xml:space="preserve">size of a text recognizer except for skipping the LSTM lay- </w:t>
      </w:r>
      <w:r>
        <w:rPr>
          <w:sz w:val="20"/>
        </w:rPr>
        <w:t xml:space="preserve">ers. Those layers will not be quantified at present since the </w:t>
      </w:r>
      <w:r>
        <w:rPr>
          <w:sz w:val="20"/>
        </w:rPr>
        <w:t xml:space="preserve">complexity of LSTM quantization. </w:t>
      </w:r>
    </w:p>
    <w:p>
      <w:pPr>
        <w:pStyle w:val="Heading1"/>
      </w:pPr>
      <w:r>
        <w:t>3Experiments</w:t>
      </w:r>
    </w:p>
    <w:p>
      <w:pPr>
        <w:pStyle w:val="Heading1"/>
      </w:pPr>
      <w:r>
        <w:t>3.1Experimental Setup</w:t>
      </w:r>
    </w:p>
    <w:p>
      <w:pPr>
        <w:ind w:firstLine="360"/>
      </w:pPr>
      <w:r>
        <w:rPr>
          <w:sz w:val="20"/>
        </w:rPr>
        <w:t xml:space="preserve">DataSetsAs shown in Table1 in order to implement a </w:t>
      </w:r>
      <w:r>
        <w:rPr>
          <w:sz w:val="20"/>
        </w:rPr>
        <w:t xml:space="preserve">practical OCR system, we construct a large-scale dataset for </w:t>
      </w:r>
      <w:r>
        <w:rPr>
          <w:sz w:val="20"/>
        </w:rPr>
        <w:t xml:space="preserve">Chinese and English recognition as an example. </w:t>
      </w:r>
      <w:r>
        <w:rPr>
          <w:sz w:val="20"/>
        </w:rPr>
        <w:t xml:space="preserve">For text detection, there are 97k training images and 500 </w:t>
      </w:r>
    </w:p>
    <w:p>
      <w:pPr>
        <w:ind w:firstLine="360"/>
      </w:pPr>
      <w:r>
        <w:rPr>
          <w:sz w:val="20"/>
        </w:rPr>
        <w:t xml:space="preserve">For text detection, there are 97k training images and 500 </w:t>
      </w:r>
      <w:r>
        <w:rPr>
          <w:sz w:val="20"/>
        </w:rPr>
        <w:t xml:space="preserve">validation images. Among the training images, 68K im- </w:t>
      </w:r>
      <w:r>
        <w:rPr>
          <w:sz w:val="20"/>
        </w:rPr>
        <w:t xml:space="preserve">ages are real scene images, which come from some public </w:t>
      </w:r>
      <w:r>
        <w:rPr>
          <w:sz w:val="20"/>
        </w:rPr>
        <w:t xml:space="preserve">datasets and Baidu image search. The public datasets used </w:t>
      </w:r>
      <w:r>
        <w:rPr>
          <w:sz w:val="20"/>
        </w:rPr>
        <w:t xml:space="preserve">include LSVT (Sun et al.[2019), RCTW-17 (Shi et al.[2017) </w:t>
      </w:r>
      <w:r>
        <w:rPr>
          <w:sz w:val="20"/>
        </w:rPr>
        <w:t xml:space="preserve">MTWI 2018 (He and Yang|2018), CASIA-10K (He et al. </w:t>
      </w:r>
      <w:r>
        <w:rPr>
          <w:sz w:val="20"/>
        </w:rPr>
        <w:t xml:space="preserve">2018), SROIE (Huang et al.2019), MLT 2019 (Nayef et al. </w:t>
      </w:r>
      <w:r>
        <w:rPr>
          <w:sz w:val="20"/>
        </w:rPr>
        <w:t xml:space="preserve">2019), BD1 (Karatzas et al.2011), MSRA-TD500 (Yao et al. </w:t>
      </w:r>
      <w:r>
        <w:rPr>
          <w:sz w:val="20"/>
        </w:rPr>
        <w:t xml:space="preserve">2012) and CCPD 2019 (Xu et al.2018). Most the training </w:t>
      </w:r>
      <w:r>
        <w:rPr>
          <w:sz w:val="20"/>
        </w:rPr>
        <w:t xml:space="preserve">images from Baidu image search are document text images. </w:t>
      </w:r>
      <w:r>
        <w:rPr>
          <w:sz w:val="20"/>
        </w:rPr>
        <w:t xml:space="preserve">The remaining 29K synthetic images mainly focus on the </w:t>
      </w:r>
      <w:r>
        <w:rPr>
          <w:sz w:val="20"/>
        </w:rPr>
        <w:t xml:space="preserve">scenarios for long text, multi direction text and table text. </w:t>
      </w:r>
      <w:r>
        <w:rPr>
          <w:sz w:val="20"/>
        </w:rPr>
        <w:t xml:space="preserve">All the validation images come from the real scenes.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