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62, 147, 1441, 27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4734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68, 401, 690, 741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3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 9: Ablation study of data augmentation for direction </w:t>
      </w:r>
      <w:r>
        <w:rPr>
          <w:sz w:val="20"/>
        </w:rPr>
        <w:t xml:space="preserve">classification.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Backbone MobileNetV3 small_x0.35 MobileNetV3_ small_x0.5</w:t>
            </w:r>
          </w:p>
        </w:tc>
        <w:tc>
          <w:tcPr>
            <w:tcW w:type="dxa" w:w="2160"/>
          </w:tcPr>
          <w:p>
            <w:r>
              <w:t>Accuracy 0.6288 0.6556</w:t>
            </w:r>
          </w:p>
        </w:tc>
        <w:tc>
          <w:tcPr>
            <w:tcW w:type="dxa" w:w="2160"/>
          </w:tcPr>
          <w:p>
            <w:r>
              <w:t>Model Size (M) 22 23</w:t>
            </w:r>
          </w:p>
        </w:tc>
        <w:tc>
          <w:tcPr>
            <w:tcW w:type="dxa" w:w="2160"/>
          </w:tcPr>
          <w:p>
            <w:r>
              <w:t>Inference Time (CPU, ms) 17 17.27</w:t>
            </w:r>
          </w:p>
        </w:tc>
      </w:tr>
      <w:tr>
        <w:tc>
          <w:tcPr>
            <w:tcW w:type="dxa" w:w="2160"/>
          </w:tcPr>
          <w:p>
            <w:r>
              <w:t>MobileNetV3_ small_x1</w:t>
            </w:r>
          </w:p>
        </w:tc>
        <w:tc>
          <w:tcPr>
            <w:tcW w:type="dxa" w:w="2160"/>
          </w:tcPr>
          <w:p>
            <w:r>
              <w:t>0.6933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19.15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Table 10: Compares the performance of the different back. </w:t>
      </w:r>
      <w:r>
        <w:rPr>
          <w:sz w:val="20"/>
        </w:rPr>
        <w:t xml:space="preserve">bones for text recognition. The number of channel in the </w:t>
      </w:r>
      <w:r>
        <w:rPr>
          <w:sz w:val="20"/>
        </w:rPr>
        <w:t xml:space="preserve">head is 256. </w:t>
      </w:r>
    </w:p>
    <w:p>
      <w:pPr>
        <w:ind w:firstLine="360"/>
      </w:pPr>
      <w:r>
        <w:rPr>
          <w:sz w:val="20"/>
        </w:rPr>
        <w:t xml:space="preserve">and RandAugment are useful for text direction classifica- </w:t>
      </w:r>
      <w:r>
        <w:rPr>
          <w:sz w:val="20"/>
        </w:rPr>
        <w:t xml:space="preserve">tion. Therefore, in PP-OCR, we use BDA (base data aug- </w:t>
      </w:r>
      <w:r>
        <w:rPr>
          <w:sz w:val="20"/>
        </w:rPr>
        <w:t xml:space="preserve">mentation) and RandAugment to train a direction classifier. </w:t>
      </w:r>
      <w:r>
        <w:rPr>
          <w:sz w:val="20"/>
        </w:rPr>
        <w:t xml:space="preserve">Table [8|shows the ablation study of input resolution and </w:t>
      </w:r>
    </w:p>
    <w:p>
      <w:pPr>
        <w:ind w:firstLine="360"/>
      </w:pPr>
      <w:r>
        <w:rPr>
          <w:sz w:val="20"/>
        </w:rPr>
        <w:t xml:space="preserve">mentation) and RandAugment to train a direction classifier. </w:t>
      </w:r>
      <w:r>
        <w:rPr>
          <w:sz w:val="20"/>
        </w:rPr>
        <w:t xml:space="preserve">Table [8|shows the ablation study of input resolution and </w:t>
      </w:r>
      <w:r>
        <w:rPr>
          <w:sz w:val="20"/>
        </w:rPr>
        <w:t xml:space="preserve">PACT quantization for direction classification. When the in- </w:t>
      </w:r>
      <w:r>
        <w:rPr>
          <w:sz w:val="20"/>
        </w:rPr>
        <w:t xml:space="preserve">put resolution is adjusted from 3  32  100 to 3  48  192 </w:t>
      </w:r>
      <w:r>
        <w:rPr>
          <w:sz w:val="20"/>
        </w:rPr>
        <w:t xml:space="preserve">The classification accuracy has improved but the prediction </w:t>
      </w:r>
      <w:r>
        <w:rPr>
          <w:sz w:val="20"/>
        </w:rPr>
        <w:t xml:space="preserve">speed is basically unchanged. Furthermore, we also verified </w:t>
      </w:r>
      <w:r>
        <w:rPr>
          <w:sz w:val="20"/>
        </w:rPr>
        <w:t xml:space="preserve">quantization strategy is effective in accelerating the predic. </w:t>
      </w:r>
      <w:r>
        <w:rPr>
          <w:sz w:val="20"/>
        </w:rPr>
        <w:t xml:space="preserve">tion speed of the text direction classifier. The model size </w:t>
      </w:r>
      <w:r>
        <w:rPr>
          <w:sz w:val="20"/>
        </w:rPr>
        <w:t xml:space="preserve">is reduced 45.9% and the inference time has accelerated </w:t>
      </w:r>
      <w:r>
        <w:rPr>
          <w:sz w:val="20"/>
        </w:rPr>
        <w:t xml:space="preserve">25.86%. Accuracy is slight promotion. </w:t>
      </w:r>
    </w:p>
    <w:p>
      <w:pPr>
        <w:pStyle w:val="Heading1"/>
      </w:pPr>
      <w:r>
        <w:t>3.4Text Recognition</w:t>
      </w:r>
    </w:p>
    <w:p>
      <w:pPr>
        <w:ind w:firstLine="360"/>
      </w:pPr>
      <w:r>
        <w:rPr>
          <w:sz w:val="20"/>
        </w:rPr>
        <w:t xml:space="preserve">Table [10] compares the performance of the different back. </w:t>
      </w:r>
      <w:r>
        <w:rPr>
          <w:sz w:val="20"/>
        </w:rPr>
        <w:t xml:space="preserve">bones for text recognition. The accuracy, the model size </w:t>
      </w:r>
      <w:r>
        <w:rPr>
          <w:sz w:val="20"/>
        </w:rPr>
        <w:t xml:space="preserve">and the inference time of the different scales of Mo- </w:t>
      </w:r>
      <w:r>
        <w:rPr>
          <w:sz w:val="20"/>
        </w:rPr>
        <w:t xml:space="preserve">bileNetV3 change greatly. In PP-OCR, we choose Mo- </w:t>
      </w:r>
      <w:r>
        <w:rPr>
          <w:sz w:val="20"/>
        </w:rPr>
        <w:t xml:space="preserve">bileNetV3_small_x0.5 to balance accuracy and efficiency. </w:t>
      </w:r>
    </w:p>
    <w:p>
      <w:pPr>
        <w:ind w:firstLine="360"/>
      </w:pPr>
      <w:r>
        <w:rPr>
          <w:sz w:val="20"/>
        </w:rPr>
        <w:t xml:space="preserve">Table 8: Ablation study of input resolution and PACT quantization for direction classification.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6912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26, 402, 1508, 622]_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1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 11: Ablation study of the number of channel in the </w:t>
      </w:r>
      <w:r>
        <w:rPr>
          <w:sz w:val="20"/>
        </w:rPr>
        <w:t xml:space="preserve">head for text recognition. The data augmentation is only </w:t>
      </w:r>
      <w:r>
        <w:rPr>
          <w:sz w:val="20"/>
        </w:rPr>
        <w:t xml:space="preserve">used BDA. </w:t>
      </w:r>
    </w:p>
    <w:p>
      <w:pPr>
        <w:ind w:firstLine="360"/>
      </w:pPr>
      <w:r>
        <w:rPr>
          <w:sz w:val="20"/>
        </w:rPr>
        <w:t xml:space="preserve">Table [11compares the number of channel in the CRNN </w:t>
      </w:r>
      <w:r>
        <w:rPr>
          <w:sz w:val="20"/>
        </w:rPr>
        <w:t xml:space="preserve">head for text recognition. Reduce the number of channe. </w:t>
      </w:r>
      <w:r>
        <w:rPr>
          <w:sz w:val="20"/>
        </w:rPr>
        <w:t xml:space="preserve">from 256 to 48, the model size is reduced from 23M to 4.6M </w:t>
      </w:r>
      <w:r>
        <w:rPr>
          <w:sz w:val="20"/>
        </w:rPr>
        <w:t xml:space="preserve">and the inference time has accelerated nearly 30%. However, </w:t>
      </w:r>
      <w:r>
        <w:rPr>
          <w:sz w:val="20"/>
        </w:rPr>
        <w:t xml:space="preserve">the accuracy will not be affected. We can see the number of. </w:t>
      </w:r>
      <w:r>
        <w:rPr>
          <w:sz w:val="20"/>
        </w:rPr>
        <w:t xml:space="preserve">channel in the head has a great influence on the model size </w:t>
      </w:r>
      <w:r>
        <w:rPr>
          <w:sz w:val="20"/>
        </w:rPr>
        <w:t xml:space="preserve">of a lightweight text recognizer. </w:t>
      </w:r>
    </w:p>
    <w:p>
      <w:pPr>
        <w:ind w:firstLine="360"/>
      </w:pPr>
      <w:r>
        <w:rPr>
          <w:sz w:val="20"/>
        </w:rPr>
        <w:t xml:space="preserve">of a lightweight text recognizer. </w:t>
      </w:r>
      <w:r>
        <w:rPr>
          <w:sz w:val="20"/>
        </w:rPr>
        <w:t xml:space="preserve">Tabel12 shows the ablation study of data augmentation, </w:t>
      </w:r>
      <w:r>
        <w:rPr>
          <w:sz w:val="20"/>
        </w:rPr>
        <w:t xml:space="preserve">cosine learning rate decay, the stride of the second down </w:t>
      </w:r>
      <w:r>
        <w:rPr>
          <w:sz w:val="20"/>
        </w:rPr>
        <w:t xml:space="preserve">sampling feature map, regularization parameters L2_decay </w:t>
      </w:r>
      <w:r>
        <w:rPr>
          <w:sz w:val="20"/>
        </w:rPr>
        <w:t xml:space="preserve">and learning rate warm-up for text recognition. </w:t>
      </w:r>
      <w:r>
        <w:rPr>
          <w:sz w:val="20"/>
        </w:rPr>
        <w:t xml:space="preserve">To verify the advantages of each strategy, the setting of </w:t>
      </w:r>
    </w:p>
    <w:p>
      <w:pPr>
        <w:ind w:firstLine="360"/>
      </w:pPr>
      <w:r>
        <w:rPr>
          <w:sz w:val="20"/>
        </w:rPr>
        <w:t xml:space="preserve">To verify the advantages of each strategy, the setting of </w:t>
      </w:r>
      <w:r>
        <w:rPr>
          <w:sz w:val="20"/>
        </w:rPr>
        <w:t xml:space="preserve">the basic experimental is the strategy S1. When using BDA, </w:t>
      </w:r>
      <w:r>
        <w:rPr>
          <w:sz w:val="20"/>
        </w:rPr>
        <w:t xml:space="preserve">the accuracy will be improved 3.12%. Data augmentation </w:t>
      </w:r>
      <w:r>
        <w:rPr>
          <w:sz w:val="20"/>
        </w:rPr>
        <w:t xml:space="preserve">is very necessary for text recognition. When we adopt the </w:t>
      </w:r>
      <w:r>
        <w:rPr>
          <w:sz w:val="20"/>
        </w:rPr>
        <w:t xml:space="preserve">cosine learning rate decay further, the accuracy will be im- </w:t>
      </w:r>
      <w:r>
        <w:rPr>
          <w:sz w:val="20"/>
        </w:rPr>
        <w:t xml:space="preserve">proved 1.47%. The cosine learning rate is an effective strat- </w:t>
      </w:r>
      <w:r>
        <w:rPr>
          <w:sz w:val="20"/>
        </w:rPr>
        <w:t xml:space="preserve">egy for text recognition. Next, when we increase the fea- </w:t>
      </w:r>
      <w:r>
        <w:rPr>
          <w:sz w:val="20"/>
        </w:rPr>
        <w:t xml:space="preserve">ture map resolution and reduce the stride of the second down </w:t>
      </w:r>
      <w:r>
        <w:rPr>
          <w:sz w:val="20"/>
        </w:rPr>
        <w:t xml:space="preserve">sampling feature map from (2,1) to (1,1), the accuracy will </w:t>
      </w:r>
      <w:r>
        <w:rPr>
          <w:sz w:val="20"/>
        </w:rPr>
        <w:t xml:space="preserve">be improved 5.27%. Then, when we adjust the regulariza- </w:t>
      </w:r>
      <w:r>
        <w:rPr>
          <w:sz w:val="20"/>
        </w:rPr>
        <w:t xml:space="preserve">tion parameters L2_decay from 0 to 1e - 5 further, the accu </w:t>
      </w:r>
      <w:r>
        <w:rPr>
          <w:sz w:val="20"/>
        </w:rPr>
        <w:t xml:space="preserve">racy will be improved 3.4%. The feature map resolution and </w:t>
      </w:r>
      <w:r>
        <w:rPr>
          <w:sz w:val="20"/>
        </w:rPr>
        <w:t xml:space="preserve">L2.decay have a great influence on the performance. Final. </w:t>
      </w:r>
      <w:r>
        <w:rPr>
          <w:sz w:val="20"/>
        </w:rPr>
        <w:t xml:space="preserve">using learning rate warm-up, the accuracy will be improved </w:t>
      </w:r>
      <w:r>
        <w:rPr>
          <w:sz w:val="20"/>
        </w:rPr>
        <w:t xml:space="preserve">0.62%. Using TIA data augmentation, the accuracy will be </w:t>
      </w:r>
      <w:r>
        <w:rPr>
          <w:sz w:val="20"/>
        </w:rPr>
        <w:t xml:space="preserve">improved 0.91%. Learning rate warm-up and TIA also are </w:t>
      </w:r>
      <w:r>
        <w:rPr>
          <w:sz w:val="20"/>
        </w:rPr>
        <w:t xml:space="preserve">effective strategies for text recognition. </w:t>
      </w:r>
    </w:p>
    <w:p>
      <w:pPr>
        <w:ind w:firstLine="360"/>
      </w:pPr>
      <w:r>
        <w:rPr>
          <w:sz w:val="20"/>
        </w:rPr>
        <w:t xml:space="preserve">effective strategies for text recognition. </w:t>
      </w:r>
      <w:r>
        <w:rPr>
          <w:sz w:val="20"/>
        </w:rPr>
        <w:t xml:space="preserve">Tabel13]shows the ablation study of PACT quantization </w:t>
      </w:r>
      <w:r>
        <w:rPr>
          <w:sz w:val="20"/>
        </w:rPr>
        <w:t xml:space="preserve">for text recognition. When we use PACT quantization, the </w:t>
      </w:r>
      <w:r>
        <w:rPr>
          <w:sz w:val="20"/>
        </w:rPr>
        <w:t xml:space="preserve">model size is reduced 67.39% and the inference time has ac- </w:t>
      </w:r>
      <w:r>
        <w:rPr>
          <w:sz w:val="20"/>
        </w:rPr>
        <w:t xml:space="preserve">celerated 8.3%. Since there was no quantification on LSTM, </w:t>
      </w:r>
      <w:r>
        <w:rPr>
          <w:sz w:val="20"/>
        </w:rPr>
        <w:t xml:space="preserve">The acceleration is not obvious. However, accuracy achieves </w:t>
      </w:r>
      <w:r>
        <w:rPr>
          <w:sz w:val="20"/>
        </w:rPr>
        <w:t xml:space="preserve">a significant improvement. Therefore, PACT quantization </w:t>
      </w:r>
      <w:r>
        <w:rPr>
          <w:sz w:val="20"/>
        </w:rPr>
        <w:t xml:space="preserve">also is an effective strategy for reducing the model size of. </w:t>
      </w:r>
      <w:r>
        <w:rPr>
          <w:sz w:val="20"/>
        </w:rPr>
        <w:t xml:space="preserve">a text recognizer.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