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材料实验数据分析平台需求说明</w:t>
      </w:r>
    </w:p>
    <w:p>
      <w:pPr>
        <w:pStyle w:val="Heading1"/>
      </w:pPr>
      <w:r>
        <w:t>科研场景与已有算法</w:t>
      </w:r>
    </w:p>
    <w:p>
      <w:r>
        <w:t>我们有10名科研人员，需要管理材料实验数据，并运行已有的拟合和峰值分析算法。算法由课题组提供可运行Python代码、锁定依赖及参考输出，供应商负责封装、界面、任务管理和验证。</w:t>
      </w:r>
    </w:p>
    <w:p>
      <w:r>
        <w:t>本期不研发新算法，不训练机器学习模型，不建设数据湖，不把已有算法重新计入研发费用。系统部署在现有实验室服务器，服务器采购不在本次范围。</w:t>
      </w:r>
    </w:p>
    <w:p>
      <w:pPr>
        <w:pStyle w:val="Heading1"/>
      </w:pPr>
      <w:r>
        <w:t>实验数据导入与管理</w:t>
      </w:r>
    </w:p>
    <w:p>
      <w:r>
        <w:t>支持固定格式CSV导入，每个文件不超过100MB，一次上传最多5个文件。验证样本编号、实验时间、测量单位和空值；失败时显示原因及行号。数据保存后关联样本、批次、实验员和处理方法版本。</w:t>
      </w:r>
    </w:p>
    <w:p>
      <w:r>
        <w:t>研究员可检索自己的项目，项目负责人可查看团队项目。实验数据和算法结果需记录处理人、时间和版本。角色共三类，不接学校统一身份系统。</w:t>
      </w:r>
    </w:p>
    <w:p>
      <w:pPr>
        <w:pStyle w:val="Heading1"/>
      </w:pPr>
      <w:r>
        <w:t>分析任务与结果</w:t>
      </w:r>
    </w:p>
    <w:p>
      <w:r>
        <w:t>选择已上传数据及算法版本后提交任务，显示排队、运行、成功或失败，失败可查看原因。最多同时运行2个任务；任务完成后查看拟合曲线、峰值列表和课题组定义的4个统计指标。</w:t>
      </w:r>
    </w:p>
    <w:p>
      <w:r>
        <w:t>分析参数可保存并复用，同一数据及算法版本应能复现参考结果。支持导出结果CSV和采用一个固定模板的PDF报告。PDF只包含样本、方法、参数、曲线和结果，不做在线模板编辑器。</w:t>
      </w:r>
    </w:p>
    <w:p>
      <w:pPr>
        <w:pStyle w:val="Heading1"/>
      </w:pPr>
      <w:r>
        <w:t>边界和复用</w:t>
      </w:r>
    </w:p>
    <w:p>
      <w:r>
        <w:t>我们提供30组验收数据、对应参考结果以及图表样式草稿。曲线交互包括缩放、悬停数值和下载PNG。文件、任务与结果的审计采用共用能力，不能分别收取三次相同审计费用。</w:t>
      </w:r>
    </w:p>
    <w:p>
      <w:r>
        <w:t>GPU扩容、商业统计软件授权、专利检索、电子实验记录本全套流程和论文自动撰写均不纳入本期。</w:t>
      </w:r>
    </w:p>
    <w:p>
      <w:r>
        <w:br w:type="page"/>
      </w:r>
    </w:p>
    <w:p>
      <w:pPr>
        <w:pStyle w:val="Heading1"/>
      </w:pPr>
      <w:r>
        <w:t>运行条件与性能</w:t>
      </w:r>
    </w:p>
    <w:p>
      <w:r>
        <w:t>现有服务器为Linux、16核CPU、64GB内存，无GPU。课题组将算法单次参考运行时间控制在3分钟内。供应商保证任务状态、错误记录和并发限制正确，不对算法本身做未经约定的数值加速。</w:t>
      </w:r>
    </w:p>
    <w:p>
      <w:pPr>
        <w:pStyle w:val="Heading1"/>
      </w:pPr>
      <w:r>
        <w:t>验收与交付</w:t>
      </w:r>
    </w:p>
    <w:p>
      <w:r>
        <w:t>30组参考数据的峰值位置和拟合参数按课题组给定容差验证；任务成功、失败及重试均可追溯；2个并发任务可运行，第3个排队；导出的CSV和PDF字段及单位完整。提交源码、部署说明、用户手册和一次培训。</w:t>
      </w:r>
    </w:p>
    <w:p>
      <w:pPr>
        <w:pStyle w:val="Heading1"/>
      </w:pPr>
      <w:r>
        <w:t>测试计价条件</w:t>
      </w:r>
    </w:p>
    <w:p>
      <w:r>
        <w:t>产品经理80元/小时，前端80元/小时，后端90元/小时，算法集成100元/小时，测试60元/小时，部署80元/小时。软件使用测试税率6%。币种人民币，费率未税，税前预算70000元。</w:t>
      </w:r>
    </w:p>
    <w:p>
      <w:r>
        <w:t>本材料所有价格和税率仅用于测试；工时由报价者估算。已有算法的封装和验证应保留，算法从零研发费用不得出现。</w:t>
      </w:r>
    </w:p>
    <w:p>
      <w:pPr>
        <w:pStyle w:val="Heading1"/>
      </w:pPr>
      <w:r>
        <w:t>二期讨论</w:t>
      </w:r>
    </w:p>
    <w:p>
      <w:r>
        <w:t>后续可能需要新增仪器直接采集和多课题组租户支持，目前没有仪器协议或租户规模，请只在建议中说明，不纳入一期价格。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ngti SC" w:hAnsi="Songti SC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材料实验数据分析平台需求说明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