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A6A8" w14:textId="4677C40C" w:rsidR="00406F43" w:rsidRPr="00406F43" w:rsidRDefault="00406F43" w:rsidP="00406F43">
      <w:pPr>
        <w:spacing w:line="480" w:lineRule="auto"/>
        <w:jc w:val="both"/>
        <w:rPr>
          <w:rFonts w:ascii="Garamond" w:hAnsi="Garamond"/>
          <w:b/>
          <w:bCs/>
        </w:rPr>
      </w:pPr>
      <w:r w:rsidRPr="00406F43">
        <w:rPr>
          <w:rFonts w:ascii="Garamond" w:hAnsi="Garamond"/>
          <w:b/>
          <w:bCs/>
        </w:rPr>
        <w:t xml:space="preserve">Appendix A – Prior Literature </w:t>
      </w:r>
    </w:p>
    <w:p w14:paraId="7E516ECB" w14:textId="4F40CCC1" w:rsidR="00406F43" w:rsidRPr="00406F43" w:rsidRDefault="00406F43" w:rsidP="00406F43">
      <w:pPr>
        <w:pStyle w:val="ListParagraph"/>
        <w:numPr>
          <w:ilvl w:val="0"/>
          <w:numId w:val="2"/>
        </w:numPr>
        <w:spacing w:line="480" w:lineRule="auto"/>
        <w:jc w:val="both"/>
        <w:rPr>
          <w:rFonts w:ascii="Garamond" w:hAnsi="Garamond"/>
          <w:b/>
          <w:bCs/>
        </w:rPr>
      </w:pPr>
      <w:r w:rsidRPr="00406F43">
        <w:rPr>
          <w:rFonts w:ascii="Garamond" w:hAnsi="Garamond"/>
          <w:b/>
          <w:bCs/>
        </w:rPr>
        <w:t xml:space="preserve">Prior Literature on Nighttime Light Data </w:t>
      </w:r>
    </w:p>
    <w:p w14:paraId="151453F1" w14:textId="77777777" w:rsidR="00406F43" w:rsidRPr="00E626F1" w:rsidRDefault="00406F43" w:rsidP="00406F43">
      <w:pPr>
        <w:spacing w:line="480" w:lineRule="auto"/>
        <w:ind w:firstLine="720"/>
        <w:jc w:val="both"/>
        <w:rPr>
          <w:rFonts w:ascii="Garamond" w:hAnsi="Garamond"/>
        </w:rPr>
      </w:pPr>
      <w:r w:rsidRPr="00E626F1">
        <w:rPr>
          <w:rFonts w:ascii="Garamond" w:hAnsi="Garamond"/>
        </w:rPr>
        <w:t xml:space="preserve">Many papers have discussed whether the nighttime light data could be good indicators of different economic </w:t>
      </w:r>
      <w:r>
        <w:rPr>
          <w:rFonts w:ascii="Garamond" w:hAnsi="Garamond"/>
        </w:rPr>
        <w:t>forces</w:t>
      </w:r>
      <w:r w:rsidRPr="00E626F1">
        <w:rPr>
          <w:rFonts w:ascii="Garamond" w:hAnsi="Garamond"/>
        </w:rPr>
        <w:t>, including urbanization, population</w:t>
      </w:r>
      <w:r>
        <w:rPr>
          <w:rFonts w:ascii="Garamond" w:hAnsi="Garamond"/>
        </w:rPr>
        <w:t xml:space="preserve"> growth</w:t>
      </w:r>
      <w:r w:rsidRPr="00E626F1">
        <w:rPr>
          <w:rFonts w:ascii="Garamond" w:hAnsi="Garamond"/>
        </w:rPr>
        <w:t>,</w:t>
      </w:r>
      <w:r>
        <w:rPr>
          <w:rFonts w:ascii="Garamond" w:hAnsi="Garamond"/>
        </w:rPr>
        <w:t xml:space="preserve"> and</w:t>
      </w:r>
      <w:r w:rsidRPr="00E626F1">
        <w:rPr>
          <w:rFonts w:ascii="Garamond" w:hAnsi="Garamond"/>
        </w:rPr>
        <w:t xml:space="preserve"> GDP</w:t>
      </w:r>
      <w:r>
        <w:rPr>
          <w:rFonts w:ascii="Garamond" w:hAnsi="Garamond"/>
        </w:rPr>
        <w:t>; s</w:t>
      </w:r>
      <w:r w:rsidRPr="00E626F1">
        <w:rPr>
          <w:rFonts w:ascii="Garamond" w:hAnsi="Garamond"/>
        </w:rPr>
        <w:t xml:space="preserve">ome of them are related to Russia and other former Soviet </w:t>
      </w:r>
      <w:r>
        <w:rPr>
          <w:rFonts w:ascii="Garamond" w:hAnsi="Garamond"/>
        </w:rPr>
        <w:t>state</w:t>
      </w:r>
      <w:r w:rsidRPr="00E626F1">
        <w:rPr>
          <w:rFonts w:ascii="Garamond" w:hAnsi="Garamond"/>
        </w:rPr>
        <w:t xml:space="preserve">s. Overall, the results show that the </w:t>
      </w:r>
      <w:r>
        <w:rPr>
          <w:rFonts w:ascii="Garamond" w:hAnsi="Garamond"/>
        </w:rPr>
        <w:t xml:space="preserve">statistics of </w:t>
      </w:r>
      <w:r w:rsidRPr="00E626F1">
        <w:rPr>
          <w:rFonts w:ascii="Garamond" w:hAnsi="Garamond"/>
        </w:rPr>
        <w:t xml:space="preserve">nighttime light data, especially the luminosity sum, perform well in revealing some macroeconomic information. However, such estimation suffers from </w:t>
      </w:r>
      <w:r>
        <w:rPr>
          <w:rFonts w:ascii="Garamond" w:hAnsi="Garamond"/>
        </w:rPr>
        <w:t>a variety of problems</w:t>
      </w:r>
      <w:r w:rsidRPr="00E626F1">
        <w:rPr>
          <w:rFonts w:ascii="Garamond" w:hAnsi="Garamond"/>
        </w:rPr>
        <w:t xml:space="preserve">. The first limitation is that its ability to approximation varies from setting to setting. </w:t>
      </w:r>
      <w:r>
        <w:rPr>
          <w:rFonts w:ascii="Garamond" w:hAnsi="Garamond"/>
        </w:rPr>
        <w:t>Replacement</w:t>
      </w:r>
      <w:r w:rsidRPr="00E626F1">
        <w:rPr>
          <w:rFonts w:ascii="Garamond" w:hAnsi="Garamond"/>
        </w:rPr>
        <w:t xml:space="preserve"> and aging of satellites cause the inconsistency of night light data, so the data require value adjustment</w:t>
      </w:r>
      <w:r>
        <w:rPr>
          <w:rFonts w:ascii="Garamond" w:hAnsi="Garamond"/>
        </w:rPr>
        <w:t>s</w:t>
      </w:r>
      <w:r w:rsidRPr="00E626F1">
        <w:rPr>
          <w:rFonts w:ascii="Garamond" w:hAnsi="Garamond"/>
        </w:rPr>
        <w:t xml:space="preserve">. </w:t>
      </w:r>
      <w:r>
        <w:rPr>
          <w:rFonts w:ascii="Garamond" w:hAnsi="Garamond"/>
        </w:rPr>
        <w:t>D</w:t>
      </w:r>
      <w:r w:rsidRPr="00E626F1">
        <w:rPr>
          <w:rFonts w:ascii="Garamond" w:hAnsi="Garamond"/>
        </w:rPr>
        <w:t xml:space="preserve">ata </w:t>
      </w:r>
      <w:r>
        <w:rPr>
          <w:rFonts w:ascii="Garamond" w:hAnsi="Garamond"/>
        </w:rPr>
        <w:t>also can</w:t>
      </w:r>
      <w:r w:rsidRPr="00E626F1">
        <w:rPr>
          <w:rFonts w:ascii="Garamond" w:hAnsi="Garamond"/>
        </w:rPr>
        <w:t xml:space="preserve"> be easily contaminated, causing inaccurate results when focusing on specific aspects, such as urbanization.</w:t>
      </w:r>
    </w:p>
    <w:p w14:paraId="47E4F122" w14:textId="77777777" w:rsidR="00406F43" w:rsidRPr="00E626F1" w:rsidRDefault="00406F43" w:rsidP="00406F43">
      <w:pPr>
        <w:spacing w:line="480" w:lineRule="auto"/>
        <w:jc w:val="both"/>
        <w:rPr>
          <w:rFonts w:ascii="Garamond" w:hAnsi="Garamond"/>
        </w:rPr>
      </w:pPr>
    </w:p>
    <w:p w14:paraId="3503821D" w14:textId="77777777" w:rsidR="00406F43" w:rsidRPr="00E626F1" w:rsidRDefault="00406F43" w:rsidP="00406F43">
      <w:pPr>
        <w:spacing w:line="480" w:lineRule="auto"/>
        <w:ind w:firstLine="720"/>
        <w:jc w:val="both"/>
        <w:rPr>
          <w:rFonts w:ascii="Garamond" w:hAnsi="Garamond"/>
        </w:rPr>
      </w:pPr>
      <w:r w:rsidRPr="00E626F1">
        <w:rPr>
          <w:rFonts w:ascii="Garamond" w:hAnsi="Garamond"/>
        </w:rPr>
        <w:t>Extensive researchers have used the nighttime light data to detect the urbanization process in different countries or areas. Mellander</w:t>
      </w:r>
      <w:r>
        <w:rPr>
          <w:rFonts w:ascii="Garamond" w:hAnsi="Garamond"/>
        </w:rPr>
        <w:t xml:space="preserve"> et al.</w:t>
      </w:r>
      <w:r w:rsidRPr="00E626F1">
        <w:rPr>
          <w:rFonts w:ascii="Garamond" w:hAnsi="Garamond"/>
        </w:rPr>
        <w:t xml:space="preserve"> (2015) use nighttime light (NTL) data in Sweden and </w:t>
      </w:r>
      <w:r>
        <w:rPr>
          <w:rFonts w:ascii="Garamond" w:hAnsi="Garamond"/>
        </w:rPr>
        <w:t>conclude that</w:t>
      </w:r>
      <w:r w:rsidRPr="00E626F1">
        <w:rPr>
          <w:rFonts w:ascii="Garamond" w:hAnsi="Garamond"/>
        </w:rPr>
        <w:t xml:space="preserve"> NTL data could be an excellent indicator of the urbanization process in OECD countries. While Stathakis</w:t>
      </w:r>
      <w:r>
        <w:rPr>
          <w:rFonts w:ascii="Garamond" w:hAnsi="Garamond"/>
        </w:rPr>
        <w:t xml:space="preserve"> et al.</w:t>
      </w:r>
      <w:r w:rsidRPr="00E626F1">
        <w:rPr>
          <w:rFonts w:ascii="Garamond" w:hAnsi="Garamond"/>
        </w:rPr>
        <w:t xml:space="preserve"> (2015) focus on Europe, they employ the sum of lights per region to capture the urbanization process, </w:t>
      </w:r>
      <w:r>
        <w:rPr>
          <w:rFonts w:ascii="Garamond" w:hAnsi="Garamond"/>
        </w:rPr>
        <w:t>finding</w:t>
      </w:r>
      <w:r w:rsidRPr="00E626F1">
        <w:rPr>
          <w:rFonts w:ascii="Garamond" w:hAnsi="Garamond"/>
        </w:rPr>
        <w:t xml:space="preserve"> that different European regions have various urbanization patterns. Furthermore, Gao</w:t>
      </w:r>
      <w:r>
        <w:rPr>
          <w:rFonts w:ascii="Garamond" w:hAnsi="Garamond"/>
        </w:rPr>
        <w:t xml:space="preserve"> et al.</w:t>
      </w:r>
      <w:r w:rsidRPr="00E626F1">
        <w:rPr>
          <w:rFonts w:ascii="Garamond" w:hAnsi="Garamond"/>
        </w:rPr>
        <w:t xml:space="preserve"> (2015) use </w:t>
      </w:r>
      <w:r>
        <w:rPr>
          <w:rFonts w:ascii="Garamond" w:hAnsi="Garamond"/>
        </w:rPr>
        <w:t>a</w:t>
      </w:r>
      <w:r w:rsidRPr="00E626F1">
        <w:rPr>
          <w:rFonts w:ascii="Garamond" w:hAnsi="Garamond"/>
        </w:rPr>
        <w:t xml:space="preserve"> Compounded Night Light Index </w:t>
      </w:r>
      <w:r>
        <w:rPr>
          <w:rFonts w:ascii="Garamond" w:hAnsi="Garamond"/>
        </w:rPr>
        <w:t xml:space="preserve">(CNLI) </w:t>
      </w:r>
      <w:r w:rsidRPr="00E626F1">
        <w:rPr>
          <w:rFonts w:ascii="Garamond" w:hAnsi="Garamond"/>
        </w:rPr>
        <w:t xml:space="preserve">to measure the urbanization level of different administration levels in China. They indicate that from 1992 to 2012, the urbanization levels increased dramatically, but the regional-level variants on development speed are also quite large, where the overall levels of eastern provinces experienced a much higher growth rate than western provinces (Gao et al., 2015). Also focusing on China, </w:t>
      </w:r>
      <w:r>
        <w:rPr>
          <w:rFonts w:ascii="Garamond" w:hAnsi="Garamond"/>
        </w:rPr>
        <w:t>Yi et al. (2014)</w:t>
      </w:r>
      <w:r w:rsidRPr="00E626F1">
        <w:rPr>
          <w:rFonts w:ascii="Garamond" w:hAnsi="Garamond"/>
        </w:rPr>
        <w:t xml:space="preserve"> </w:t>
      </w:r>
      <w:proofErr w:type="gramStart"/>
      <w:r w:rsidRPr="00E626F1">
        <w:rPr>
          <w:rFonts w:ascii="Garamond" w:hAnsi="Garamond"/>
        </w:rPr>
        <w:t>create</w:t>
      </w:r>
      <w:proofErr w:type="gramEnd"/>
      <w:r>
        <w:rPr>
          <w:rFonts w:ascii="Garamond" w:hAnsi="Garamond"/>
        </w:rPr>
        <w:t xml:space="preserve"> </w:t>
      </w:r>
      <w:r w:rsidRPr="00E626F1">
        <w:rPr>
          <w:rFonts w:ascii="Garamond" w:hAnsi="Garamond"/>
        </w:rPr>
        <w:t xml:space="preserve">an index based on the nighttime light data, called the urban light index (NLI), </w:t>
      </w:r>
      <w:r>
        <w:rPr>
          <w:rFonts w:ascii="Garamond" w:hAnsi="Garamond"/>
        </w:rPr>
        <w:t>finding a</w:t>
      </w:r>
      <w:r w:rsidRPr="00E626F1">
        <w:rPr>
          <w:rFonts w:ascii="Garamond" w:hAnsi="Garamond"/>
        </w:rPr>
        <w:t xml:space="preserve"> strong </w:t>
      </w:r>
      <w:r>
        <w:rPr>
          <w:rFonts w:ascii="Garamond" w:hAnsi="Garamond"/>
        </w:rPr>
        <w:t>link</w:t>
      </w:r>
      <w:r w:rsidRPr="00E626F1">
        <w:rPr>
          <w:rFonts w:ascii="Garamond" w:hAnsi="Garamond"/>
        </w:rPr>
        <w:t xml:space="preserve"> between NLI and urban space evolution. As for employing the nighttime light data in Russia, </w:t>
      </w:r>
      <w:r>
        <w:rPr>
          <w:rFonts w:ascii="Garamond" w:hAnsi="Garamond"/>
        </w:rPr>
        <w:t>Fan et al. (2018) conclude</w:t>
      </w:r>
      <w:r w:rsidRPr="00E626F1">
        <w:rPr>
          <w:rFonts w:ascii="Garamond" w:hAnsi="Garamond"/>
        </w:rPr>
        <w:t xml:space="preserve"> that</w:t>
      </w:r>
      <w:r>
        <w:rPr>
          <w:rFonts w:ascii="Garamond" w:hAnsi="Garamond"/>
        </w:rPr>
        <w:t>,</w:t>
      </w:r>
      <w:r w:rsidRPr="00E626F1">
        <w:rPr>
          <w:rFonts w:ascii="Garamond" w:hAnsi="Garamond"/>
        </w:rPr>
        <w:t xml:space="preserve"> even with the population decline after the dissolution of the USSR, Russian cities in </w:t>
      </w:r>
      <w:r w:rsidRPr="00E626F1">
        <w:rPr>
          <w:rFonts w:ascii="Garamond" w:hAnsi="Garamond"/>
        </w:rPr>
        <w:lastRenderedPageBreak/>
        <w:t xml:space="preserve">Asian areas experienced an increased urban light luminosity after calibration, showing </w:t>
      </w:r>
      <w:r>
        <w:rPr>
          <w:rFonts w:ascii="Garamond" w:hAnsi="Garamond"/>
        </w:rPr>
        <w:t>that urban</w:t>
      </w:r>
      <w:r w:rsidRPr="00E626F1">
        <w:rPr>
          <w:rFonts w:ascii="Garamond" w:hAnsi="Garamond"/>
        </w:rPr>
        <w:t xml:space="preserve"> expansion happened in these places. In sum, nighttime light data </w:t>
      </w:r>
      <w:r>
        <w:rPr>
          <w:rFonts w:ascii="Garamond" w:hAnsi="Garamond"/>
        </w:rPr>
        <w:t>appear to be</w:t>
      </w:r>
      <w:r w:rsidRPr="00E626F1">
        <w:rPr>
          <w:rFonts w:ascii="Garamond" w:hAnsi="Garamond"/>
        </w:rPr>
        <w:t xml:space="preserve"> an excellent resource to track city expansion and the urbanization process, but this estimation requires the inter-calibration of the dataset.</w:t>
      </w:r>
    </w:p>
    <w:p w14:paraId="62A3676D" w14:textId="77777777" w:rsidR="00406F43" w:rsidRPr="00E626F1" w:rsidRDefault="00406F43" w:rsidP="00406F43">
      <w:pPr>
        <w:spacing w:line="480" w:lineRule="auto"/>
        <w:jc w:val="both"/>
        <w:rPr>
          <w:rFonts w:ascii="Garamond" w:hAnsi="Garamond"/>
        </w:rPr>
      </w:pPr>
    </w:p>
    <w:p w14:paraId="31C3B915" w14:textId="77777777" w:rsidR="00406F43" w:rsidRDefault="00406F43" w:rsidP="00406F43">
      <w:pPr>
        <w:spacing w:line="480" w:lineRule="auto"/>
        <w:ind w:firstLine="720"/>
        <w:jc w:val="both"/>
        <w:rPr>
          <w:rFonts w:ascii="Garamond" w:hAnsi="Garamond"/>
        </w:rPr>
      </w:pPr>
      <w:r w:rsidRPr="00E626F1">
        <w:rPr>
          <w:rFonts w:ascii="Garamond" w:hAnsi="Garamond"/>
        </w:rPr>
        <w:t>Although Mellander</w:t>
      </w:r>
      <w:r>
        <w:rPr>
          <w:rFonts w:ascii="Garamond" w:hAnsi="Garamond"/>
        </w:rPr>
        <w:t xml:space="preserve"> et al.</w:t>
      </w:r>
      <w:r w:rsidRPr="00E626F1">
        <w:rPr>
          <w:rFonts w:ascii="Garamond" w:hAnsi="Garamond"/>
        </w:rPr>
        <w:t xml:space="preserve"> (2015)</w:t>
      </w:r>
      <w:r>
        <w:rPr>
          <w:rFonts w:ascii="Garamond" w:hAnsi="Garamond"/>
        </w:rPr>
        <w:t xml:space="preserve"> </w:t>
      </w:r>
      <w:r w:rsidRPr="00E626F1">
        <w:rPr>
          <w:rFonts w:ascii="Garamond" w:hAnsi="Garamond"/>
        </w:rPr>
        <w:t>clai</w:t>
      </w:r>
      <w:r>
        <w:rPr>
          <w:rFonts w:ascii="Garamond" w:hAnsi="Garamond"/>
        </w:rPr>
        <w:t xml:space="preserve">m </w:t>
      </w:r>
      <w:r w:rsidRPr="00E626F1">
        <w:rPr>
          <w:rFonts w:ascii="Garamond" w:hAnsi="Garamond"/>
        </w:rPr>
        <w:t xml:space="preserve">that NTL data </w:t>
      </w:r>
      <w:r>
        <w:rPr>
          <w:rFonts w:ascii="Garamond" w:hAnsi="Garamond"/>
        </w:rPr>
        <w:t>are useful</w:t>
      </w:r>
      <w:r w:rsidRPr="00E626F1">
        <w:rPr>
          <w:rFonts w:ascii="Garamond" w:hAnsi="Garamond"/>
        </w:rPr>
        <w:t xml:space="preserve"> for a</w:t>
      </w:r>
      <w:r>
        <w:rPr>
          <w:rFonts w:ascii="Garamond" w:hAnsi="Garamond"/>
        </w:rPr>
        <w:t>nalyzing</w:t>
      </w:r>
      <w:r w:rsidRPr="00E626F1">
        <w:rPr>
          <w:rFonts w:ascii="Garamond" w:hAnsi="Garamond"/>
        </w:rPr>
        <w:t xml:space="preserve"> urban expansion and activities, they also </w:t>
      </w:r>
      <w:r>
        <w:rPr>
          <w:rFonts w:ascii="Garamond" w:hAnsi="Garamond" w:hint="eastAsia"/>
        </w:rPr>
        <w:t>ar</w:t>
      </w:r>
      <w:r>
        <w:rPr>
          <w:rFonts w:ascii="Garamond" w:hAnsi="Garamond"/>
        </w:rPr>
        <w:t>gue</w:t>
      </w:r>
      <w:r w:rsidRPr="00E626F1">
        <w:rPr>
          <w:rFonts w:ascii="Garamond" w:hAnsi="Garamond"/>
        </w:rPr>
        <w:t xml:space="preserve"> that using the</w:t>
      </w:r>
      <w:r>
        <w:rPr>
          <w:rFonts w:ascii="Garamond" w:hAnsi="Garamond"/>
        </w:rPr>
        <w:t>se</w:t>
      </w:r>
      <w:r w:rsidRPr="00E626F1">
        <w:rPr>
          <w:rFonts w:ascii="Garamond" w:hAnsi="Garamond"/>
        </w:rPr>
        <w:t xml:space="preserve"> data to represent the aggregate economic output </w:t>
      </w:r>
      <w:r>
        <w:rPr>
          <w:rFonts w:ascii="Garamond" w:hAnsi="Garamond"/>
        </w:rPr>
        <w:t>is</w:t>
      </w:r>
      <w:r w:rsidRPr="00E626F1">
        <w:rPr>
          <w:rFonts w:ascii="Garamond" w:hAnsi="Garamond"/>
        </w:rPr>
        <w:t xml:space="preserve"> problematic because after the income levels hit a certain threshold, rising earning</w:t>
      </w:r>
      <w:r>
        <w:rPr>
          <w:rFonts w:ascii="Garamond" w:hAnsi="Garamond"/>
        </w:rPr>
        <w:t>s are un</w:t>
      </w:r>
      <w:r w:rsidRPr="00E626F1">
        <w:rPr>
          <w:rFonts w:ascii="Garamond" w:hAnsi="Garamond"/>
        </w:rPr>
        <w:t>relate</w:t>
      </w:r>
      <w:r>
        <w:rPr>
          <w:rFonts w:ascii="Garamond" w:hAnsi="Garamond"/>
        </w:rPr>
        <w:t>d</w:t>
      </w:r>
      <w:r w:rsidRPr="00E626F1">
        <w:rPr>
          <w:rFonts w:ascii="Garamond" w:hAnsi="Garamond"/>
        </w:rPr>
        <w:t xml:space="preserve"> to</w:t>
      </w:r>
      <w:r>
        <w:rPr>
          <w:rFonts w:ascii="Garamond" w:hAnsi="Garamond"/>
        </w:rPr>
        <w:t xml:space="preserve"> night light growth</w:t>
      </w:r>
      <w:r w:rsidRPr="00E626F1">
        <w:rPr>
          <w:rFonts w:ascii="Garamond" w:hAnsi="Garamond"/>
        </w:rPr>
        <w:t xml:space="preserve">. </w:t>
      </w:r>
      <w:r>
        <w:rPr>
          <w:rFonts w:ascii="Garamond" w:hAnsi="Garamond"/>
        </w:rPr>
        <w:t>Nevertheless</w:t>
      </w:r>
      <w:r w:rsidRPr="00E626F1">
        <w:rPr>
          <w:rFonts w:ascii="Garamond" w:hAnsi="Garamond"/>
        </w:rPr>
        <w:t xml:space="preserve">, many researchers have tried to use NTL </w:t>
      </w:r>
      <w:r>
        <w:rPr>
          <w:rFonts w:ascii="Garamond" w:hAnsi="Garamond"/>
        </w:rPr>
        <w:t>as a measure of economic</w:t>
      </w:r>
      <w:r w:rsidRPr="00E626F1">
        <w:rPr>
          <w:rFonts w:ascii="Garamond" w:hAnsi="Garamond"/>
        </w:rPr>
        <w:t xml:space="preserve"> development </w:t>
      </w:r>
      <w:r>
        <w:rPr>
          <w:rFonts w:ascii="Garamond" w:hAnsi="Garamond"/>
        </w:rPr>
        <w:t>in lower- and middle-income countries. Eldridge et al. (2012)</w:t>
      </w:r>
      <w:r w:rsidRPr="00E626F1">
        <w:rPr>
          <w:rFonts w:ascii="Garamond" w:hAnsi="Garamond"/>
        </w:rPr>
        <w:t xml:space="preserve"> use NTL and population density data to develop </w:t>
      </w:r>
      <w:r>
        <w:rPr>
          <w:rFonts w:ascii="Garamond" w:hAnsi="Garamond"/>
        </w:rPr>
        <w:t xml:space="preserve">a </w:t>
      </w:r>
      <w:r w:rsidRPr="00E626F1">
        <w:rPr>
          <w:rFonts w:ascii="Garamond" w:hAnsi="Garamond"/>
        </w:rPr>
        <w:t xml:space="preserve">Night Light Development Index to measure spatial development </w:t>
      </w:r>
      <w:r>
        <w:rPr>
          <w:rFonts w:ascii="Garamond" w:hAnsi="Garamond"/>
        </w:rPr>
        <w:t>patterns</w:t>
      </w:r>
      <w:r w:rsidRPr="00E626F1">
        <w:rPr>
          <w:rFonts w:ascii="Garamond" w:hAnsi="Garamond"/>
        </w:rPr>
        <w:t xml:space="preserve"> in different countries. They f</w:t>
      </w:r>
      <w:r>
        <w:rPr>
          <w:rFonts w:ascii="Garamond" w:hAnsi="Garamond"/>
        </w:rPr>
        <w:t>ind</w:t>
      </w:r>
      <w:r w:rsidRPr="00E626F1">
        <w:rPr>
          <w:rFonts w:ascii="Garamond" w:hAnsi="Garamond"/>
        </w:rPr>
        <w:t xml:space="preserve"> out this index has strong correlations with </w:t>
      </w:r>
      <w:r>
        <w:rPr>
          <w:rFonts w:ascii="Garamond" w:hAnsi="Garamond"/>
        </w:rPr>
        <w:t xml:space="preserve">the UN’s </w:t>
      </w:r>
      <w:r w:rsidRPr="00E626F1">
        <w:rPr>
          <w:rFonts w:ascii="Garamond" w:hAnsi="Garamond"/>
        </w:rPr>
        <w:t xml:space="preserve">Human Development Index, </w:t>
      </w:r>
      <w:r>
        <w:rPr>
          <w:rFonts w:ascii="Garamond" w:hAnsi="Garamond"/>
        </w:rPr>
        <w:t xml:space="preserve">as well as </w:t>
      </w:r>
      <w:r w:rsidRPr="00E626F1">
        <w:rPr>
          <w:rFonts w:ascii="Garamond" w:hAnsi="Garamond"/>
        </w:rPr>
        <w:t>the poverty rate</w:t>
      </w:r>
      <w:r>
        <w:rPr>
          <w:rFonts w:ascii="Garamond" w:hAnsi="Garamond"/>
        </w:rPr>
        <w:t>s</w:t>
      </w:r>
      <w:r w:rsidRPr="00E626F1">
        <w:rPr>
          <w:rFonts w:ascii="Garamond" w:hAnsi="Garamond"/>
        </w:rPr>
        <w:t xml:space="preserve"> at the country level (Elvidge et al., 2012). Sutton</w:t>
      </w:r>
      <w:r>
        <w:rPr>
          <w:rFonts w:ascii="Garamond" w:hAnsi="Garamond"/>
        </w:rPr>
        <w:t xml:space="preserve"> et al. (2007)</w:t>
      </w:r>
      <w:r w:rsidRPr="00E626F1">
        <w:rPr>
          <w:rFonts w:ascii="Garamond" w:hAnsi="Garamond"/>
        </w:rPr>
        <w:t xml:space="preserve"> tr</w:t>
      </w:r>
      <w:r>
        <w:rPr>
          <w:rFonts w:ascii="Garamond" w:hAnsi="Garamond"/>
        </w:rPr>
        <w:t xml:space="preserve">y </w:t>
      </w:r>
      <w:r w:rsidRPr="00E626F1">
        <w:rPr>
          <w:rFonts w:ascii="Garamond" w:hAnsi="Garamond"/>
        </w:rPr>
        <w:t>two methods to measure the GDP of China, India, Turkey, and the US in 2000</w:t>
      </w:r>
      <w:r>
        <w:rPr>
          <w:rFonts w:ascii="Garamond" w:hAnsi="Garamond"/>
        </w:rPr>
        <w:t xml:space="preserve">, </w:t>
      </w:r>
      <w:r w:rsidRPr="00E626F1">
        <w:rPr>
          <w:rFonts w:ascii="Garamond" w:hAnsi="Garamond"/>
        </w:rPr>
        <w:t xml:space="preserve">one </w:t>
      </w:r>
      <w:r>
        <w:rPr>
          <w:rFonts w:ascii="Garamond" w:hAnsi="Garamond"/>
        </w:rPr>
        <w:t>using</w:t>
      </w:r>
      <w:r w:rsidRPr="00E626F1">
        <w:rPr>
          <w:rFonts w:ascii="Garamond" w:hAnsi="Garamond"/>
        </w:rPr>
        <w:t xml:space="preserve"> the sum of night light </w:t>
      </w:r>
      <w:proofErr w:type="gramStart"/>
      <w:r w:rsidRPr="00E626F1">
        <w:rPr>
          <w:rFonts w:ascii="Garamond" w:hAnsi="Garamond"/>
        </w:rPr>
        <w:t>intensity;</w:t>
      </w:r>
      <w:proofErr w:type="gramEnd"/>
      <w:r w:rsidRPr="00E626F1">
        <w:rPr>
          <w:rFonts w:ascii="Garamond" w:hAnsi="Garamond"/>
        </w:rPr>
        <w:t xml:space="preserve"> the other </w:t>
      </w:r>
      <w:r>
        <w:rPr>
          <w:rFonts w:ascii="Garamond" w:hAnsi="Garamond"/>
        </w:rPr>
        <w:t>using</w:t>
      </w:r>
      <w:r w:rsidRPr="00E626F1">
        <w:rPr>
          <w:rFonts w:ascii="Garamond" w:hAnsi="Garamond"/>
        </w:rPr>
        <w:t xml:space="preserve"> a spatial analysis. Their results show that using the NTL data to measure GDP is crude, but</w:t>
      </w:r>
      <w:r>
        <w:rPr>
          <w:rFonts w:ascii="Garamond" w:hAnsi="Garamond"/>
        </w:rPr>
        <w:t xml:space="preserve"> that</w:t>
      </w:r>
      <w:r w:rsidRPr="00E626F1">
        <w:rPr>
          <w:rFonts w:ascii="Garamond" w:hAnsi="Garamond"/>
        </w:rPr>
        <w:t xml:space="preserve"> the results are statistically significant so that they claim such methods could be helpful to approach the actual economic situation of </w:t>
      </w:r>
      <w:r>
        <w:rPr>
          <w:rFonts w:ascii="Garamond" w:hAnsi="Garamond"/>
        </w:rPr>
        <w:t xml:space="preserve">less </w:t>
      </w:r>
      <w:r w:rsidRPr="00E626F1">
        <w:rPr>
          <w:rFonts w:ascii="Garamond" w:hAnsi="Garamond"/>
        </w:rPr>
        <w:t xml:space="preserve">developed economies (Sutton et al., 2007). Chen and Nordhaus (2001) also state that the luminosity could work as a good proxy of economic output for </w:t>
      </w:r>
      <w:proofErr w:type="gramStart"/>
      <w:r>
        <w:rPr>
          <w:rFonts w:ascii="Garamond" w:hAnsi="Garamond"/>
        </w:rPr>
        <w:t>low income</w:t>
      </w:r>
      <w:proofErr w:type="gramEnd"/>
      <w:r w:rsidRPr="00E626F1">
        <w:rPr>
          <w:rFonts w:ascii="Garamond" w:hAnsi="Garamond"/>
        </w:rPr>
        <w:t xml:space="preserve"> countries, especially for those with poorly statistical systems, while for other countries, the approximation is relatively limited. </w:t>
      </w:r>
    </w:p>
    <w:p w14:paraId="3CA03777" w14:textId="77777777" w:rsidR="00406F43" w:rsidRDefault="00406F43" w:rsidP="00406F43">
      <w:pPr>
        <w:spacing w:line="480" w:lineRule="auto"/>
        <w:jc w:val="both"/>
        <w:rPr>
          <w:rFonts w:ascii="Garamond" w:hAnsi="Garamond"/>
        </w:rPr>
      </w:pPr>
    </w:p>
    <w:p w14:paraId="697CAC17" w14:textId="77777777" w:rsidR="00406F43" w:rsidRPr="00E626F1" w:rsidRDefault="00406F43" w:rsidP="00406F43">
      <w:pPr>
        <w:spacing w:line="480" w:lineRule="auto"/>
        <w:ind w:firstLine="720"/>
        <w:jc w:val="both"/>
        <w:rPr>
          <w:rFonts w:ascii="Garamond" w:hAnsi="Garamond"/>
        </w:rPr>
      </w:pPr>
      <w:r w:rsidRPr="00E626F1">
        <w:rPr>
          <w:rFonts w:ascii="Garamond" w:hAnsi="Garamond"/>
        </w:rPr>
        <w:t xml:space="preserve">As for Russia, </w:t>
      </w:r>
      <w:proofErr w:type="gramStart"/>
      <w:r w:rsidRPr="00E626F1">
        <w:rPr>
          <w:rFonts w:ascii="Garamond" w:hAnsi="Garamond"/>
        </w:rPr>
        <w:t>Bennett</w:t>
      </w:r>
      <w:proofErr w:type="gramEnd"/>
      <w:r w:rsidRPr="00E626F1">
        <w:rPr>
          <w:rFonts w:ascii="Garamond" w:hAnsi="Garamond"/>
        </w:rPr>
        <w:t xml:space="preserve"> and Smith (2017) show that lights are significant predictors of GDP, especially for places with huge corruption problems, but they also mention that such prediction might not be appli</w:t>
      </w:r>
      <w:r>
        <w:rPr>
          <w:rFonts w:ascii="Garamond" w:hAnsi="Garamond"/>
        </w:rPr>
        <w:t>c</w:t>
      </w:r>
      <w:r w:rsidRPr="00E626F1">
        <w:rPr>
          <w:rFonts w:ascii="Garamond" w:hAnsi="Garamond"/>
        </w:rPr>
        <w:t xml:space="preserve">able during </w:t>
      </w:r>
      <w:r>
        <w:rPr>
          <w:rFonts w:ascii="Garamond" w:hAnsi="Garamond"/>
        </w:rPr>
        <w:t xml:space="preserve">periods of </w:t>
      </w:r>
      <w:r w:rsidRPr="00E626F1">
        <w:rPr>
          <w:rFonts w:ascii="Garamond" w:hAnsi="Garamond"/>
        </w:rPr>
        <w:t xml:space="preserve">depopulation, economic decline, and other types of reverse </w:t>
      </w:r>
      <w:r w:rsidRPr="00E626F1">
        <w:rPr>
          <w:rFonts w:ascii="Garamond" w:hAnsi="Garamond"/>
        </w:rPr>
        <w:lastRenderedPageBreak/>
        <w:t xml:space="preserve">development. In sum, using the NTL data to estimate the Gross Domestic Product (GDP) </w:t>
      </w:r>
      <w:r>
        <w:rPr>
          <w:rFonts w:ascii="Garamond" w:hAnsi="Garamond"/>
        </w:rPr>
        <w:t xml:space="preserve">is a plausible and well-established approach, </w:t>
      </w:r>
      <w:r w:rsidRPr="00E626F1">
        <w:rPr>
          <w:rFonts w:ascii="Garamond" w:hAnsi="Garamond"/>
        </w:rPr>
        <w:t>but the approximation ability of such measurement decreases along with the countries' development or during reverse development periods</w:t>
      </w:r>
      <w:r>
        <w:rPr>
          <w:rFonts w:ascii="Garamond" w:hAnsi="Garamond"/>
        </w:rPr>
        <w:t xml:space="preserve">, as luminosity may not decline during stagnation eras. </w:t>
      </w:r>
    </w:p>
    <w:p w14:paraId="6EE2E2B7" w14:textId="77777777" w:rsidR="00406F43" w:rsidRPr="00E626F1" w:rsidRDefault="00406F43" w:rsidP="00406F43">
      <w:pPr>
        <w:spacing w:line="480" w:lineRule="auto"/>
        <w:jc w:val="both"/>
        <w:rPr>
          <w:rFonts w:ascii="Garamond" w:hAnsi="Garamond"/>
        </w:rPr>
      </w:pPr>
    </w:p>
    <w:p w14:paraId="11208A0F" w14:textId="77777777" w:rsidR="00406F43" w:rsidRDefault="00406F43" w:rsidP="00406F43">
      <w:pPr>
        <w:spacing w:line="480" w:lineRule="auto"/>
        <w:ind w:firstLine="720"/>
        <w:jc w:val="both"/>
        <w:rPr>
          <w:rFonts w:ascii="Garamond" w:hAnsi="Garamond"/>
        </w:rPr>
      </w:pPr>
      <w:r w:rsidRPr="00E626F1">
        <w:rPr>
          <w:rFonts w:ascii="Garamond" w:hAnsi="Garamond"/>
        </w:rPr>
        <w:t xml:space="preserve">In addition to urbanization and GDP, researchers have used the nighttime light data to estimate other economic </w:t>
      </w:r>
      <w:r>
        <w:rPr>
          <w:rFonts w:ascii="Garamond" w:hAnsi="Garamond"/>
        </w:rPr>
        <w:t>and social indicators</w:t>
      </w:r>
      <w:r w:rsidRPr="00E626F1">
        <w:rPr>
          <w:rFonts w:ascii="Garamond" w:hAnsi="Garamond"/>
        </w:rPr>
        <w:t xml:space="preserve">, </w:t>
      </w:r>
      <w:r>
        <w:rPr>
          <w:rFonts w:ascii="Garamond" w:hAnsi="Garamond"/>
        </w:rPr>
        <w:t>including</w:t>
      </w:r>
      <w:r w:rsidRPr="00E626F1">
        <w:rPr>
          <w:rFonts w:ascii="Garamond" w:hAnsi="Garamond"/>
        </w:rPr>
        <w:t xml:space="preserve"> population density, urban population, population mobility, and electric</w:t>
      </w:r>
      <w:r>
        <w:rPr>
          <w:rFonts w:ascii="Garamond" w:hAnsi="Garamond" w:hint="eastAsia"/>
        </w:rPr>
        <w:t>ity</w:t>
      </w:r>
      <w:r w:rsidRPr="00E626F1">
        <w:rPr>
          <w:rFonts w:ascii="Garamond" w:hAnsi="Garamond"/>
        </w:rPr>
        <w:t xml:space="preserve"> consumption. Zhuo</w:t>
      </w:r>
      <w:r>
        <w:rPr>
          <w:rFonts w:ascii="Garamond" w:hAnsi="Garamond"/>
        </w:rPr>
        <w:t xml:space="preserve"> et al.</w:t>
      </w:r>
      <w:r w:rsidRPr="00E626F1">
        <w:rPr>
          <w:rFonts w:ascii="Garamond" w:hAnsi="Garamond"/>
        </w:rPr>
        <w:t xml:space="preserve"> (2009) employ</w:t>
      </w:r>
      <w:r>
        <w:rPr>
          <w:rFonts w:ascii="Garamond" w:hAnsi="Garamond"/>
        </w:rPr>
        <w:t xml:space="preserve"> </w:t>
      </w:r>
      <w:r w:rsidRPr="00E626F1">
        <w:rPr>
          <w:rFonts w:ascii="Garamond" w:hAnsi="Garamond"/>
        </w:rPr>
        <w:t xml:space="preserve">NTL data to estimate </w:t>
      </w:r>
      <w:r>
        <w:rPr>
          <w:rFonts w:ascii="Garamond" w:hAnsi="Garamond"/>
        </w:rPr>
        <w:t>Chinese</w:t>
      </w:r>
      <w:r w:rsidRPr="00E626F1">
        <w:rPr>
          <w:rFonts w:ascii="Garamond" w:hAnsi="Garamond"/>
        </w:rPr>
        <w:t xml:space="preserve"> population density</w:t>
      </w:r>
      <w:r>
        <w:rPr>
          <w:rFonts w:ascii="Garamond" w:hAnsi="Garamond"/>
        </w:rPr>
        <w:t>. Their</w:t>
      </w:r>
      <w:r w:rsidRPr="00E626F1">
        <w:rPr>
          <w:rFonts w:ascii="Garamond" w:hAnsi="Garamond"/>
        </w:rPr>
        <w:t xml:space="preserve"> results </w:t>
      </w:r>
      <w:r>
        <w:rPr>
          <w:rFonts w:ascii="Garamond" w:hAnsi="Garamond"/>
        </w:rPr>
        <w:t>closely match</w:t>
      </w:r>
      <w:r w:rsidRPr="00E626F1">
        <w:rPr>
          <w:rFonts w:ascii="Garamond" w:hAnsi="Garamond"/>
        </w:rPr>
        <w:t xml:space="preserve"> to other studies of Chinese population density, </w:t>
      </w:r>
      <w:r>
        <w:rPr>
          <w:rFonts w:ascii="Garamond" w:hAnsi="Garamond"/>
        </w:rPr>
        <w:t>indicating that</w:t>
      </w:r>
      <w:r w:rsidRPr="00E626F1">
        <w:rPr>
          <w:rFonts w:ascii="Garamond" w:hAnsi="Garamond"/>
        </w:rPr>
        <w:t xml:space="preserve"> NTL data could work as a good proxy of population distribution. However, using NTL data to measure the population density could be problematic because the results could be contaminated by those workplaces whose population density is low, but night light intensity is high (Elvidge et al., 1999). Based on the results from Huang</w:t>
      </w:r>
      <w:r>
        <w:rPr>
          <w:rFonts w:ascii="Garamond" w:hAnsi="Garamond"/>
        </w:rPr>
        <w:t xml:space="preserve"> et al.</w:t>
      </w:r>
      <w:r w:rsidRPr="00E626F1">
        <w:rPr>
          <w:rFonts w:ascii="Garamond" w:hAnsi="Garamond"/>
        </w:rPr>
        <w:t xml:space="preserve"> (2016), nighttime light data </w:t>
      </w:r>
      <w:r>
        <w:rPr>
          <w:rFonts w:ascii="Garamond" w:hAnsi="Garamond"/>
        </w:rPr>
        <w:t>are</w:t>
      </w:r>
      <w:r w:rsidRPr="00E626F1">
        <w:rPr>
          <w:rFonts w:ascii="Garamond" w:hAnsi="Garamond"/>
        </w:rPr>
        <w:t xml:space="preserve"> significantly related to the urban population</w:t>
      </w:r>
      <w:r>
        <w:rPr>
          <w:rFonts w:ascii="Garamond" w:hAnsi="Garamond"/>
        </w:rPr>
        <w:t>s</w:t>
      </w:r>
      <w:r w:rsidRPr="00E626F1">
        <w:rPr>
          <w:rFonts w:ascii="Garamond" w:hAnsi="Garamond"/>
        </w:rPr>
        <w:t xml:space="preserve">, especially in countries with an ongoing urbanization process and a considerable inflow of city population. </w:t>
      </w:r>
    </w:p>
    <w:p w14:paraId="285D136E" w14:textId="77777777" w:rsidR="00406F43" w:rsidRDefault="00406F43" w:rsidP="00406F43">
      <w:pPr>
        <w:spacing w:line="480" w:lineRule="auto"/>
        <w:ind w:firstLine="720"/>
        <w:jc w:val="both"/>
        <w:rPr>
          <w:rFonts w:ascii="Garamond" w:hAnsi="Garamond"/>
        </w:rPr>
      </w:pPr>
    </w:p>
    <w:p w14:paraId="15BF1C5C" w14:textId="77777777" w:rsidR="00406F43" w:rsidRDefault="00406F43" w:rsidP="00406F43">
      <w:pPr>
        <w:spacing w:line="480" w:lineRule="auto"/>
        <w:ind w:firstLine="720"/>
        <w:jc w:val="both"/>
        <w:rPr>
          <w:rFonts w:ascii="Garamond" w:hAnsi="Garamond"/>
        </w:rPr>
      </w:pPr>
      <w:r>
        <w:rPr>
          <w:rFonts w:ascii="Garamond" w:hAnsi="Garamond"/>
        </w:rPr>
        <w:t xml:space="preserve">Turning to other uses, </w:t>
      </w:r>
      <w:r w:rsidRPr="00E626F1">
        <w:rPr>
          <w:rFonts w:ascii="Garamond" w:hAnsi="Garamond"/>
        </w:rPr>
        <w:t>Sheludekov and Starikova (2020) use nighttime light data to investigate the second home mobility in rural Russia, and they also checked the influence of COVID-19 on second home mobility. As for electric</w:t>
      </w:r>
      <w:r>
        <w:rPr>
          <w:rFonts w:ascii="Garamond" w:hAnsi="Garamond"/>
        </w:rPr>
        <w:t xml:space="preserve"> </w:t>
      </w:r>
      <w:r w:rsidRPr="00E626F1">
        <w:rPr>
          <w:rFonts w:ascii="Garamond" w:hAnsi="Garamond"/>
        </w:rPr>
        <w:t xml:space="preserve">power consumption, </w:t>
      </w:r>
      <w:proofErr w:type="gramStart"/>
      <w:r w:rsidRPr="00E626F1">
        <w:rPr>
          <w:rFonts w:ascii="Garamond" w:hAnsi="Garamond"/>
        </w:rPr>
        <w:t>Townsend</w:t>
      </w:r>
      <w:proofErr w:type="gramEnd"/>
      <w:r w:rsidRPr="00E626F1">
        <w:rPr>
          <w:rFonts w:ascii="Garamond" w:hAnsi="Garamond"/>
        </w:rPr>
        <w:t xml:space="preserve"> and Bruce (2009) creat</w:t>
      </w:r>
      <w:r>
        <w:rPr>
          <w:rFonts w:ascii="Garamond" w:hAnsi="Garamond"/>
        </w:rPr>
        <w:t>e</w:t>
      </w:r>
      <w:r w:rsidRPr="00E626F1">
        <w:rPr>
          <w:rFonts w:ascii="Garamond" w:hAnsi="Garamond"/>
        </w:rPr>
        <w:t xml:space="preserve"> an Overglow Removal Model, which could increase the spatial measurement accuracy of using NTL data to estimate electrical consumption. Their results also show that such measurement is limited to relatively large areas, such as </w:t>
      </w:r>
      <w:r>
        <w:rPr>
          <w:rFonts w:ascii="Garamond" w:hAnsi="Garamond"/>
        </w:rPr>
        <w:t xml:space="preserve">at the </w:t>
      </w:r>
      <w:r w:rsidRPr="00E626F1">
        <w:rPr>
          <w:rFonts w:ascii="Garamond" w:hAnsi="Garamond"/>
        </w:rPr>
        <w:t xml:space="preserve">region or country-level (Townsend &amp; Bruce, 2009). </w:t>
      </w:r>
      <w:r>
        <w:rPr>
          <w:rFonts w:ascii="Garamond" w:hAnsi="Garamond"/>
        </w:rPr>
        <w:t>In another example</w:t>
      </w:r>
      <w:r w:rsidRPr="00E626F1">
        <w:rPr>
          <w:rFonts w:ascii="Garamond" w:hAnsi="Garamond"/>
        </w:rPr>
        <w:t xml:space="preserve">, </w:t>
      </w:r>
      <w:r w:rsidRPr="001B3B2D">
        <w:rPr>
          <w:rFonts w:ascii="Garamond" w:hAnsi="Garamond"/>
        </w:rPr>
        <w:t>Lu et al</w:t>
      </w:r>
      <w:r>
        <w:rPr>
          <w:rFonts w:ascii="Garamond" w:hAnsi="Garamond"/>
        </w:rPr>
        <w:t>.</w:t>
      </w:r>
      <w:r w:rsidRPr="001B3B2D">
        <w:rPr>
          <w:rFonts w:ascii="Garamond" w:hAnsi="Garamond"/>
        </w:rPr>
        <w:t xml:space="preserve"> </w:t>
      </w:r>
      <w:r>
        <w:rPr>
          <w:rFonts w:ascii="Garamond" w:hAnsi="Garamond"/>
        </w:rPr>
        <w:t>(</w:t>
      </w:r>
      <w:r w:rsidRPr="001B3B2D">
        <w:rPr>
          <w:rFonts w:ascii="Garamond" w:hAnsi="Garamond"/>
        </w:rPr>
        <w:t>2019)</w:t>
      </w:r>
      <w:r w:rsidRPr="00E626F1">
        <w:rPr>
          <w:rFonts w:ascii="Garamond" w:hAnsi="Garamond"/>
        </w:rPr>
        <w:t xml:space="preserve"> use population and built-up areas to inter</w:t>
      </w:r>
      <w:r>
        <w:rPr>
          <w:rFonts w:ascii="Garamond" w:hAnsi="Garamond"/>
        </w:rPr>
        <w:t>-</w:t>
      </w:r>
      <w:r w:rsidRPr="00E626F1">
        <w:rPr>
          <w:rFonts w:ascii="Garamond" w:hAnsi="Garamond"/>
        </w:rPr>
        <w:t>calibrate the dataset, and adjust</w:t>
      </w:r>
      <w:r>
        <w:rPr>
          <w:rFonts w:ascii="Garamond" w:hAnsi="Garamond"/>
        </w:rPr>
        <w:t xml:space="preserve"> </w:t>
      </w:r>
      <w:r w:rsidRPr="00E626F1">
        <w:rPr>
          <w:rFonts w:ascii="Garamond" w:hAnsi="Garamond"/>
        </w:rPr>
        <w:t xml:space="preserve">data </w:t>
      </w:r>
      <w:r>
        <w:rPr>
          <w:rFonts w:ascii="Garamond" w:hAnsi="Garamond"/>
        </w:rPr>
        <w:t xml:space="preserve">yield </w:t>
      </w:r>
      <w:r w:rsidRPr="00E626F1">
        <w:rPr>
          <w:rFonts w:ascii="Garamond" w:hAnsi="Garamond"/>
        </w:rPr>
        <w:t xml:space="preserve">a better relation in the electric power consumption </w:t>
      </w:r>
      <w:r>
        <w:rPr>
          <w:rFonts w:ascii="Garamond" w:hAnsi="Garamond"/>
        </w:rPr>
        <w:t>at</w:t>
      </w:r>
      <w:r w:rsidRPr="00E626F1">
        <w:rPr>
          <w:rFonts w:ascii="Garamond" w:hAnsi="Garamond"/>
        </w:rPr>
        <w:t xml:space="preserve"> the province level</w:t>
      </w:r>
      <w:r>
        <w:rPr>
          <w:rFonts w:ascii="Garamond" w:hAnsi="Garamond"/>
        </w:rPr>
        <w:t>.</w:t>
      </w:r>
    </w:p>
    <w:p w14:paraId="5FAFAE24" w14:textId="77777777" w:rsidR="00406F43" w:rsidRDefault="00406F43" w:rsidP="00406F43">
      <w:pPr>
        <w:spacing w:line="480" w:lineRule="auto"/>
        <w:ind w:firstLine="720"/>
        <w:jc w:val="both"/>
        <w:rPr>
          <w:rFonts w:ascii="Garamond" w:hAnsi="Garamond"/>
        </w:rPr>
      </w:pPr>
    </w:p>
    <w:p w14:paraId="71B8882C" w14:textId="77777777" w:rsidR="00406F43" w:rsidRDefault="00406F43" w:rsidP="00406F43">
      <w:pPr>
        <w:spacing w:line="480" w:lineRule="auto"/>
        <w:ind w:firstLine="360"/>
        <w:jc w:val="both"/>
        <w:rPr>
          <w:rFonts w:ascii="Garamond" w:hAnsi="Garamond"/>
        </w:rPr>
      </w:pPr>
      <w:r w:rsidRPr="00E626F1">
        <w:rPr>
          <w:rFonts w:ascii="Garamond" w:hAnsi="Garamond"/>
        </w:rPr>
        <w:t xml:space="preserve">As for </w:t>
      </w:r>
      <w:r>
        <w:rPr>
          <w:rFonts w:ascii="Garamond" w:hAnsi="Garamond"/>
        </w:rPr>
        <w:t xml:space="preserve">NTL </w:t>
      </w:r>
      <w:r w:rsidRPr="00E626F1">
        <w:rPr>
          <w:rFonts w:ascii="Garamond" w:hAnsi="Garamond"/>
        </w:rPr>
        <w:t>limitations, Henderson</w:t>
      </w:r>
      <w:r>
        <w:rPr>
          <w:rFonts w:ascii="Garamond" w:hAnsi="Garamond"/>
        </w:rPr>
        <w:t xml:space="preserve"> et al.</w:t>
      </w:r>
      <w:r w:rsidRPr="00E626F1">
        <w:rPr>
          <w:rFonts w:ascii="Garamond" w:hAnsi="Garamond"/>
        </w:rPr>
        <w:t xml:space="preserve"> (2011) </w:t>
      </w:r>
      <w:proofErr w:type="gramStart"/>
      <w:r>
        <w:rPr>
          <w:rFonts w:ascii="Garamond" w:hAnsi="Garamond"/>
        </w:rPr>
        <w:t>distinguish</w:t>
      </w:r>
      <w:proofErr w:type="gramEnd"/>
      <w:r w:rsidRPr="00E626F1">
        <w:rPr>
          <w:rFonts w:ascii="Garamond" w:hAnsi="Garamond"/>
        </w:rPr>
        <w:t xml:space="preserve"> two categories of problems. </w:t>
      </w:r>
      <w:r>
        <w:rPr>
          <w:rFonts w:ascii="Garamond" w:hAnsi="Garamond"/>
        </w:rPr>
        <w:t>First,</w:t>
      </w:r>
      <w:r w:rsidRPr="00E626F1">
        <w:rPr>
          <w:rFonts w:ascii="Garamond" w:hAnsi="Garamond"/>
        </w:rPr>
        <w:t xml:space="preserve"> the association between NTL data and the economic output varies based on time and space; </w:t>
      </w:r>
      <w:r>
        <w:rPr>
          <w:rFonts w:ascii="Garamond" w:hAnsi="Garamond"/>
        </w:rPr>
        <w:t>second,</w:t>
      </w:r>
      <w:r w:rsidRPr="00E626F1">
        <w:rPr>
          <w:rFonts w:ascii="Garamond" w:hAnsi="Garamond"/>
        </w:rPr>
        <w:t xml:space="preserve"> NTL data fail to ideally generate true night light because of satellite chang</w:t>
      </w:r>
      <w:r>
        <w:rPr>
          <w:rFonts w:ascii="Garamond" w:hAnsi="Garamond"/>
        </w:rPr>
        <w:t>es</w:t>
      </w:r>
      <w:r w:rsidRPr="00E626F1">
        <w:rPr>
          <w:rFonts w:ascii="Garamond" w:hAnsi="Garamond"/>
        </w:rPr>
        <w:t xml:space="preserve"> and aging</w:t>
      </w:r>
      <w:r>
        <w:rPr>
          <w:rFonts w:ascii="Garamond" w:hAnsi="Garamond"/>
        </w:rPr>
        <w:t>,</w:t>
      </w:r>
      <w:r w:rsidRPr="00E626F1">
        <w:rPr>
          <w:rFonts w:ascii="Garamond" w:hAnsi="Garamond"/>
        </w:rPr>
        <w:t xml:space="preserve"> and the contamination of unwanted light (Henderson et al., 2011). The</w:t>
      </w:r>
      <w:r>
        <w:rPr>
          <w:rFonts w:ascii="Garamond" w:hAnsi="Garamond"/>
        </w:rPr>
        <w:t>y provide</w:t>
      </w:r>
      <w:r w:rsidRPr="00E626F1">
        <w:rPr>
          <w:rFonts w:ascii="Garamond" w:hAnsi="Garamond"/>
        </w:rPr>
        <w:t xml:space="preserve"> cases of the first limitation, </w:t>
      </w:r>
      <w:r>
        <w:rPr>
          <w:rFonts w:ascii="Garamond" w:hAnsi="Garamond"/>
        </w:rPr>
        <w:t>including</w:t>
      </w:r>
      <w:r w:rsidRPr="00E626F1">
        <w:rPr>
          <w:rFonts w:ascii="Garamond" w:hAnsi="Garamond"/>
        </w:rPr>
        <w:t xml:space="preserve"> poor performance of estimating GDP during economic decline. M</w:t>
      </w:r>
      <w:r>
        <w:rPr>
          <w:rFonts w:ascii="Garamond" w:hAnsi="Garamond"/>
        </w:rPr>
        <w:t>oreover, m</w:t>
      </w:r>
      <w:r w:rsidRPr="00E626F1">
        <w:rPr>
          <w:rFonts w:ascii="Garamond" w:hAnsi="Garamond"/>
        </w:rPr>
        <w:t>uch research has been conducted to solve the second limitation, the changes and aging problem of satellites. Zhang</w:t>
      </w:r>
      <w:r>
        <w:rPr>
          <w:rFonts w:ascii="Garamond" w:hAnsi="Garamond"/>
        </w:rPr>
        <w:t xml:space="preserve"> et al.</w:t>
      </w:r>
      <w:r w:rsidRPr="00E626F1">
        <w:rPr>
          <w:rFonts w:ascii="Garamond" w:hAnsi="Garamond"/>
        </w:rPr>
        <w:t xml:space="preserve"> (2016) buil</w:t>
      </w:r>
      <w:r>
        <w:rPr>
          <w:rFonts w:ascii="Garamond" w:hAnsi="Garamond"/>
        </w:rPr>
        <w:t>d</w:t>
      </w:r>
      <w:r w:rsidRPr="00E626F1">
        <w:rPr>
          <w:rFonts w:ascii="Garamond" w:hAnsi="Garamond"/>
        </w:rPr>
        <w:t xml:space="preserve"> a model, called the ridgeline sampling and regression model, to conduct inter-calibration work</w:t>
      </w:r>
      <w:r>
        <w:rPr>
          <w:rFonts w:ascii="Garamond" w:hAnsi="Garamond"/>
        </w:rPr>
        <w:t>,</w:t>
      </w:r>
      <w:r w:rsidRPr="00E626F1">
        <w:rPr>
          <w:rFonts w:ascii="Garamond" w:hAnsi="Garamond"/>
        </w:rPr>
        <w:t xml:space="preserve"> and the</w:t>
      </w:r>
      <w:r>
        <w:rPr>
          <w:rFonts w:ascii="Garamond" w:hAnsi="Garamond"/>
        </w:rPr>
        <w:t>ir</w:t>
      </w:r>
      <w:r w:rsidRPr="00E626F1">
        <w:rPr>
          <w:rFonts w:ascii="Garamond" w:hAnsi="Garamond"/>
        </w:rPr>
        <w:t xml:space="preserve"> country-level results indicate that such a method could help reduce the bias of nighttime light data </w:t>
      </w:r>
      <w:r>
        <w:rPr>
          <w:rFonts w:ascii="Garamond" w:hAnsi="Garamond"/>
        </w:rPr>
        <w:t>in most cases</w:t>
      </w:r>
      <w:r w:rsidRPr="00E626F1">
        <w:rPr>
          <w:rFonts w:ascii="Garamond" w:hAnsi="Garamond"/>
        </w:rPr>
        <w:t xml:space="preserve">. (Elvidge et al., 2009) </w:t>
      </w:r>
      <w:r>
        <w:rPr>
          <w:rFonts w:ascii="Garamond" w:hAnsi="Garamond"/>
        </w:rPr>
        <w:t>use an alternate</w:t>
      </w:r>
      <w:r w:rsidRPr="00E626F1">
        <w:rPr>
          <w:rFonts w:ascii="Garamond" w:hAnsi="Garamond"/>
        </w:rPr>
        <w:t xml:space="preserve"> inter-calibration method </w:t>
      </w:r>
      <w:r>
        <w:rPr>
          <w:rFonts w:ascii="Garamond" w:hAnsi="Garamond"/>
        </w:rPr>
        <w:t>in which they select</w:t>
      </w:r>
      <w:r w:rsidRPr="00E626F1">
        <w:rPr>
          <w:rFonts w:ascii="Garamond" w:hAnsi="Garamond"/>
        </w:rPr>
        <w:t xml:space="preserve"> a base area</w:t>
      </w:r>
      <w:r>
        <w:rPr>
          <w:rFonts w:ascii="Garamond" w:hAnsi="Garamond"/>
        </w:rPr>
        <w:t xml:space="preserve"> known for experiencing minimal change</w:t>
      </w:r>
      <w:r w:rsidRPr="00E626F1">
        <w:rPr>
          <w:rFonts w:ascii="Garamond" w:hAnsi="Garamond"/>
        </w:rPr>
        <w:t xml:space="preserve"> (Sicily), and a base year and a base satellite (F12199)</w:t>
      </w:r>
      <w:r>
        <w:rPr>
          <w:rFonts w:ascii="Garamond" w:hAnsi="Garamond"/>
        </w:rPr>
        <w:t>; they then</w:t>
      </w:r>
      <w:r w:rsidRPr="00E626F1">
        <w:rPr>
          <w:rFonts w:ascii="Garamond" w:hAnsi="Garamond"/>
        </w:rPr>
        <w:t xml:space="preserve"> adjust other data to the same range by</w:t>
      </w:r>
      <w:r>
        <w:rPr>
          <w:rFonts w:ascii="Garamond" w:hAnsi="Garamond"/>
        </w:rPr>
        <w:t xml:space="preserve"> scaling</w:t>
      </w:r>
      <w:r w:rsidRPr="00E626F1">
        <w:rPr>
          <w:rFonts w:ascii="Garamond" w:hAnsi="Garamond"/>
        </w:rPr>
        <w:t xml:space="preserve"> pixels.  This paper also mentions methods of getting rid of gas flare</w:t>
      </w:r>
      <w:r>
        <w:rPr>
          <w:rFonts w:ascii="Garamond" w:hAnsi="Garamond"/>
        </w:rPr>
        <w:t>s</w:t>
      </w:r>
      <w:r w:rsidRPr="00E626F1">
        <w:rPr>
          <w:rFonts w:ascii="Garamond" w:hAnsi="Garamond"/>
        </w:rPr>
        <w:t>, which is caused by remote petroleum production</w:t>
      </w:r>
      <w:r>
        <w:rPr>
          <w:rFonts w:ascii="Garamond" w:hAnsi="Garamond"/>
        </w:rPr>
        <w:t xml:space="preserve">, because </w:t>
      </w:r>
      <w:r w:rsidRPr="00E626F1">
        <w:rPr>
          <w:rFonts w:ascii="Garamond" w:hAnsi="Garamond"/>
        </w:rPr>
        <w:t>the flare</w:t>
      </w:r>
      <w:r>
        <w:rPr>
          <w:rFonts w:ascii="Garamond" w:hAnsi="Garamond"/>
        </w:rPr>
        <w:t>s</w:t>
      </w:r>
      <w:r w:rsidRPr="00E626F1">
        <w:rPr>
          <w:rFonts w:ascii="Garamond" w:hAnsi="Garamond"/>
        </w:rPr>
        <w:t xml:space="preserve"> contaminate the results </w:t>
      </w:r>
      <w:r>
        <w:rPr>
          <w:rFonts w:ascii="Garamond" w:hAnsi="Garamond"/>
        </w:rPr>
        <w:t xml:space="preserve">by </w:t>
      </w:r>
      <w:r w:rsidRPr="00E626F1">
        <w:rPr>
          <w:rFonts w:ascii="Garamond" w:hAnsi="Garamond"/>
        </w:rPr>
        <w:t>produc</w:t>
      </w:r>
      <w:r>
        <w:rPr>
          <w:rFonts w:ascii="Garamond" w:hAnsi="Garamond"/>
        </w:rPr>
        <w:t>ing</w:t>
      </w:r>
      <w:r w:rsidRPr="00E626F1">
        <w:rPr>
          <w:rFonts w:ascii="Garamond" w:hAnsi="Garamond"/>
        </w:rPr>
        <w:t xml:space="preserve"> a high-level luminosity </w:t>
      </w:r>
      <w:r>
        <w:rPr>
          <w:rFonts w:ascii="Garamond" w:hAnsi="Garamond"/>
        </w:rPr>
        <w:t>only tangentially related to</w:t>
      </w:r>
      <w:r w:rsidRPr="00E626F1">
        <w:rPr>
          <w:rFonts w:ascii="Garamond" w:hAnsi="Garamond"/>
        </w:rPr>
        <w:t xml:space="preserve"> economic </w:t>
      </w:r>
      <w:r>
        <w:rPr>
          <w:rFonts w:ascii="Garamond" w:hAnsi="Garamond"/>
        </w:rPr>
        <w:t>development</w:t>
      </w:r>
      <w:r w:rsidRPr="00E626F1">
        <w:rPr>
          <w:rFonts w:ascii="Garamond" w:hAnsi="Garamond"/>
        </w:rPr>
        <w:t xml:space="preserve"> (Elvidge et al., 2009). Furthermore, when estimating the urbanization process,</w:t>
      </w:r>
      <w:r>
        <w:rPr>
          <w:rFonts w:ascii="Garamond" w:hAnsi="Garamond"/>
        </w:rPr>
        <w:t xml:space="preserve"> </w:t>
      </w:r>
      <w:r w:rsidRPr="00E626F1">
        <w:rPr>
          <w:rFonts w:ascii="Garamond" w:hAnsi="Garamond"/>
        </w:rPr>
        <w:t>lights in the rural areas become nois</w:t>
      </w:r>
      <w:r>
        <w:rPr>
          <w:rFonts w:ascii="Garamond" w:hAnsi="Garamond"/>
        </w:rPr>
        <w:t>y</w:t>
      </w:r>
      <w:r w:rsidRPr="00E626F1">
        <w:rPr>
          <w:rFonts w:ascii="Garamond" w:hAnsi="Garamond"/>
        </w:rPr>
        <w:t>, and to deal with such a problem, setting an urban light threshold is an excellent solving method (Yi et al., 2014).</w:t>
      </w:r>
    </w:p>
    <w:p w14:paraId="4F4CEBCE" w14:textId="77777777" w:rsidR="00406F43" w:rsidRPr="006B2B1B" w:rsidRDefault="00406F43" w:rsidP="00406F43">
      <w:pPr>
        <w:spacing w:line="480" w:lineRule="auto"/>
        <w:jc w:val="both"/>
        <w:rPr>
          <w:rFonts w:ascii="Garamond" w:hAnsi="Garamond"/>
          <w:b/>
          <w:bCs/>
        </w:rPr>
      </w:pPr>
    </w:p>
    <w:p w14:paraId="54FF265C" w14:textId="77777777" w:rsidR="00406F43" w:rsidRPr="00406F43" w:rsidRDefault="00406F43" w:rsidP="00406F43">
      <w:pPr>
        <w:pStyle w:val="ListParagraph"/>
        <w:numPr>
          <w:ilvl w:val="0"/>
          <w:numId w:val="2"/>
        </w:numPr>
        <w:spacing w:line="480" w:lineRule="auto"/>
        <w:jc w:val="both"/>
        <w:rPr>
          <w:rFonts w:ascii="Garamond" w:hAnsi="Garamond"/>
          <w:b/>
          <w:bCs/>
        </w:rPr>
      </w:pPr>
      <w:r w:rsidRPr="00406F43">
        <w:rPr>
          <w:rFonts w:ascii="Garamond" w:hAnsi="Garamond"/>
          <w:b/>
          <w:bCs/>
        </w:rPr>
        <w:t>Russian-language Literature on Soviet Closed Cities and Their ZATO Successors</w:t>
      </w:r>
    </w:p>
    <w:p w14:paraId="5B6F802C" w14:textId="77777777" w:rsidR="00406F43" w:rsidRDefault="00406F43" w:rsidP="00406F43">
      <w:pPr>
        <w:spacing w:line="480" w:lineRule="auto"/>
        <w:ind w:firstLine="720"/>
        <w:jc w:val="both"/>
        <w:rPr>
          <w:rFonts w:ascii="Garamond" w:hAnsi="Garamond"/>
        </w:rPr>
      </w:pPr>
      <w:r>
        <w:rPr>
          <w:rFonts w:ascii="Garamond" w:hAnsi="Garamond"/>
        </w:rPr>
        <w:t xml:space="preserve">There is a substantial Russian-language literature on Soviet closed cities and their ZATO successors though, to our knowledge, none of it formally contrasts the fate of ZATO and matched non-ZATO cities. The only paper that touches on issues directly related to our work appears to be Dvoryadkina (2018), who focuses on the importance of federal government transfers to the survival of these cities. Her detailed analysis of </w:t>
      </w:r>
      <w:proofErr w:type="gramStart"/>
      <w:r>
        <w:rPr>
          <w:rFonts w:ascii="Garamond" w:hAnsi="Garamond"/>
        </w:rPr>
        <w:t>a large number of</w:t>
      </w:r>
      <w:proofErr w:type="gramEnd"/>
      <w:r>
        <w:rPr>
          <w:rFonts w:ascii="Garamond" w:hAnsi="Garamond"/>
        </w:rPr>
        <w:t xml:space="preserve"> these cities demonstrates the extreme </w:t>
      </w:r>
      <w:r>
        <w:rPr>
          <w:rFonts w:ascii="Garamond" w:hAnsi="Garamond"/>
        </w:rPr>
        <w:lastRenderedPageBreak/>
        <w:t>dependence on federal government transfers. By implication, independent entrepreneurial effects to date have been modest at best.</w:t>
      </w:r>
    </w:p>
    <w:p w14:paraId="5F94EF46" w14:textId="77777777" w:rsidR="00406F43" w:rsidRDefault="00406F43" w:rsidP="00406F43">
      <w:pPr>
        <w:spacing w:line="480" w:lineRule="auto"/>
        <w:ind w:firstLine="720"/>
        <w:jc w:val="both"/>
        <w:rPr>
          <w:rFonts w:ascii="Garamond" w:hAnsi="Garamond"/>
        </w:rPr>
      </w:pPr>
    </w:p>
    <w:p w14:paraId="6FAC41B8" w14:textId="77777777" w:rsidR="00406F43" w:rsidRDefault="00406F43" w:rsidP="00406F43">
      <w:pPr>
        <w:spacing w:line="480" w:lineRule="auto"/>
        <w:ind w:firstLine="720"/>
        <w:jc w:val="both"/>
        <w:rPr>
          <w:rFonts w:ascii="Garamond" w:hAnsi="Garamond"/>
        </w:rPr>
      </w:pPr>
      <w:r>
        <w:rPr>
          <w:rFonts w:ascii="Garamond" w:hAnsi="Garamond"/>
        </w:rPr>
        <w:t xml:space="preserve">Rasskazchikova (2014, 2015) explores the evolution of </w:t>
      </w:r>
      <w:hyperlink r:id="rId7" w:history="1">
        <w:r w:rsidRPr="00EA1021">
          <w:rPr>
            <w:rStyle w:val="Hyperlink"/>
            <w:rFonts w:ascii="Garamond" w:hAnsi="Garamond"/>
          </w:rPr>
          <w:t>Zheleznogorsk</w:t>
        </w:r>
      </w:hyperlink>
      <w:r>
        <w:rPr>
          <w:rFonts w:ascii="Garamond" w:hAnsi="Garamond"/>
        </w:rPr>
        <w:t xml:space="preserve">  in Krasnoyarsk krai, which continued to grow rapidly until the end of the Soviet Union.</w:t>
      </w:r>
      <w:r>
        <w:rPr>
          <w:rStyle w:val="FootnoteReference"/>
          <w:rFonts w:ascii="Garamond" w:hAnsi="Garamond"/>
        </w:rPr>
        <w:footnoteReference w:id="1"/>
      </w:r>
      <w:r>
        <w:rPr>
          <w:rFonts w:ascii="Garamond" w:hAnsi="Garamond"/>
        </w:rPr>
        <w:t xml:space="preserve"> For our purposes, the papers usefully focus on late Soviet era growth – suggesting obvious explanatory variables that unfortunately are not available for all cities. Far more detailed discussions of closed atomic cities appear in the books of V.N. Kuznetsov, which in turn are summarized in Zaparii and Tolstikov (2018). Zverev and Karachkov (2018) offer a brief overview of closed cities in the Ural region to the west of Krasnoyarsk; a far more detailed version is given by Rod’kin (2009). Issues of architecture and physical layout for the closed atomic cities of </w:t>
      </w:r>
      <w:hyperlink r:id="rId8" w:history="1">
        <w:r w:rsidRPr="00370CC1">
          <w:rPr>
            <w:rStyle w:val="Hyperlink"/>
            <w:rFonts w:ascii="Garamond" w:hAnsi="Garamond"/>
          </w:rPr>
          <w:t>Ozyorsk</w:t>
        </w:r>
      </w:hyperlink>
      <w:r>
        <w:rPr>
          <w:rFonts w:ascii="Garamond" w:hAnsi="Garamond"/>
        </w:rPr>
        <w:t xml:space="preserve"> and </w:t>
      </w:r>
      <w:hyperlink r:id="rId9" w:history="1">
        <w:r w:rsidRPr="00370CC1">
          <w:rPr>
            <w:rStyle w:val="Hyperlink"/>
            <w:rFonts w:ascii="Garamond" w:hAnsi="Garamond"/>
          </w:rPr>
          <w:t>Snezhinsk</w:t>
        </w:r>
      </w:hyperlink>
      <w:r>
        <w:rPr>
          <w:rFonts w:ascii="Garamond" w:hAnsi="Garamond"/>
        </w:rPr>
        <w:t xml:space="preserve"> in Chelyabinsk Oblast receive attention from Mikhailova and Olen’kov (2019). Today, Snezhinsk is a “sister city” of Livermore, CA and </w:t>
      </w:r>
      <w:hyperlink r:id="rId10" w:history="1">
        <w:r>
          <w:rPr>
            <w:rStyle w:val="Hyperlink"/>
            <w:rFonts w:ascii="Garamond" w:hAnsi="Garamond"/>
          </w:rPr>
          <w:t>portrays itself as a great place to live and work</w:t>
        </w:r>
        <w:r w:rsidRPr="00D814FC">
          <w:rPr>
            <w:rStyle w:val="Hyperlink"/>
            <w:rFonts w:ascii="Garamond" w:hAnsi="Garamond"/>
          </w:rPr>
          <w:t xml:space="preserve"> (snzadm.ru)</w:t>
        </w:r>
      </w:hyperlink>
      <w:r>
        <w:rPr>
          <w:rFonts w:ascii="Garamond" w:hAnsi="Garamond"/>
        </w:rPr>
        <w:t xml:space="preserve">. Elsewhere, Konstantinova (2021) explores, but </w:t>
      </w:r>
      <w:r>
        <w:rPr>
          <w:rFonts w:ascii="Garamond" w:hAnsi="Garamond"/>
        </w:rPr>
        <w:lastRenderedPageBreak/>
        <w:t>only in abstract, general terms, the collective psychological trauma that ZATO cities experienced from loss of purpose with the collapse of the USSR.</w:t>
      </w:r>
    </w:p>
    <w:p w14:paraId="3E622242" w14:textId="77777777" w:rsidR="00406F43" w:rsidRPr="0011255C" w:rsidRDefault="00406F43" w:rsidP="00406F43">
      <w:pPr>
        <w:spacing w:line="480" w:lineRule="auto"/>
        <w:jc w:val="both"/>
        <w:rPr>
          <w:rFonts w:ascii="Garamond" w:hAnsi="Garamond"/>
          <w:b/>
          <w:bCs/>
        </w:rPr>
      </w:pPr>
    </w:p>
    <w:p w14:paraId="55C925E7" w14:textId="77777777" w:rsidR="00EA407A" w:rsidRDefault="00EA407A"/>
    <w:sectPr w:rsidR="00EA4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B6556" w14:textId="77777777" w:rsidR="00A03A21" w:rsidRDefault="00A03A21" w:rsidP="00406F43">
      <w:r>
        <w:separator/>
      </w:r>
    </w:p>
  </w:endnote>
  <w:endnote w:type="continuationSeparator" w:id="0">
    <w:p w14:paraId="6F02627E" w14:textId="77777777" w:rsidR="00A03A21" w:rsidRDefault="00A03A21" w:rsidP="0040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4006" w14:textId="77777777" w:rsidR="00A03A21" w:rsidRDefault="00A03A21" w:rsidP="00406F43">
      <w:r>
        <w:separator/>
      </w:r>
    </w:p>
  </w:footnote>
  <w:footnote w:type="continuationSeparator" w:id="0">
    <w:p w14:paraId="3DC3A63D" w14:textId="77777777" w:rsidR="00A03A21" w:rsidRDefault="00A03A21" w:rsidP="00406F43">
      <w:r>
        <w:continuationSeparator/>
      </w:r>
    </w:p>
  </w:footnote>
  <w:footnote w:id="1">
    <w:p w14:paraId="2C2F6B38" w14:textId="77777777" w:rsidR="00406F43" w:rsidRDefault="00406F43" w:rsidP="00406F43">
      <w:pPr>
        <w:pStyle w:val="FootnoteText"/>
      </w:pPr>
      <w:r w:rsidRPr="00EA1021">
        <w:rPr>
          <w:rStyle w:val="FootnoteReference"/>
          <w:rFonts w:ascii="Garamond" w:hAnsi="Garamond"/>
          <w:sz w:val="22"/>
          <w:szCs w:val="22"/>
        </w:rPr>
        <w:footnoteRef/>
      </w:r>
      <w:r w:rsidRPr="00EA1021">
        <w:rPr>
          <w:rFonts w:ascii="Garamond" w:hAnsi="Garamond"/>
          <w:sz w:val="22"/>
          <w:szCs w:val="22"/>
        </w:rPr>
        <w:t xml:space="preserve"> The city’s coat of arms</w:t>
      </w:r>
      <w:r>
        <w:rPr>
          <w:rFonts w:ascii="Garamond" w:hAnsi="Garamond"/>
          <w:sz w:val="22"/>
          <w:szCs w:val="22"/>
        </w:rPr>
        <w:t>/</w:t>
      </w:r>
      <w:r w:rsidRPr="00EA1021">
        <w:rPr>
          <w:rFonts w:ascii="Garamond" w:hAnsi="Garamond"/>
          <w:sz w:val="22"/>
          <w:szCs w:val="22"/>
        </w:rPr>
        <w:t>flag is indisputably one of the most awesome ever designed:</w:t>
      </w:r>
      <w:r>
        <w:t xml:space="preserve"> </w:t>
      </w:r>
      <w:r w:rsidRPr="00EA1021">
        <w:rPr>
          <w:noProof/>
        </w:rPr>
        <w:drawing>
          <wp:inline distT="0" distB="0" distL="0" distR="0" wp14:anchorId="4CB94BFC" wp14:editId="7BA4F14A">
            <wp:extent cx="2209800" cy="2742890"/>
            <wp:effectExtent l="0" t="0" r="0" b="635"/>
            <wp:docPr id="1463290565" name="Picture 1463290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H="1">
                      <a:off x="0" y="0"/>
                      <a:ext cx="2231750" cy="2770135"/>
                    </a:xfrm>
                    <a:prstGeom prst="rect">
                      <a:avLst/>
                    </a:prstGeom>
                  </pic:spPr>
                </pic:pic>
              </a:graphicData>
            </a:graphic>
          </wp:inline>
        </w:drawing>
      </w:r>
    </w:p>
    <w:p w14:paraId="32310655" w14:textId="77777777" w:rsidR="00406F43" w:rsidRPr="00EA1021" w:rsidRDefault="00406F43" w:rsidP="00406F43">
      <w:pPr>
        <w:pStyle w:val="FootnoteText"/>
        <w:rPr>
          <w:rFonts w:ascii="Garamond" w:hAnsi="Garamond"/>
          <w:sz w:val="22"/>
          <w:szCs w:val="22"/>
        </w:rPr>
      </w:pPr>
      <w:r w:rsidRPr="00EA1021">
        <w:rPr>
          <w:rFonts w:ascii="Garamond" w:hAnsi="Garamond"/>
          <w:sz w:val="22"/>
          <w:szCs w:val="22"/>
        </w:rPr>
        <w:t xml:space="preserve">Source: By Taejo - Own work, based on </w:t>
      </w:r>
      <w:proofErr w:type="gramStart"/>
      <w:r w:rsidRPr="00EA1021">
        <w:rPr>
          <w:rFonts w:ascii="Garamond" w:hAnsi="Garamond"/>
          <w:sz w:val="22"/>
          <w:szCs w:val="22"/>
        </w:rPr>
        <w:t>File:Flag_of_Zheleznogorsk.svg</w:t>
      </w:r>
      <w:proofErr w:type="gramEnd"/>
      <w:r w:rsidRPr="00EA1021">
        <w:rPr>
          <w:rFonts w:ascii="Garamond" w:hAnsi="Garamond"/>
          <w:sz w:val="22"/>
          <w:szCs w:val="22"/>
        </w:rPr>
        <w:t xml:space="preserve">, Public Domain, </w:t>
      </w:r>
      <w:hyperlink r:id="rId2" w:history="1">
        <w:r w:rsidRPr="00EA1021">
          <w:rPr>
            <w:rStyle w:val="Hyperlink"/>
            <w:rFonts w:ascii="Garamond" w:hAnsi="Garamond"/>
            <w:sz w:val="22"/>
            <w:szCs w:val="22"/>
          </w:rPr>
          <w:t>https://commons.wikimedia.org/w/index.php?curid=26421416</w:t>
        </w:r>
      </w:hyperlink>
      <w:r w:rsidRPr="00EA1021">
        <w:rPr>
          <w:rFonts w:ascii="Garamond" w:hAnsi="Garamond"/>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55F00"/>
    <w:multiLevelType w:val="multilevel"/>
    <w:tmpl w:val="C3588C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49253F7"/>
    <w:multiLevelType w:val="hybridMultilevel"/>
    <w:tmpl w:val="32AC5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937970">
    <w:abstractNumId w:val="0"/>
  </w:num>
  <w:num w:numId="2" w16cid:durableId="169214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43"/>
    <w:rsid w:val="00092583"/>
    <w:rsid w:val="00406F43"/>
    <w:rsid w:val="00505212"/>
    <w:rsid w:val="005E3981"/>
    <w:rsid w:val="00A03A21"/>
    <w:rsid w:val="00EA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98F8F"/>
  <w15:chartTrackingRefBased/>
  <w15:docId w15:val="{8F385E9A-ECF8-3048-B205-FB5950D0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F4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43"/>
    <w:pPr>
      <w:ind w:left="720"/>
      <w:contextualSpacing/>
    </w:pPr>
  </w:style>
  <w:style w:type="paragraph" w:styleId="FootnoteText">
    <w:name w:val="footnote text"/>
    <w:basedOn w:val="Normal"/>
    <w:link w:val="FootnoteTextChar"/>
    <w:uiPriority w:val="99"/>
    <w:semiHidden/>
    <w:unhideWhenUsed/>
    <w:rsid w:val="00406F43"/>
    <w:rPr>
      <w:sz w:val="20"/>
      <w:szCs w:val="20"/>
    </w:rPr>
  </w:style>
  <w:style w:type="character" w:customStyle="1" w:styleId="FootnoteTextChar">
    <w:name w:val="Footnote Text Char"/>
    <w:basedOn w:val="DefaultParagraphFont"/>
    <w:link w:val="FootnoteText"/>
    <w:uiPriority w:val="99"/>
    <w:semiHidden/>
    <w:rsid w:val="00406F4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406F43"/>
    <w:rPr>
      <w:vertAlign w:val="superscript"/>
    </w:rPr>
  </w:style>
  <w:style w:type="character" w:styleId="Hyperlink">
    <w:name w:val="Hyperlink"/>
    <w:basedOn w:val="DefaultParagraphFont"/>
    <w:uiPriority w:val="99"/>
    <w:unhideWhenUsed/>
    <w:rsid w:val="00406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zyorsk,_Chelyabinsk_Oblast" TargetMode="External"/><Relationship Id="rId3" Type="http://schemas.openxmlformats.org/officeDocument/2006/relationships/settings" Target="settings.xml"/><Relationship Id="rId7" Type="http://schemas.openxmlformats.org/officeDocument/2006/relationships/hyperlink" Target="https://en.wikipedia.org/wiki/Zheleznogorsk,_Krasnoyarsk_Kr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nzadm.ru/?art=1910" TargetMode="External"/><Relationship Id="rId4" Type="http://schemas.openxmlformats.org/officeDocument/2006/relationships/webSettings" Target="webSettings.xml"/><Relationship Id="rId9" Type="http://schemas.openxmlformats.org/officeDocument/2006/relationships/hyperlink" Target="https://en.wikipedia.org/wiki/Snezhins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ommons.wikimedia.org/w/index.php?curid=26421416"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Kaichao Chang</dc:creator>
  <cp:keywords/>
  <dc:description/>
  <cp:lastModifiedBy>Kaichao Chang</cp:lastModifiedBy>
  <cp:revision>1</cp:revision>
  <dcterms:created xsi:type="dcterms:W3CDTF">2023-06-28T07:37:00Z</dcterms:created>
  <dcterms:modified xsi:type="dcterms:W3CDTF">2023-06-28T07:38:00Z</dcterms:modified>
</cp:coreProperties>
</file>