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4D2E"/>
          <w:sz w:val="48"/>
        </w:rPr>
        <w:t>INVESTMENT COMMITTEE MEMORANDUM</w:t>
      </w:r>
    </w:p>
    <w:p>
      <w:pPr>
        <w:jc w:val="center"/>
      </w:pPr>
      <w:r>
        <w:rPr>
          <w:color w:val="333333"/>
          <w:sz w:val="32"/>
        </w:rPr>
        <w:t>NovaCrest Analytics — $85M Growth Equity Investment</w:t>
      </w:r>
    </w:p>
    <w:p>
      <w:pPr>
        <w:jc w:val="center"/>
      </w:pPr>
      <w:r>
        <w:rPr>
          <w:color w:val="666666"/>
          <w:sz w:val="22"/>
        </w:rPr>
        <w:t>Prepared by Meridian Growth Partners</w:t>
        <w:br/>
        <w:t>March 2026</w:t>
        <w:br/>
        <w:t>CONFIDENTIAL</w:t>
      </w:r>
    </w:p>
    <w:p>
      <w:r>
        <w:br w:type="page"/>
      </w:r>
    </w:p>
    <w:p>
      <w:pPr>
        <w:pStyle w:val="Heading1"/>
      </w:pPr>
      <w:r>
        <w:rPr>
          <w:color w:val="004D2E"/>
        </w:rPr>
        <w:t>1. Executive Summary</w:t>
      </w:r>
    </w:p>
    <w:p>
      <w:pPr>
        <w:spacing w:after="120"/>
      </w:pPr>
      <w:r>
        <w:t>Recommendation: Proceed with $85M growth equity investment for 30% minority stake.</w:t>
      </w:r>
    </w:p>
    <w:p>
      <w:pPr>
        <w:spacing w:after="120"/>
      </w:pPr>
      <w:r>
        <w:t>Meridian Growth Partners should invest in NovaCrest Analytics at a pre-money valuation of $283M. NovaCrest is a founder-led B2B SaaS provider of financial data infrastructure, serving banks, asset managers, and insurance companies. Founded by former Goldman Sachs and Palantir executives, the Company has rapidly emerged as the definitive system of record for real-time financial data normalization and portfolio risk analytics.</w:t>
      </w:r>
    </w:p>
    <w:p>
      <w:pPr>
        <w:spacing w:after="120"/>
      </w:pPr>
      <w:r>
        <w:t>The Company has scaled ARR from $8M (2023) to $31M (2025), representing 72% YoY growth with 78% gross margins and a 135% Net Retention Rate. The Rule of 40 score of 54 places NovaCrest firmly in elite territory for growth-stage SaaS.</w:t>
      </w:r>
    </w:p>
    <w:p>
      <w:pPr>
        <w:spacing w:after="120"/>
      </w:pPr>
      <w:r>
        <w:t>Proceeds will fund European expansion ($34M), product development ($30M), and headcount growth from 120 to 200 employees ($21M). Three letters of intent from tier-one European asset managers validate the expansion opportunity, contingent on localized support and SOC 2 Type II certification.</w:t>
      </w:r>
    </w:p>
    <w:p>
      <w:pPr>
        <w:spacing w:after="120"/>
      </w:pPr>
      <w:r>
        <w:t>Key risks include customer concentration (top 3 = 40% of ARR), onboarding timelines averaging 4 months, and post-Series A support degradation flagged by a churned customer.</w:t>
      </w:r>
    </w:p>
    <w:p>
      <w:r>
        <w:rPr>
          <w:i/>
          <w:color w:val="888888"/>
          <w:sz w:val="18"/>
        </w:rPr>
        <w:t>Sources: NovaCrest_CIM_2026, Mgmt_Presentation_Transcript, Expert_Call_DataInfra_Specialist, Expert_Call_Former_Customer</w:t>
      </w:r>
    </w:p>
    <w:p>
      <w:pPr>
        <w:pStyle w:val="Heading1"/>
      </w:pPr>
      <w:r>
        <w:rPr>
          <w:color w:val="004D2E"/>
        </w:rPr>
        <w:t>2. Investment Thesis</w:t>
      </w:r>
    </w:p>
    <w:p>
      <w:pPr>
        <w:pStyle w:val="Heading2"/>
      </w:pPr>
      <w:r>
        <w:rPr>
          <w:color w:val="004D2E"/>
        </w:rPr>
        <w:t>2.1 Category-Defining Product in a $34B TAM</w:t>
      </w:r>
    </w:p>
    <w:p>
      <w:pPr>
        <w:spacing w:after="120"/>
      </w:pPr>
      <w:r>
        <w:t>Financial institutions face a dual mandate to modernize legacy tech stacks for AI readiness while complying with increasingly stringent regulations (T+1 settlement, DORA, MiFID II). NovaCrest occupies a strategic gap between rigid legacy providers (Moody's Analytics, Regnology) and horizontal cloud platforms (Snowflake Financial Services), offering both the flexibility of a modern cloud stack and out-of-the-box financial intelligence.</w:t>
      </w:r>
    </w:p>
    <w:p>
      <w:pPr>
        <w:spacing w:after="120"/>
      </w:pPr>
      <w:r>
        <w:t>Dr. Sarah Chen, former CDO at EuroBank Corp, validated this positioning: "NovaCrest provides the flexibility and speed of a modern cloud stack with the out-of-the-box financial intelligence of a legacy provider."</w:t>
      </w:r>
    </w:p>
    <w:p>
      <w:r>
        <w:rPr>
          <w:i/>
          <w:color w:val="888888"/>
          <w:sz w:val="18"/>
        </w:rPr>
        <w:t>Sources: NovaCrest_CIM_2026:Market_Opportunity, Expert_Call_DataInfra_Specialist:Dr_Chen</w:t>
      </w:r>
    </w:p>
    <w:p>
      <w:pPr>
        <w:pStyle w:val="Heading2"/>
      </w:pPr>
      <w:r>
        <w:rPr>
          <w:color w:val="004D2E"/>
        </w:rPr>
        <w:t>2.2 European Expansion as a $40M Revenue Catalyst</w:t>
      </w:r>
    </w:p>
    <w:p>
      <w:pPr>
        <w:spacing w:after="120"/>
      </w:pPr>
      <w:r>
        <w:t>European banks face acute regulatory pressure from DORA and are legally prohibited from using non-EU data hosting for certain client data. NovaCrest's plan to establish localized EU data centers and a London HQ positions it to capture this demand. Management projects $40M in incremental European revenue over three years. Three existing LOIs from tier-one European asset managers de-risk this bet.</w:t>
      </w:r>
    </w:p>
    <w:p>
      <w:r>
        <w:rPr>
          <w:i/>
          <w:color w:val="888888"/>
          <w:sz w:val="18"/>
        </w:rPr>
        <w:t>Sources: Expert_Call_DataInfra_Specialist:Dr_Chen, Mgmt_Presentation_Transcript:Marcus_Vance</w:t>
      </w:r>
    </w:p>
    <w:p>
      <w:pPr>
        <w:pStyle w:val="Heading2"/>
      </w:pPr>
      <w:r>
        <w:rPr>
          <w:color w:val="004D2E"/>
        </w:rPr>
        <w:t>2.3 Elite Unit Economics with Proven Land-and-Expand</w:t>
      </w:r>
    </w:p>
    <w:p>
      <w:pPr>
        <w:spacing w:after="120"/>
      </w:pPr>
      <w:r>
        <w:t>Clients land with DataBridge at $180K ACV, then expand to RiskLens and ComplianceSync, driving ACVs to $500K+ within 12-18 months. This expansion dynamic sustains the 135% NRR. Customer reference Avalon Asset Management confirmed 70% reduction in data reconciliation time and $2M/year in cost savings.</w:t>
      </w:r>
    </w:p>
    <w:p>
      <w:r>
        <w:rPr>
          <w:i/>
          <w:color w:val="888888"/>
          <w:sz w:val="18"/>
        </w:rPr>
        <w:t>Sources: NovaCrest_CIM_2026:Go_to_Market, Customer_Reference_Avalon_AM:Lisa_Torres</w:t>
      </w:r>
    </w:p>
    <w:p>
      <w:pPr>
        <w:pStyle w:val="Heading1"/>
      </w:pPr>
      <w:r>
        <w:rPr>
          <w:color w:val="004D2E"/>
        </w:rPr>
        <w:t>3. Market Analysis</w:t>
      </w:r>
    </w:p>
    <w:p>
      <w:pPr>
        <w:spacing w:after="120"/>
      </w:pPr>
      <w:r>
        <w:t>The global TAM for financial data management software is $34B, with a SAM of $12B in North America and Western Europe. Growth is driven by regulatory tailwinds (DORA, T+1 settlement) and the institutional push to modernize data infrastructure for AI/ML adoption.</w:t>
      </w:r>
    </w:p>
    <w:p>
      <w:pPr>
        <w:spacing w:after="120"/>
      </w:pPr>
      <w:r>
        <w:t>The competitive landscape remains fragmented:</w:t>
      </w:r>
    </w:p>
    <w:p>
      <w:pPr>
        <w:spacing w:after="120"/>
      </w:pPr>
      <w:r>
        <w:t>• Legacy providers (Moody's Analytics, Regnology): Robust compliance tools but rigid architectures requiring months of professional services to implement.</w:t>
      </w:r>
    </w:p>
    <w:p>
      <w:pPr>
        <w:spacing w:after="120"/>
      </w:pPr>
      <w:r>
        <w:t>• Horizontal cloud platforms (Snowflake Financial Services): Powerful raw compute but require expensive internal teams to build financial data models.</w:t>
      </w:r>
    </w:p>
    <w:p>
      <w:pPr>
        <w:spacing w:after="120"/>
      </w:pPr>
      <w:r>
        <w:t>• Bloomberg B-PIPE expansion: Walled-garden approach that creates friction with proprietary or alternative data sources.</w:t>
      </w:r>
    </w:p>
    <w:p>
      <w:pPr>
        <w:spacing w:after="120"/>
      </w:pPr>
      <w:r>
        <w:t>[INSUFFICIENT DATA — REQUIRES ANALYST INPUT on specific DORA compliance timeline and enforcement penalties]</w:t>
      </w:r>
    </w:p>
    <w:p>
      <w:r>
        <w:rPr>
          <w:i/>
          <w:color w:val="888888"/>
          <w:sz w:val="18"/>
        </w:rPr>
        <w:t>Sources: NovaCrest_CIM_2026:Market_Opportunity, Mgmt_Presentation_Transcript:Marcus_Vance, Expert_Call_DataInfra_Specialist:Dr_Chen</w:t>
      </w:r>
    </w:p>
    <w:p>
      <w:pPr>
        <w:pStyle w:val="Heading1"/>
      </w:pPr>
      <w:r>
        <w:rPr>
          <w:color w:val="004D2E"/>
        </w:rPr>
        <w:t>4. Financial Projections</w:t>
      </w:r>
    </w:p>
    <w:p>
      <w:pPr>
        <w:spacing w:after="120"/>
      </w:pPr>
      <w:r>
        <w:t>Historical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2023</w:t>
            </w:r>
          </w:p>
        </w:tc>
        <w:tc>
          <w:tcPr>
            <w:tcW w:type="dxa" w:w="2160"/>
          </w:tcPr>
          <w:p>
            <w:r>
              <w:t>2024</w:t>
            </w:r>
          </w:p>
        </w:tc>
        <w:tc>
          <w:tcPr>
            <w:tcW w:type="dxa" w:w="2160"/>
          </w:tcPr>
          <w:p>
            <w:r>
              <w:t>2025</w:t>
            </w:r>
          </w:p>
        </w:tc>
      </w:tr>
      <w:tr>
        <w:tc>
          <w:tcPr>
            <w:tcW w:type="dxa" w:w="2160"/>
          </w:tcPr>
          <w:p>
            <w:r>
              <w:t>ARR</w:t>
            </w:r>
          </w:p>
        </w:tc>
        <w:tc>
          <w:tcPr>
            <w:tcW w:type="dxa" w:w="2160"/>
          </w:tcPr>
          <w:p>
            <w:r>
              <w:t>$8.0M</w:t>
            </w:r>
          </w:p>
        </w:tc>
        <w:tc>
          <w:tcPr>
            <w:tcW w:type="dxa" w:w="2160"/>
          </w:tcPr>
          <w:p>
            <w:r>
              <w:t>$18.0M</w:t>
            </w:r>
          </w:p>
        </w:tc>
        <w:tc>
          <w:tcPr>
            <w:tcW w:type="dxa" w:w="2160"/>
          </w:tcPr>
          <w:p>
            <w:r>
              <w:t>$31.0M</w:t>
            </w:r>
          </w:p>
        </w:tc>
      </w:tr>
      <w:tr>
        <w:tc>
          <w:tcPr>
            <w:tcW w:type="dxa" w:w="2160"/>
          </w:tcPr>
          <w:p>
            <w:r>
              <w:t>YoY Growth</w:t>
            </w:r>
          </w:p>
        </w:tc>
        <w:tc>
          <w:tcPr>
            <w:tcW w:type="dxa" w:w="2160"/>
          </w:tcPr>
          <w:p>
            <w:r>
              <w:t>—</w:t>
            </w:r>
          </w:p>
        </w:tc>
        <w:tc>
          <w:tcPr>
            <w:tcW w:type="dxa" w:w="2160"/>
          </w:tcPr>
          <w:p>
            <w:r>
              <w:t>125%</w:t>
            </w:r>
          </w:p>
        </w:tc>
        <w:tc>
          <w:tcPr>
            <w:tcW w:type="dxa" w:w="2160"/>
          </w:tcPr>
          <w:p>
            <w:r>
              <w:t>72%</w:t>
            </w:r>
          </w:p>
        </w:tc>
      </w:tr>
      <w:tr>
        <w:tc>
          <w:tcPr>
            <w:tcW w:type="dxa" w:w="2160"/>
          </w:tcPr>
          <w:p>
            <w:r>
              <w:t>Gross Margin</w:t>
            </w:r>
          </w:p>
        </w:tc>
        <w:tc>
          <w:tcPr>
            <w:tcW w:type="dxa" w:w="2160"/>
          </w:tcPr>
          <w:p>
            <w:r>
              <w:t>78%</w:t>
            </w:r>
          </w:p>
        </w:tc>
        <w:tc>
          <w:tcPr>
            <w:tcW w:type="dxa" w:w="2160"/>
          </w:tcPr>
          <w:p>
            <w:r>
              <w:t>78%</w:t>
            </w:r>
          </w:p>
        </w:tc>
        <w:tc>
          <w:tcPr>
            <w:tcW w:type="dxa" w:w="2160"/>
          </w:tcPr>
          <w:p>
            <w:r>
              <w:t>78%</w:t>
            </w:r>
          </w:p>
        </w:tc>
      </w:tr>
    </w:tbl>
    <w:p/>
    <w:p>
      <w:pPr>
        <w:spacing w:after="120"/>
      </w:pPr>
      <w:r>
        <w:t>Key Unit Economics:</w:t>
      </w:r>
    </w:p>
    <w:p>
      <w:pPr>
        <w:spacing w:after="120"/>
      </w:pPr>
      <w:r>
        <w:t>• Net Retention Rate: 135%</w:t>
      </w:r>
    </w:p>
    <w:p>
      <w:pPr>
        <w:spacing w:after="120"/>
      </w:pPr>
      <w:r>
        <w:t>• CAC Payback: 14 months</w:t>
      </w:r>
    </w:p>
    <w:p>
      <w:pPr>
        <w:spacing w:after="120"/>
      </w:pPr>
      <w:r>
        <w:t>• Rule of 40: 54 (72% growth + -18% FCF margin due to reinvestment)</w:t>
      </w:r>
    </w:p>
    <w:p>
      <w:pPr>
        <w:spacing w:after="120"/>
      </w:pPr>
      <w:r>
        <w:t>• Average landing ACV: $180K, expanding to $500K+</w:t>
      </w:r>
    </w:p>
    <w:p>
      <w:pPr>
        <w:spacing w:after="120"/>
      </w:pPr>
      <w:r>
        <w:br/>
        <w:t>Valuation: Pre-money $283M at $31M ARR = ~9.1x ARR multiple. For a company growing 72% YoY with 78% gross margins and 135% NRR, this represents a reasonable entry point relative to public SaaS comps trading at 10-15x ARR.</w:t>
      </w:r>
    </w:p>
    <w:p>
      <w:r>
        <w:rPr>
          <w:i/>
          <w:color w:val="888888"/>
          <w:sz w:val="18"/>
        </w:rPr>
        <w:t>Sources: NovaCrest_CIM_2026:Financial_Performance, Mgmt_Presentation_Transcript:Marcus_Vance</w:t>
      </w:r>
    </w:p>
    <w:p>
      <w:pPr>
        <w:pStyle w:val="Heading1"/>
      </w:pPr>
      <w:r>
        <w:rPr>
          <w:color w:val="004D2E"/>
        </w:rPr>
        <w:t>5. Deal Structure</w:t>
      </w:r>
    </w:p>
    <w:p>
      <w:pPr>
        <w:spacing w:after="120"/>
      </w:pPr>
      <w:r>
        <w:t>Transaction Overview:</w:t>
      </w:r>
    </w:p>
    <w:p>
      <w:pPr>
        <w:spacing w:after="120"/>
      </w:pPr>
      <w:r>
        <w:t>• Investment: $85M for 30% minority stake</w:t>
      </w:r>
    </w:p>
    <w:p>
      <w:pPr>
        <w:spacing w:after="120"/>
      </w:pPr>
      <w:r>
        <w:t>• Pre-money valuation: $283M</w:t>
      </w:r>
    </w:p>
    <w:p>
      <w:pPr>
        <w:spacing w:after="120"/>
      </w:pPr>
      <w:r>
        <w:t>• Post-money valuation: $368M</w:t>
      </w:r>
    </w:p>
    <w:p>
      <w:pPr>
        <w:spacing w:after="120"/>
      </w:pPr>
      <w:r>
        <w:t>• Deal type: Growth equity (Company is profitable)</w:t>
      </w:r>
    </w:p>
    <w:p>
      <w:pPr>
        <w:spacing w:after="120"/>
      </w:pPr>
      <w:r>
        <w:t>• Structure: Preferred equity with standard minority protections</w:t>
      </w:r>
    </w:p>
    <w:p>
      <w:pPr>
        <w:spacing w:after="120"/>
      </w:pPr>
      <w:r>
        <w:br/>
        <w:t>Use of Proceeds:</w:t>
      </w:r>
    </w:p>
    <w:p>
      <w:pPr>
        <w:spacing w:after="120"/>
      </w:pPr>
      <w:r>
        <w:t>• 40% ($34M): European expansion — London HQ, EU data centers, local GTM team</w:t>
      </w:r>
    </w:p>
    <w:p>
      <w:pPr>
        <w:spacing w:after="120"/>
      </w:pPr>
      <w:r>
        <w:t>• 35% ($30M): Product development — AI-native predictive analytics, 100 new integrations</w:t>
      </w:r>
    </w:p>
    <w:p>
      <w:pPr>
        <w:spacing w:after="120"/>
      </w:pPr>
      <w:r>
        <w:t>• 25% ($21M): Headcount — scaling 120 to 200, weighted toward CS and integration engineers</w:t>
      </w:r>
    </w:p>
    <w:p>
      <w:pPr>
        <w:spacing w:after="120"/>
      </w:pPr>
      <w:r>
        <w:br/>
        <w:t>Governance: Board seat, standard protective provisions, pro-rata rights, information rights.</w:t>
      </w:r>
    </w:p>
    <w:p>
      <w:pPr>
        <w:spacing w:after="120"/>
      </w:pPr>
      <w:r>
        <w:t>[REQUIRES LEGAL REVIEW — Term sheet specifics pending negotiation]</w:t>
      </w:r>
    </w:p>
    <w:p>
      <w:r>
        <w:rPr>
          <w:i/>
          <w:color w:val="888888"/>
          <w:sz w:val="18"/>
        </w:rPr>
        <w:t>Sources: NovaCrest_CIM_2026:Executive_Summary, NovaCrest_CIM_2026:Use_of_Proceeds</w:t>
      </w:r>
    </w:p>
    <w:p>
      <w:pPr>
        <w:pStyle w:val="Heading1"/>
      </w:pPr>
      <w:r>
        <w:rPr>
          <w:color w:val="004D2E"/>
        </w:rPr>
        <w:t>6. Risk Mitigation</w:t>
      </w:r>
    </w:p>
    <w:p>
      <w:pPr>
        <w:pStyle w:val="Heading2"/>
      </w:pPr>
      <w:r>
        <w:rPr>
          <w:color w:val="004D2E"/>
        </w:rPr>
        <w:t>6.1 Customer Concentration — HIGH</w:t>
      </w:r>
    </w:p>
    <w:p>
      <w:pPr>
        <w:spacing w:after="120"/>
      </w:pPr>
      <w:r>
        <w:t>Top 3 customers (Veracity Capital, Orion Global, Zenith Partners) account for 40% of ARR, though no single customer exceeds 15%. Management plans to dilute concentration through mid-market expansion and European entry.</w:t>
      </w:r>
    </w:p>
    <w:p>
      <w:pPr>
        <w:spacing w:after="120"/>
      </w:pPr>
      <w:r>
        <w:t>Recommendation: Negotiate a revenue diversification milestone tied to governance protections.</w:t>
      </w:r>
    </w:p>
    <w:p>
      <w:pPr>
        <w:pStyle w:val="Heading2"/>
      </w:pPr>
      <w:r>
        <w:rPr>
          <w:color w:val="004D2E"/>
        </w:rPr>
        <w:t>6.2 Onboarding &amp; Support Scalability — HIGH</w:t>
      </w:r>
    </w:p>
    <w:p>
      <w:pPr>
        <w:spacing w:after="120"/>
      </w:pPr>
      <w:r>
        <w:t>Multiple independent sources flagged this risk. Dr. Chen noted onboarding took 4 months — "too long for most banks." Former customer James Park cited support degradation post-Series A: "a critical API routing ticket took 4 days to resolve." Even satisfied customer Lisa Torres at Avalon AM flagged response time spikes. Management is allocating $21M to headcount, specifically CS and integration engineers.</w:t>
      </w:r>
    </w:p>
    <w:p>
      <w:pPr>
        <w:spacing w:after="120"/>
      </w:pPr>
      <w:r>
        <w:t>Recommendation: Tie a portion of investment tranche to hiring milestones for CS/support roles.</w:t>
      </w:r>
    </w:p>
    <w:p>
      <w:pPr>
        <w:pStyle w:val="Heading2"/>
      </w:pPr>
      <w:r>
        <w:rPr>
          <w:color w:val="004D2E"/>
        </w:rPr>
        <w:t>6.3 Pricing Strategy Risk — MEDIUM</w:t>
      </w:r>
    </w:p>
    <w:p>
      <w:pPr>
        <w:spacing w:after="120"/>
      </w:pPr>
      <w:r>
        <w:t>Former customer James Park cited a 40% price increase at renewal as a key factor in churning. CEO Marcus Vance characterized the departure as a "mutual decision" driven by scope creep. The narratives diverge — Meridian should diligence the renewal pricing framework further.</w:t>
      </w:r>
    </w:p>
    <w:p>
      <w:pPr>
        <w:spacing w:after="120"/>
      </w:pPr>
      <w:r>
        <w:t>Recommendation: Review pricing escalation clauses in 5 largest customer contracts.</w:t>
      </w:r>
    </w:p>
    <w:p>
      <w:pPr>
        <w:pStyle w:val="Heading2"/>
      </w:pPr>
      <w:r>
        <w:rPr>
          <w:color w:val="004D2E"/>
        </w:rPr>
        <w:t>6.4 SOC 2 Type II Certification Gap — MEDIUM</w:t>
      </w:r>
    </w:p>
    <w:p>
      <w:pPr>
        <w:spacing w:after="120"/>
      </w:pPr>
      <w:r>
        <w:t>NovaCrest currently holds only SOC 2 Type I. Lisa Torres stated her compliance team is "threatening to halt the RiskLens expansion" over this gap. European LOIs are also contingent on Type II.</w:t>
      </w:r>
    </w:p>
    <w:p>
      <w:pPr>
        <w:spacing w:after="120"/>
      </w:pPr>
      <w:r>
        <w:t>Recommendation: Make SOC 2 Type II completion a closing condition or near-term covenant.</w:t>
      </w:r>
    </w:p>
    <w:p>
      <w:pPr>
        <w:pStyle w:val="Heading2"/>
      </w:pPr>
      <w:r>
        <w:rPr>
          <w:color w:val="004D2E"/>
        </w:rPr>
        <w:t>6.5 Key Person Risk — LOW-MEDIUM</w:t>
      </w:r>
    </w:p>
    <w:p>
      <w:pPr>
        <w:spacing w:after="120"/>
      </w:pPr>
      <w:r>
        <w:t>Founder-led company with domain expertise concentrated in CEO (Marcus Vance) and CTO (Elena Rostova). VP Sales (Robert Hughes) is relatively new (joined 2024).</w:t>
      </w:r>
    </w:p>
    <w:p>
      <w:pPr>
        <w:spacing w:after="120"/>
      </w:pPr>
      <w:r>
        <w:t>Recommendation: Standard key-person insurance and retention packages.</w:t>
      </w:r>
    </w:p>
    <w:p>
      <w:r>
        <w:rPr>
          <w:i/>
          <w:color w:val="888888"/>
          <w:sz w:val="18"/>
        </w:rPr>
        <w:t>Sources: NovaCrest_CIM_2026:Risk_Factors, Expert_Call_DataInfra_Specialist, Expert_Call_Former_Customer, Customer_Reference_Avalon_AM, Mgmt_Presentation_Transcript</w:t>
      </w:r>
    </w:p>
    <w:p>
      <w:r>
        <w:br w:type="page"/>
      </w:r>
    </w:p>
    <w:p>
      <w:pPr>
        <w:jc w:val="center"/>
      </w:pPr>
      <w:r>
        <w:rPr>
          <w:i/>
          <w:color w:val="004D2E"/>
          <w:sz w:val="18"/>
        </w:rPr>
        <w:t>This memorandum was generated by Tracelight — AI-Powered Due Diligence Sidecar</w:t>
        <w:br/>
        <w:t>All citations are traceable to source documents in the Tracelight audit trail.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