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fssx15mr89n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DATABASE MANAGEMENT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rFonts w:ascii="Calibri" w:cs="Calibri" w:eastAsia="Calibri" w:hAnsi="Calibri"/>
          <w:b w:val="1"/>
        </w:rPr>
      </w:pPr>
      <w:bookmarkStart w:colFirst="0" w:colLast="0" w:name="_vvu9dy8dvs1u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Web-based Stock Organizer for Vape Shop</w:t>
      </w:r>
    </w:p>
    <w:p w:rsidR="00000000" w:rsidDel="00000000" w:rsidP="00000000" w:rsidRDefault="00000000" w:rsidRPr="00000000" w14:paraId="00000007">
      <w:pPr>
        <w:jc w:val="left"/>
        <w:rPr>
          <w:rFonts w:ascii="Calibri" w:cs="Calibri" w:eastAsia="Calibri" w:hAnsi="Calibri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GROUP NAMES: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Advincula, Klloyd Robert</w:t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Alvarez, Frances Nicole B.</w:t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Garcia, Justin Vlady Rain C.</w:t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Langcay, El Jusly Z.</w:t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Leal, Godwyn S.</w:t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Llaneras, Francine Jean</w:t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Nadonga, Maria Teresa V.</w:t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Perez, Mark Rey Lands B.</w:t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Perez, Ronnie Roi C.</w:t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Sabiniano, Rainjustine</w:t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Villegas, Chelsy Angelica N.</w:t>
      </w:r>
    </w:p>
    <w:p w:rsidR="00000000" w:rsidDel="00000000" w:rsidP="00000000" w:rsidRDefault="00000000" w:rsidRPr="00000000" w14:paraId="00000015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February 5, 2025</w:t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Company Name: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ape Bureau 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Company History / Profile:</w:t>
        <w:br w:type="textWrapping"/>
        <w:tab/>
        <w:t xml:space="preserve">Established: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2020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  <w:tab/>
        <w:t xml:space="preserve">Industry: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Vape Essentials Retail and Distribution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  <w:tab/>
        <w:t xml:space="preserve">Locations: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Manila, Cabiao, Quezon City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Company’s Information: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shop aims to provides high-quality vape essentials, including mods, pods, and disposable pods. Founded in 2020 by the Garcia siblings during the pandemic, their business grew through dedication and mother’s unwavering support.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="240" w:lineRule="auto"/>
        <w:ind w:firstLine="720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37598064tj97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Company’s Vision &amp; Growth</w:t>
      </w:r>
    </w:p>
    <w:p w:rsidR="00000000" w:rsidDel="00000000" w:rsidP="00000000" w:rsidRDefault="00000000" w:rsidRPr="00000000" w14:paraId="00000027">
      <w:pPr>
        <w:spacing w:after="240" w:before="240" w:line="240" w:lineRule="auto"/>
        <w:ind w:left="72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Rather than competing, the company’s focus on building strong relationships within the vape industry. Despite increasing regulations and taxes, their company remain stable by adapting and complying with legal standards.</w:t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72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720" w:firstLine="0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Company’s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Goals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72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Vape Bureau PH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primary goal for 2025 is to establish a dedicated warehouse to streamline inventory management and support further growth.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System Requirements:</w:t>
      </w:r>
    </w:p>
    <w:p w:rsidR="00000000" w:rsidDel="00000000" w:rsidP="00000000" w:rsidRDefault="00000000" w:rsidRPr="00000000" w14:paraId="0000002D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Product &amp; Inventory Management ensures efficient stock control by tracking inventory levels, and managing product listings. Order &amp; Transaction Processing facilitates seamless customer purchases by handling order placement. Customer Relationship Management (CRM)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centralizes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customer data, storing order history, preferences, and support inquiries, enabling businesses to enhance customer service and personalize user experiences.</w:t>
      </w:r>
    </w:p>
    <w:p w:rsidR="00000000" w:rsidDel="00000000" w:rsidP="00000000" w:rsidRDefault="00000000" w:rsidRPr="00000000" w14:paraId="0000002E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43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jc w:val="center"/>
      <w:rPr/>
    </w:pPr>
    <w:r w:rsidDel="00000000" w:rsidR="00000000" w:rsidRPr="00000000">
      <w:rPr>
        <w:rtl w:val="0"/>
      </w:rPr>
      <w:t xml:space="preserve">Unibersidad de Manila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4486275</wp:posOffset>
          </wp:positionH>
          <wp:positionV relativeFrom="paragraph">
            <wp:posOffset>-247649</wp:posOffset>
          </wp:positionV>
          <wp:extent cx="649784" cy="704850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9784" cy="7048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723900</wp:posOffset>
          </wp:positionH>
          <wp:positionV relativeFrom="paragraph">
            <wp:posOffset>-247649</wp:posOffset>
          </wp:positionV>
          <wp:extent cx="700088" cy="700088"/>
          <wp:effectExtent b="0" l="0" r="0" t="0"/>
          <wp:wrapNone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0088" cy="7000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3">
    <w:pPr>
      <w:jc w:val="center"/>
      <w:rPr/>
    </w:pPr>
    <w:r w:rsidDel="00000000" w:rsidR="00000000" w:rsidRPr="00000000">
      <w:rPr>
        <w:rtl w:val="0"/>
      </w:rPr>
      <w:t xml:space="preserve">College of Engineering and Technology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