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1B365D"/>
          <w:sz w:val="22"/>
        </w:rPr>
        <w:t>CITY GOVERNMENT OF CALAMBA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1B365D"/>
          <w:sz w:val="26"/>
        </w:rPr>
        <w:t>CITY COLLEGE OF CALAMBA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/>
          <w:color w:val="444444"/>
          <w:sz w:val="21"/>
        </w:rPr>
        <w:t>Dalubhasaan ng Lungsod ng Calamba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222222"/>
          <w:sz w:val="22"/>
        </w:rPr>
        <w:t>Department of Computing and Information Sciences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Old Municipal Site, Brgy. VII, Poblacion, Calamba City, Laguna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(049) 559-8900 to 8907 / (02) 8-5395-170 to 171</w:t>
      </w:r>
    </w:p>
    <w:p>
      <w:pPr>
        <w:spacing w:before="80" w:after="120"/>
        <w:pBdr>
          <w:bottom w:val="single" w:sz="6" w:space="1" w:color="1B365D"/>
        </w:pBdr>
      </w:pP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0F2A4A"/>
          <w:sz w:val="25"/>
        </w:rPr>
        <w:t>SYSTEM EVALUATION QUESTIONNAIRE (ISO/IEC 25010:2023)</w:t>
      </w:r>
    </w:p>
    <w:p>
      <w:pPr>
        <w:spacing w:before="40" w:after="40"/>
      </w:pPr>
      <w:r>
        <w:rPr>
          <w:b/>
        </w:rPr>
        <w:t xml:space="preserve">Instrument Type: </w:t>
      </w:r>
      <w:r>
        <w:t>Expert Validator / Technical Evaluation Instrument</w:t>
      </w:r>
    </w:p>
    <w:p>
      <w:pPr>
        <w:spacing w:before="40" w:after="120"/>
      </w:pPr>
      <w:r>
        <w:rPr>
          <w:b/>
        </w:rPr>
        <w:t xml:space="preserve">Study Title: </w:t>
      </w:r>
      <w:r>
        <w:rPr>
          <w:i/>
        </w:rPr>
        <w:t>“Pickle C-LB: Specialized Cross-Platform Mobile Application with Hybrid Filtering and Geospatial Event Indexing for the Pickleball Community in Calamba and Los Baños, Laguna”</w:t>
      </w:r>
    </w:p>
    <w:p>
      <w:pPr>
        <w:spacing w:before="80" w:after="120"/>
        <w:pBdr>
          <w:bottom w:val="single" w:sz="6" w:space="1" w:color="1B365D"/>
        </w:pBdr>
      </w:pPr>
    </w:p>
    <w:p>
      <w:pPr>
        <w:spacing w:before="80" w:after="120"/>
        <w:jc w:val="left"/>
      </w:pPr>
      <w:r>
        <w:rPr>
          <w:rFonts w:ascii="Times New Roman" w:hAnsi="Times New Roman"/>
          <w:b/>
          <w:i w:val="0"/>
          <w:color w:val="222222"/>
          <w:sz w:val="23"/>
        </w:rPr>
        <w:t>Dear Validator,</w:t>
      </w:r>
    </w:p>
    <w:p>
      <w:pPr>
        <w:spacing w:line="276" w:lineRule="auto" w:after="120"/>
        <w:ind w:firstLine="576"/>
      </w:pPr>
      <w:r>
        <w:t xml:space="preserve">We are 4th-year Bachelor of Science in Computer Science students from the City College of Calamba (CCC) currently conducting our undergraduate thesis entitled </w:t>
      </w:r>
      <w:r>
        <w:rPr>
          <w:b/>
        </w:rPr>
        <w:t>“Pickle C-LB: Specialized Cross-Platform Mobile Application with Hybrid Filtering and Geospatial Event Indexing for the Pickleball Community in Calamba and Los Baños, Laguna.”</w:t>
      </w:r>
      <w:r>
        <w:t xml:space="preserve"> As part of our research and software verification process, we respectfully request your assistance and professional expertise in evaluating our developed system, </w:t>
      </w:r>
      <w:r>
        <w:rPr>
          <w:b/>
        </w:rPr>
        <w:t>Pickle C-LB</w:t>
      </w:r>
      <w:r>
        <w:t xml:space="preserve">, using the </w:t>
      </w:r>
      <w:r>
        <w:rPr>
          <w:b/>
        </w:rPr>
        <w:t>ISO/IEC 25010 Software Quality Model.</w:t>
      </w:r>
    </w:p>
    <w:p>
      <w:pPr>
        <w:spacing w:line="276" w:lineRule="auto" w:after="120"/>
        <w:ind w:firstLine="576"/>
      </w:pPr>
      <w:r>
        <w:t>Your technical expertise and professional judgment are valuable in assessing the architectural soundness, algorithmic precision, interface responsiveness, reliability, and security of the system based on the ISO/IEC 25010 standards. Your feedback, critique, and recommendations will help identify areas for system refinement and ensure that the application meets acceptable software engineering and community deployment standards.</w:t>
      </w:r>
    </w:p>
    <w:p>
      <w:pPr>
        <w:spacing w:line="276" w:lineRule="auto" w:after="120"/>
        <w:ind w:firstLine="576"/>
      </w:pPr>
      <w:r>
        <w:t xml:space="preserve">All information and evaluation ratings that you provide will be treated with strict confidentiality and used solely for academic research purposes. In compliance with </w:t>
      </w:r>
      <w:r>
        <w:rPr>
          <w:b/>
        </w:rPr>
        <w:t>Republic Act No. 10173 (Data Privacy Act of 2012)</w:t>
      </w:r>
      <w:r>
        <w:t>, any personal or professional information collected will be protected, kept confidential, and will not be disclosed to unauthorized individuals.</w:t>
      </w:r>
    </w:p>
    <w:p>
      <w:pPr>
        <w:spacing w:before="40" w:after="120"/>
        <w:jc w:val="left"/>
      </w:pPr>
      <w:r>
        <w:rPr>
          <w:rFonts w:ascii="Times New Roman" w:hAnsi="Times New Roman"/>
          <w:b w:val="0"/>
          <w:i w:val="0"/>
          <w:color w:val="222222"/>
          <w:sz w:val="22"/>
        </w:rPr>
        <w:t>We sincerely appreciate your time, support, and valuable contribution to our research. Thank you for sharing your knowledge and expertise in helping us improve our system.</w:t>
      </w:r>
    </w:p>
    <w:p>
      <w:pPr>
        <w:spacing w:before="40" w:after="200"/>
        <w:jc w:val="left"/>
      </w:pPr>
      <w:r>
        <w:rPr>
          <w:rFonts w:ascii="Times New Roman" w:hAnsi="Times New Roman"/>
          <w:b w:val="0"/>
          <w:i w:val="0"/>
          <w:color w:val="222222"/>
          <w:sz w:val="22"/>
        </w:rPr>
        <w:t>Respectfully yours,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/>
              <w:jc w:val="left"/>
            </w:pPr>
            <w:r>
              <w:rPr>
                <w:b/>
                <w:sz w:val="21"/>
              </w:rPr>
              <w:t>Cortez, [First Name M.]</w:t>
            </w:r>
          </w:p>
          <w:p>
            <w:pPr>
              <w:spacing w:after="120"/>
              <w:jc w:val="left"/>
            </w:pPr>
            <w:r>
              <w:rPr>
                <w:i/>
                <w:color w:val="555555"/>
                <w:sz w:val="19"/>
              </w:rPr>
              <w:t>Student Researcher</w:t>
            </w:r>
          </w:p>
        </w:tc>
        <w:tc>
          <w:tcPr>
            <w:tcW w:type="dxa" w:w="4680"/>
          </w:tcPr>
          <w:p>
            <w:pPr>
              <w:spacing w:after="20"/>
              <w:jc w:val="left"/>
            </w:pPr>
            <w:r>
              <w:rPr>
                <w:b/>
                <w:sz w:val="21"/>
              </w:rPr>
              <w:t>Navasero, Kiel Arthur M.</w:t>
            </w:r>
          </w:p>
          <w:p>
            <w:pPr>
              <w:spacing w:after="120"/>
              <w:jc w:val="left"/>
            </w:pPr>
            <w:r>
              <w:rPr>
                <w:i/>
                <w:color w:val="555555"/>
                <w:sz w:val="19"/>
              </w:rPr>
              <w:t>Student Researcher</w:t>
            </w:r>
          </w:p>
        </w:tc>
      </w:tr>
      <w:tr>
        <w:tc>
          <w:tcPr>
            <w:tcW w:type="dxa" w:w="4680"/>
          </w:tcPr>
          <w:p>
            <w:pPr>
              <w:spacing w:after="20"/>
              <w:jc w:val="left"/>
            </w:pPr>
            <w:r>
              <w:rPr>
                <w:b/>
                <w:sz w:val="21"/>
              </w:rPr>
              <w:t>Ordoñez, [First Name M.]</w:t>
            </w:r>
          </w:p>
          <w:p>
            <w:pPr>
              <w:spacing w:after="120"/>
              <w:jc w:val="left"/>
            </w:pPr>
            <w:r>
              <w:rPr>
                <w:i/>
                <w:color w:val="555555"/>
                <w:sz w:val="19"/>
              </w:rPr>
              <w:t>Student Researcher</w:t>
            </w:r>
          </w:p>
        </w:tc>
        <w:tc>
          <w:tcPr>
            <w:tcW w:type="dxa" w:w="4680"/>
          </w:tcPr>
          <w:p>
            <w:pPr>
              <w:spacing w:after="20"/>
              <w:jc w:val="left"/>
            </w:pPr>
          </w:p>
        </w:tc>
      </w:tr>
    </w:tbl>
    <w:p>
      <w:pPr>
        <w:spacing w:before="80" w:after="120"/>
        <w:pBdr>
          <w:bottom w:val="single" w:sz="6" w:space="1" w:color="1B365D"/>
        </w:pBdr>
      </w:pPr>
    </w:p>
    <w:p>
      <w:pPr>
        <w:spacing w:line="276" w:lineRule="auto" w:before="80" w:after="120"/>
      </w:pPr>
      <w:r>
        <w:rPr>
          <w:b/>
        </w:rPr>
        <w:t xml:space="preserve">Instruction: </w:t>
      </w:r>
      <w:r>
        <w:t>Please test the Pickle C-LB application features and read each statement carefully. Select the number that best describes your technical evaluation using the 1 to 4 rating scale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left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008"/>
        <w:gridCol w:w="2592"/>
        <w:gridCol w:w="1584"/>
        <w:gridCol w:w="4176"/>
      </w:tblGrid>
      <w:tr>
        <w:trPr>
          <w:tblHeader/>
          <w:cantSplit/>
        </w:trPr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Rating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Response Option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Point Range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pPr>
              <w:jc w:val="left"/>
            </w:pPr>
            <w:r>
              <w:rPr>
                <w:b/>
                <w:sz w:val="18"/>
              </w:rPr>
              <w:t>Strongly Agree (SA)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3.50 – 4.00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pPr>
              <w:jc w:val="left"/>
            </w:pPr>
            <w:r>
              <w:rPr>
                <w:sz w:val="18"/>
              </w:rPr>
              <w:t>The quality characteristic is fully satisfied with exceptional precision, stability, and adherence to software specifications.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b/>
                <w:sz w:val="18"/>
              </w:rPr>
              <w:t>Agree (A)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jc w:val="center"/>
            </w:pPr>
            <w:r>
              <w:rPr>
                <w:sz w:val="18"/>
              </w:rPr>
              <w:t>2.51 – 3.49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sz w:val="18"/>
              </w:rPr>
              <w:t>The quality characteristic is met with only minor, non-disruptive observations or design nuances.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pPr>
              <w:jc w:val="left"/>
            </w:pPr>
            <w:r>
              <w:rPr>
                <w:b/>
                <w:sz w:val="18"/>
              </w:rPr>
              <w:t>Disagree (D)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1.51 – 2.50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pPr>
              <w:jc w:val="left"/>
            </w:pPr>
            <w:r>
              <w:rPr>
                <w:sz w:val="18"/>
              </w:rPr>
              <w:t>The quality characteristic exhibits noticeable functional difficulties, partial non-conformance, or performance bottlenecks.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b/>
                <w:sz w:val="18"/>
              </w:rPr>
              <w:t>Strongly Disagree (SD)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jc w:val="center"/>
            </w:pPr>
            <w:r>
              <w:rPr>
                <w:sz w:val="18"/>
              </w:rPr>
              <w:t>1.00 – 1.50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sz w:val="18"/>
              </w:rPr>
              <w:t>The quality characteristic is absent, defective, or fails to meet acceptable software engineering standards.</w:t>
            </w:r>
          </w:p>
        </w:tc>
      </w:tr>
    </w:tbl>
    <w:p>
      <w:pPr>
        <w:spacing w:before="0" w:after="120"/>
        <w:jc w:val="left"/>
      </w:pPr>
    </w:p>
    <w:p>
      <w:pPr>
        <w:spacing w:before="80" w:after="120"/>
        <w:pBdr>
          <w:bottom w:val="single" w:sz="6" w:space="1" w:color="1B365D"/>
        </w:pBdr>
      </w:pPr>
    </w:p>
    <w:p>
      <w:pPr>
        <w:spacing w:before="120" w:after="120"/>
        <w:jc w:val="left"/>
      </w:pPr>
      <w:r>
        <w:rPr>
          <w:rFonts w:ascii="Times New Roman" w:hAnsi="Times New Roman"/>
          <w:b/>
          <w:i w:val="0"/>
          <w:color w:val="1B365D"/>
          <w:sz w:val="24"/>
        </w:rPr>
        <w:t>SOFTWARE QUALITY EVALUATION MATRIX (ISO/IEC 25010:2023)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20" w:type="dxa"/>
              <w:right w:w="120" w:type="dxa"/>
            </w:tcMar>
            <w:shd w:fill="F2F6FA"/>
            <w:tcBorders>
              <w:top w:val="none"/>
              <w:bottom w:val="none"/>
              <w:left w:val="single" w:sz="16" w:space="0" w:color="1B365D"/>
              <w:right w:val="none"/>
            </w:tcBorders>
          </w:tcPr>
          <w:p>
            <w:pPr>
              <w:spacing w:before="20" w:after="40"/>
            </w:pPr>
            <w:r>
              <w:rPr>
                <w:b/>
                <w:color w:val="1B365D"/>
                <w:sz w:val="20"/>
              </w:rPr>
              <w:t xml:space="preserve">A. Functional Suitability: </w:t>
            </w:r>
            <w:r>
              <w:rPr>
                <w:i/>
                <w:color w:val="333333"/>
                <w:sz w:val="19"/>
              </w:rPr>
              <w:t>This section measures whether Pickle C-LB provides the complete, accurate, and appropriate set of functions required to support geospatial court indexing, hybrid player matchmaking, session management, and match result verification.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AC5"/>
          <w:bottom w:val="single" w:sz="4" w:space="0" w:color="B0BAC5"/>
          <w:left w:val="single" w:sz="4" w:space="0" w:color="B0BAC5"/>
          <w:right w:val="single" w:sz="4" w:space="0" w:color="B0BAC5"/>
          <w:insideH w:val="single" w:sz="4" w:space="0" w:color="B0BAC5"/>
          <w:insideV w:val="single" w:sz="4" w:space="0" w:color="B0BAC5"/>
        </w:tblBorders>
      </w:tblPr>
      <w:tblGrid>
        <w:gridCol w:w="5040"/>
        <w:gridCol w:w="648"/>
        <w:gridCol w:w="648"/>
        <w:gridCol w:w="648"/>
        <w:gridCol w:w="648"/>
        <w:gridCol w:w="1728"/>
      </w:tblGrid>
      <w:tr>
        <w:trPr>
          <w:tblHeader/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Indicators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1</w:t>
              <w:br/>
              <w:t>(SD)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2</w:t>
              <w:br/>
              <w:t>(D)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3</w:t>
              <w:br/>
              <w:t>(A)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4</w:t>
              <w:br/>
              <w:t>(SA)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Comments &amp;</w:t>
              <w:br/>
              <w:t>Suggestions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Geospatial Court Directory &amp; Indexing: </w:t>
            </w:r>
            <w:r>
              <w:rPr>
                <w:sz w:val="19"/>
              </w:rPr>
              <w:t>The system provides an accurate directory and map representation of pickleball facilities in Calamba and Los Baños, including court counts, surface specifications, operating hours, and location markers.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Two-Stage Hybrid Filtering Matchmaking: </w:t>
            </w:r>
            <w:r>
              <w:rPr>
                <w:sz w:val="19"/>
              </w:rPr>
              <w:t>The matchmaking engine correctly filters candidates through deterministic gates (geographic radius, weekly availability overlap ≥ 60 mins, skill tier adjacency) and computes calibrated compatibility scores (τ* = 0.90).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OpenPlay Session Management: </w:t>
            </w:r>
            <w:r>
              <w:rPr>
                <w:sz w:val="19"/>
              </w:rPr>
              <w:t>The system provides organizers and court managers with tools to schedule OpenPlay sessions, set player participant caps, and display venue payment instructions.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Two-Phase Match Result Integrity: </w:t>
            </w:r>
            <w:r>
              <w:rPr>
                <w:sz w:val="19"/>
              </w:rPr>
              <w:t>The match recording module implements a two-phase confirmation protocol requiring opponent verification before match results impact player career records and corridor leaderboards.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In-App Communication &amp; Court Sharing: </w:t>
            </w:r>
            <w:r>
              <w:rPr>
                <w:sz w:val="19"/>
              </w:rPr>
              <w:t>Matched players can communicate through secure 1:1 in-app messaging and directly exchange venue location cards.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</w:p>
        </w:tc>
      </w:tr>
    </w:tbl>
    <w:p>
      <w:pPr>
        <w:spacing w:before="0" w:after="12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20" w:type="dxa"/>
              <w:right w:w="120" w:type="dxa"/>
            </w:tcMar>
            <w:shd w:fill="F2F6FA"/>
            <w:tcBorders>
              <w:top w:val="none"/>
              <w:bottom w:val="none"/>
              <w:left w:val="single" w:sz="16" w:space="0" w:color="1B365D"/>
              <w:right w:val="none"/>
            </w:tcBorders>
          </w:tcPr>
          <w:p>
            <w:pPr>
              <w:spacing w:before="20" w:after="40"/>
            </w:pPr>
            <w:r>
              <w:rPr>
                <w:b/>
                <w:color w:val="1B365D"/>
                <w:sz w:val="20"/>
              </w:rPr>
              <w:t xml:space="preserve">B. Performance Efficiency: </w:t>
            </w:r>
            <w:r>
              <w:rPr>
                <w:i/>
                <w:color w:val="333333"/>
                <w:sz w:val="19"/>
              </w:rPr>
              <w:t>This section measures how fast, smoothly, and responsively Pickle C-LB performs during gameplay coordination, map exploration, and algorithmic matchmaking.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AC5"/>
          <w:bottom w:val="single" w:sz="4" w:space="0" w:color="B0BAC5"/>
          <w:left w:val="single" w:sz="4" w:space="0" w:color="B0BAC5"/>
          <w:right w:val="single" w:sz="4" w:space="0" w:color="B0BAC5"/>
          <w:insideH w:val="single" w:sz="4" w:space="0" w:color="B0BAC5"/>
          <w:insideV w:val="single" w:sz="4" w:space="0" w:color="B0BAC5"/>
        </w:tblBorders>
      </w:tblPr>
      <w:tblGrid>
        <w:gridCol w:w="5040"/>
        <w:gridCol w:w="648"/>
        <w:gridCol w:w="648"/>
        <w:gridCol w:w="648"/>
        <w:gridCol w:w="648"/>
        <w:gridCol w:w="1728"/>
      </w:tblGrid>
      <w:tr>
        <w:trPr>
          <w:tblHeader/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Indicators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1</w:t>
              <w:br/>
              <w:t>(SD)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2</w:t>
              <w:br/>
              <w:t>(D)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3</w:t>
              <w:br/>
              <w:t>(A)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4</w:t>
              <w:br/>
              <w:t>(SA)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Comments &amp;</w:t>
              <w:br/>
              <w:t>Suggestions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Interface Responsiveness: </w:t>
            </w:r>
            <w:r>
              <w:rPr>
                <w:sz w:val="19"/>
              </w:rPr>
              <w:t>The application responds without lagging or freezing when navigating between tabs, opening screens, or interacting with UI components.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Geospatial Indexing &amp; Map Performance: </w:t>
            </w:r>
            <w:r>
              <w:rPr>
                <w:sz w:val="19"/>
              </w:rPr>
              <w:t>The corridor map view, clustering, and venue location markers load and render efficiently during pan and zoom gestures across Calamba and Los Baños.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Matchmaking Algorithm Execution Speed: </w:t>
            </w:r>
            <w:r>
              <w:rPr>
                <w:sz w:val="19"/>
              </w:rPr>
              <w:t>Compatibility scoring, gate evaluation, and candidate ranking execute within acceptable response times without causing UI blocking.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Real-Time Data Synchronization: </w:t>
            </w:r>
            <w:r>
              <w:rPr>
                <w:sz w:val="19"/>
              </w:rPr>
              <w:t>Session participant counts and in-app chat messages update dynamically in the application without requiring a manual app restart.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Device Resource Behavior: </w:t>
            </w:r>
            <w:r>
              <w:rPr>
                <w:sz w:val="19"/>
              </w:rPr>
              <w:t>The mobile device maintains stable memory utilization and operates without excessive battery consumption or overheating during testing.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</w:p>
        </w:tc>
      </w:tr>
    </w:tbl>
    <w:p>
      <w:pPr>
        <w:spacing w:before="0" w:after="12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20" w:type="dxa"/>
              <w:right w:w="120" w:type="dxa"/>
            </w:tcMar>
            <w:shd w:fill="F2F6FA"/>
            <w:tcBorders>
              <w:top w:val="none"/>
              <w:bottom w:val="none"/>
              <w:left w:val="single" w:sz="16" w:space="0" w:color="1B365D"/>
              <w:right w:val="none"/>
            </w:tcBorders>
          </w:tcPr>
          <w:p>
            <w:pPr>
              <w:spacing w:before="20" w:after="40"/>
            </w:pPr>
            <w:r>
              <w:rPr>
                <w:b/>
                <w:color w:val="1B365D"/>
                <w:sz w:val="20"/>
              </w:rPr>
              <w:t xml:space="preserve">C. Interaction Capability / Usability: </w:t>
            </w:r>
            <w:r>
              <w:rPr>
                <w:i/>
                <w:color w:val="333333"/>
                <w:sz w:val="19"/>
              </w:rPr>
              <w:t>This section measures how easy and intuitive it is to interact with Pickle C-LB, including understanding the interface, configuring preferences, and navigating core features.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AC5"/>
          <w:bottom w:val="single" w:sz="4" w:space="0" w:color="B0BAC5"/>
          <w:left w:val="single" w:sz="4" w:space="0" w:color="B0BAC5"/>
          <w:right w:val="single" w:sz="4" w:space="0" w:color="B0BAC5"/>
          <w:insideH w:val="single" w:sz="4" w:space="0" w:color="B0BAC5"/>
          <w:insideV w:val="single" w:sz="4" w:space="0" w:color="B0BAC5"/>
        </w:tblBorders>
      </w:tblPr>
      <w:tblGrid>
        <w:gridCol w:w="5040"/>
        <w:gridCol w:w="648"/>
        <w:gridCol w:w="648"/>
        <w:gridCol w:w="648"/>
        <w:gridCol w:w="648"/>
        <w:gridCol w:w="1728"/>
      </w:tblGrid>
      <w:tr>
        <w:trPr>
          <w:tblHeader/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Indicators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1</w:t>
              <w:br/>
              <w:t>(SD)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2</w:t>
              <w:br/>
              <w:t>(D)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3</w:t>
              <w:br/>
              <w:t>(A)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4</w:t>
              <w:br/>
              <w:t>(SA)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Comments &amp;</w:t>
              <w:br/>
              <w:t>Suggestions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Visual Presentation &amp; Clarity: </w:t>
            </w:r>
            <w:r>
              <w:rPr>
                <w:sz w:val="19"/>
              </w:rPr>
              <w:t>Interface typography, icons, color contrast, and design tokens provide high legibility and an aesthetically pleasing presentation.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Schedule Configuration Usability: </w:t>
            </w:r>
            <w:r>
              <w:rPr>
                <w:sz w:val="19"/>
              </w:rPr>
              <w:t>Setting up weekly availability windows using the interactive schedule grid is intuitive and manageable.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Explainable Match Pairing Indicators: </w:t>
            </w:r>
            <w:r>
              <w:rPr>
                <w:sz w:val="19"/>
              </w:rPr>
              <w:t>Match cards display identifiable criteria badges (e.g., skill tier parity, schedule overlap, spatial proximity) clearly explaining why a player was suggested.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Navigational Pathways: </w:t>
            </w:r>
            <w:r>
              <w:rPr>
                <w:sz w:val="19"/>
              </w:rPr>
              <w:t>Accessing court directions, facility information, and session details can be completed through logical, straightforward navigation paths.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User Prompts &amp; Confirmation Feedback: </w:t>
            </w:r>
            <w:r>
              <w:rPr>
                <w:sz w:val="19"/>
              </w:rPr>
              <w:t>The application provides clear dialogs, feedback prompts, and confirmation steps before critical actions are executed (e.g., joining sessions or submitting match scores).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</w:p>
        </w:tc>
      </w:tr>
    </w:tbl>
    <w:p>
      <w:pPr>
        <w:spacing w:before="0" w:after="12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20" w:type="dxa"/>
              <w:right w:w="120" w:type="dxa"/>
            </w:tcMar>
            <w:shd w:fill="F2F6FA"/>
            <w:tcBorders>
              <w:top w:val="none"/>
              <w:bottom w:val="none"/>
              <w:left w:val="single" w:sz="16" w:space="0" w:color="1B365D"/>
              <w:right w:val="none"/>
            </w:tcBorders>
          </w:tcPr>
          <w:p>
            <w:pPr>
              <w:spacing w:before="20" w:after="40"/>
            </w:pPr>
            <w:r>
              <w:rPr>
                <w:b/>
                <w:color w:val="1B365D"/>
                <w:sz w:val="20"/>
              </w:rPr>
              <w:t xml:space="preserve">D. Reliability: </w:t>
            </w:r>
            <w:r>
              <w:rPr>
                <w:i/>
                <w:color w:val="333333"/>
                <w:sz w:val="19"/>
              </w:rPr>
              <w:t>This section measures whether Pickle C-LB functions consistently without crashing, freezing, or losing user progress during continuous use and network disruptions.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AC5"/>
          <w:bottom w:val="single" w:sz="4" w:space="0" w:color="B0BAC5"/>
          <w:left w:val="single" w:sz="4" w:space="0" w:color="B0BAC5"/>
          <w:right w:val="single" w:sz="4" w:space="0" w:color="B0BAC5"/>
          <w:insideH w:val="single" w:sz="4" w:space="0" w:color="B0BAC5"/>
          <w:insideV w:val="single" w:sz="4" w:space="0" w:color="B0BAC5"/>
        </w:tblBorders>
      </w:tblPr>
      <w:tblGrid>
        <w:gridCol w:w="5040"/>
        <w:gridCol w:w="648"/>
        <w:gridCol w:w="648"/>
        <w:gridCol w:w="648"/>
        <w:gridCol w:w="648"/>
        <w:gridCol w:w="1728"/>
      </w:tblGrid>
      <w:tr>
        <w:trPr>
          <w:tblHeader/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Indicators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1</w:t>
              <w:br/>
              <w:t>(SD)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2</w:t>
              <w:br/>
              <w:t>(D)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3</w:t>
              <w:br/>
              <w:t>(A)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4</w:t>
              <w:br/>
              <w:t>(SA)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Comments &amp;</w:t>
              <w:br/>
              <w:t>Suggestions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System Stability: </w:t>
            </w:r>
            <w:r>
              <w:rPr>
                <w:sz w:val="19"/>
              </w:rPr>
              <w:t>The application remains functional without unexpected crashes, freezes, or unhandled exceptions during continuous operation.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Data Persistence &amp; State Retention: </w:t>
            </w:r>
            <w:r>
              <w:rPr>
                <w:sz w:val="19"/>
              </w:rPr>
              <w:t>Saved user profile details, session registrations, and confirmed match histories remain intact across sessions and app restarts.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Network Interruption Resilience: </w:t>
            </w:r>
            <w:r>
              <w:rPr>
                <w:sz w:val="19"/>
              </w:rPr>
              <w:t>The application handles unstable or disconnected network states gracefully by displaying appropriate connectivity alerts without data loss.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Score Verification Safeguards: </w:t>
            </w:r>
            <w:r>
              <w:rPr>
                <w:sz w:val="19"/>
              </w:rPr>
              <w:t>The two-phase match logging system reliably prevents unconfirmed or disputed scores from affecting personal career statistics or leaderboard rankings.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Input Validation &amp; Exception Handling: </w:t>
            </w:r>
            <w:r>
              <w:rPr>
                <w:sz w:val="19"/>
              </w:rPr>
              <w:t>Data entry forms (e.g., session hosting, score recording, profile setup) validate inputs effectively and indicate specific errors when invalid data is entered.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</w:p>
        </w:tc>
      </w:tr>
    </w:tbl>
    <w:p>
      <w:pPr>
        <w:spacing w:before="0" w:after="12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20" w:type="dxa"/>
              <w:right w:w="120" w:type="dxa"/>
            </w:tcMar>
            <w:shd w:fill="F2F6FA"/>
            <w:tcBorders>
              <w:top w:val="none"/>
              <w:bottom w:val="none"/>
              <w:left w:val="single" w:sz="16" w:space="0" w:color="1B365D"/>
              <w:right w:val="none"/>
            </w:tcBorders>
          </w:tcPr>
          <w:p>
            <w:pPr>
              <w:spacing w:before="20" w:after="40"/>
            </w:pPr>
            <w:r>
              <w:rPr>
                <w:b/>
                <w:color w:val="1B365D"/>
                <w:sz w:val="20"/>
              </w:rPr>
              <w:t xml:space="preserve">E. Security &amp; Data Protection (Republic Act No. 10173): </w:t>
            </w:r>
            <w:r>
              <w:rPr>
                <w:i/>
                <w:color w:val="333333"/>
                <w:sz w:val="19"/>
              </w:rPr>
              <w:t>This section measures the technical protections implemented to safeguard player privacy, confidential user communications, and algorithmic integrity.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AC5"/>
          <w:bottom w:val="single" w:sz="4" w:space="0" w:color="B0BAC5"/>
          <w:left w:val="single" w:sz="4" w:space="0" w:color="B0BAC5"/>
          <w:right w:val="single" w:sz="4" w:space="0" w:color="B0BAC5"/>
          <w:insideH w:val="single" w:sz="4" w:space="0" w:color="B0BAC5"/>
          <w:insideV w:val="single" w:sz="4" w:space="0" w:color="B0BAC5"/>
        </w:tblBorders>
      </w:tblPr>
      <w:tblGrid>
        <w:gridCol w:w="5040"/>
        <w:gridCol w:w="648"/>
        <w:gridCol w:w="648"/>
        <w:gridCol w:w="648"/>
        <w:gridCol w:w="648"/>
        <w:gridCol w:w="1728"/>
      </w:tblGrid>
      <w:tr>
        <w:trPr>
          <w:tblHeader/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Indicators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1</w:t>
              <w:br/>
              <w:t>(SD)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2</w:t>
              <w:br/>
              <w:t>(D)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3</w:t>
              <w:br/>
              <w:t>(A)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4</w:t>
              <w:br/>
              <w:t>(SA)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Comments &amp;</w:t>
              <w:br/>
              <w:t>Suggestions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Location Privacy &amp; Coordinate Masking: </w:t>
            </w:r>
            <w:r>
              <w:rPr>
                <w:sz w:val="19"/>
              </w:rPr>
              <w:t>The application displays approximate corridor distance (in km) to potential match partners without exposing exact residential coordinates or street addresses.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Account &amp; Communication Isolation: </w:t>
            </w:r>
            <w:r>
              <w:rPr>
                <w:sz w:val="19"/>
              </w:rPr>
              <w:t>Private chat conversations, contact details, and user profiles are accessible only within authenticated user sessions.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 xml:space="preserve">Auditability &amp; Dispute Transparency: </w:t>
            </w:r>
            <w:r>
              <w:rPr>
                <w:sz w:val="19"/>
              </w:rPr>
              <w:t>Match score submissions provide transparent state tracking (pending, confirmed, disputed), preventing fraudulent rating modifications.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777777"/>
                <w:sz w:val="20"/>
              </w:rPr>
              <w:t>[  ]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</w:p>
        </w:tc>
      </w:tr>
    </w:tbl>
    <w:p>
      <w:pPr>
        <w:spacing w:before="0" w:after="120"/>
        <w:jc w:val="left"/>
      </w:pPr>
    </w:p>
    <w:p>
      <w:pPr>
        <w:spacing w:before="80" w:after="120"/>
        <w:pBdr>
          <w:bottom w:val="single" w:sz="6" w:space="1" w:color="1B365D"/>
        </w:pBdr>
      </w:pPr>
    </w:p>
    <w:p>
      <w:pPr>
        <w:spacing w:before="120" w:after="120"/>
        <w:jc w:val="left"/>
      </w:pPr>
      <w:r>
        <w:rPr>
          <w:rFonts w:ascii="Times New Roman" w:hAnsi="Times New Roman"/>
          <w:b/>
          <w:i w:val="0"/>
          <w:color w:val="1B365D"/>
          <w:sz w:val="23"/>
        </w:rPr>
        <w:t>OVERALL ASSESSMENT &amp; RECOMMENDATIONS</w:t>
      </w:r>
    </w:p>
    <w:p>
      <w:pPr>
        <w:spacing w:before="40" w:after="80"/>
        <w:jc w:val="left"/>
      </w:pPr>
      <w:r>
        <w:rPr>
          <w:rFonts w:ascii="Times New Roman" w:hAnsi="Times New Roman"/>
          <w:b/>
          <w:i w:val="0"/>
          <w:color w:val="222222"/>
          <w:sz w:val="21"/>
        </w:rPr>
        <w:t>Overall Validation Recommendation (Please check one):</w:t>
      </w:r>
    </w:p>
    <w:p>
      <w:pPr>
        <w:spacing w:before="20" w:after="40"/>
        <w:ind w:left="432"/>
      </w:pPr>
      <w:r>
        <w:rPr>
          <w:b/>
        </w:rPr>
        <w:t xml:space="preserve">[  ]  </w:t>
      </w:r>
      <w:r>
        <w:t>Accept without revision</w:t>
      </w:r>
    </w:p>
    <w:p>
      <w:pPr>
        <w:spacing w:before="20" w:after="40"/>
        <w:ind w:left="432"/>
      </w:pPr>
      <w:r>
        <w:rPr>
          <w:b/>
        </w:rPr>
        <w:t xml:space="preserve">[  ]  </w:t>
      </w:r>
      <w:r>
        <w:t>Accept with minor revision</w:t>
      </w:r>
    </w:p>
    <w:p>
      <w:pPr>
        <w:spacing w:before="20" w:after="40"/>
        <w:ind w:left="432"/>
      </w:pPr>
      <w:r>
        <w:rPr>
          <w:b/>
        </w:rPr>
        <w:t xml:space="preserve">[  ]  </w:t>
      </w:r>
      <w:r>
        <w:t>Accept with major revision</w:t>
      </w:r>
    </w:p>
    <w:p>
      <w:pPr>
        <w:spacing w:before="20" w:after="40"/>
        <w:ind w:left="432"/>
      </w:pPr>
      <w:r>
        <w:rPr>
          <w:b/>
        </w:rPr>
        <w:t xml:space="preserve">[  ]  </w:t>
      </w:r>
      <w:r>
        <w:t>Revise and resubmit for validation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color w:val="222222"/>
          <w:sz w:val="21"/>
        </w:rPr>
        <w:t>Qualitative Comments, Technical Critique, and Recommendations: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none"/>
              <w:bottom w:val="single" w:sz="4" w:space="0" w:color="CCCCCC"/>
              <w:left w:val="none"/>
              <w:right w:val="none"/>
            </w:tcBorders>
          </w:tcPr>
          <w:p>
            <w:pPr>
              <w:spacing w:after="0"/>
            </w:pPr>
            <w:r/>
          </w:p>
        </w:tc>
      </w:tr>
      <w:tr>
        <w:trPr>
          <w:cantSplit/>
        </w:trPr>
        <w:tc>
          <w:tcPr>
            <w:tcW w:type="dxa" w:w="9360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none"/>
              <w:bottom w:val="single" w:sz="4" w:space="0" w:color="CCCCCC"/>
              <w:left w:val="none"/>
              <w:right w:val="none"/>
            </w:tcBorders>
          </w:tcPr>
          <w:p>
            <w:pPr>
              <w:spacing w:after="0"/>
            </w:pPr>
            <w:r/>
          </w:p>
        </w:tc>
      </w:tr>
      <w:tr>
        <w:trPr>
          <w:cantSplit/>
        </w:trPr>
        <w:tc>
          <w:tcPr>
            <w:tcW w:type="dxa" w:w="9360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none"/>
              <w:bottom w:val="single" w:sz="4" w:space="0" w:color="CCCCCC"/>
              <w:left w:val="none"/>
              <w:right w:val="none"/>
            </w:tcBorders>
          </w:tcPr>
          <w:p>
            <w:pPr>
              <w:spacing w:after="0"/>
            </w:pPr>
            <w:r/>
          </w:p>
        </w:tc>
      </w:tr>
      <w:tr>
        <w:trPr>
          <w:cantSplit/>
        </w:trPr>
        <w:tc>
          <w:tcPr>
            <w:tcW w:type="dxa" w:w="9360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none"/>
              <w:bottom w:val="single" w:sz="4" w:space="0" w:color="CCCCCC"/>
              <w:left w:val="none"/>
              <w:right w:val="none"/>
            </w:tcBorders>
          </w:tcPr>
          <w:p>
            <w:pPr>
              <w:spacing w:after="0"/>
            </w:pPr>
            <w:r/>
          </w:p>
        </w:tc>
      </w:tr>
      <w:tr>
        <w:trPr>
          <w:cantSplit/>
        </w:trPr>
        <w:tc>
          <w:tcPr>
            <w:tcW w:type="dxa" w:w="9360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none"/>
              <w:bottom w:val="single" w:sz="4" w:space="0" w:color="CCCCCC"/>
              <w:left w:val="none"/>
              <w:right w:val="none"/>
            </w:tcBorders>
          </w:tcPr>
          <w:p>
            <w:pPr>
              <w:spacing w:after="0"/>
            </w:pPr>
            <w:r/>
          </w:p>
        </w:tc>
      </w:tr>
    </w:tbl>
    <w:p>
      <w:pPr>
        <w:spacing w:before="0" w:after="160"/>
        <w:jc w:val="left"/>
      </w:pPr>
    </w:p>
    <w:p>
      <w:pPr>
        <w:spacing w:before="80" w:after="120"/>
        <w:pBdr>
          <w:bottom w:val="single" w:sz="6" w:space="1" w:color="1B365D"/>
        </w:pBdr>
      </w:pPr>
    </w:p>
    <w:p>
      <w:pPr>
        <w:spacing w:before="120" w:after="80"/>
        <w:jc w:val="left"/>
      </w:pPr>
      <w:r>
        <w:rPr>
          <w:rFonts w:ascii="Times New Roman" w:hAnsi="Times New Roman"/>
          <w:b/>
          <w:i w:val="0"/>
          <w:color w:val="1B365D"/>
          <w:sz w:val="23"/>
        </w:rPr>
        <w:t>EXPERT VALIDATOR'S CREDENTIALS &amp; SIGNATURE</w:t>
      </w:r>
    </w:p>
    <w:p>
      <w:pPr>
        <w:spacing w:line="276" w:lineRule="auto" w:after="280"/>
        <w:ind w:firstLine="576"/>
      </w:pPr>
      <w:r>
        <w:t xml:space="preserve">I hereby confirm that I have evaluated the </w:t>
      </w:r>
      <w:r>
        <w:rPr>
          <w:b/>
        </w:rPr>
        <w:t>Pickle C-LB</w:t>
      </w:r>
      <w:r>
        <w:t xml:space="preserve"> mobile application under normal operational conditions, and that the ratings and recommendations reflected above represent my objective assessment based on the </w:t>
      </w:r>
      <w:r>
        <w:rPr>
          <w:b/>
        </w:rPr>
        <w:t>ISO/IEC 25010 Software Quality 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t>_____________________________________________________________________</w:t>
            </w:r>
          </w:p>
          <w:p>
            <w:pPr>
              <w:spacing w:after="120"/>
            </w:pPr>
            <w:r>
              <w:rPr>
                <w:b/>
                <w:sz w:val="19"/>
              </w:rPr>
              <w:t>Signature over Printed Name of Expert Validator</w:t>
            </w:r>
          </w:p>
        </w:tc>
      </w:tr>
      <w:tr>
        <w:trPr>
          <w:cantSplit/>
        </w:trPr>
        <w:tc>
          <w:tcPr>
            <w:tcW w:type="dxa" w:w="9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20"/>
              </w:rPr>
              <w:t>Designation / Academic Rank / Title: __________________________________________________</w:t>
            </w:r>
          </w:p>
        </w:tc>
      </w:tr>
      <w:tr>
        <w:trPr>
          <w:cantSplit/>
        </w:trPr>
        <w:tc>
          <w:tcPr>
            <w:tcW w:type="dxa" w:w="9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20"/>
              </w:rPr>
              <w:t>Affiliation / Institution: ______________________________________________________________</w:t>
            </w:r>
          </w:p>
        </w:tc>
      </w:tr>
      <w:tr>
        <w:trPr>
          <w:cantSplit/>
        </w:trPr>
        <w:tc>
          <w:tcPr>
            <w:tcW w:type="dxa" w:w="9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20"/>
              </w:rPr>
              <w:t>Field of Specialization: 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9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20"/>
              </w:rPr>
              <w:t>Highest Educational Attainment: ________________________      Date: ____________________</w:t>
            </w:r>
          </w:p>
        </w:tc>
      </w:tr>
    </w:tbl>
    <w:p>
      <w:pPr>
        <w:spacing w:before="0" w:after="120"/>
        <w:jc w:val="left"/>
      </w:pPr>
    </w:p>
    <w:p>
      <w:pPr>
        <w:spacing w:before="80" w:after="120"/>
        <w:pBdr>
          <w:bottom w:val="single" w:sz="6" w:space="1" w:color="1B365D"/>
        </w:pBdr>
      </w:pPr>
    </w:p>
    <w:p>
      <w:pPr>
        <w:spacing w:before="0" w:after="20"/>
        <w:jc w:val="center"/>
      </w:pPr>
      <w:r>
        <w:rPr>
          <w:rFonts w:ascii="Times New Roman" w:hAnsi="Times New Roman"/>
          <w:b w:val="0"/>
          <w:i/>
          <w:color w:val="666666"/>
          <w:sz w:val="18"/>
        </w:rPr>
        <w:t>City College of Calamba — Department of Computing and Information Sciences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666666"/>
          <w:sz w:val="18"/>
        </w:rPr>
        <w:t>Pickle C-LB Research Group © 2026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</w:pPr>
    <w:r>
      <w:rPr>
        <w:rFonts w:ascii="Times New Roman" w:hAnsi="Times New Roman"/>
        <w:i/>
        <w:color w:val="555555"/>
        <w:sz w:val="17"/>
      </w:rPr>
      <w:t>Old Municipal Site, Brgy. VII, Poblacion, Calamba City, Laguna</w:t>
      <w:br/>
      <w:t>(049) 559-8900 to 8907 / (02) 8-5395-170 to 171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