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emorix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color w:val="00A896"/>
          <w:sz w:val="22"/>
        </w:rPr>
        <w:t>PROYECTO INTERMODULAR • 2º DAM</w:t>
      </w:r>
    </w:p>
    <w:p>
      <w:pPr>
        <w:spacing w:after="80" w:line="264" w:lineRule="auto"/>
        <w:jc w:val="center"/>
      </w:pPr>
      <w:r>
        <w:rPr>
          <w:rFonts w:ascii="Calibri" w:hAnsi="Calibri"/>
          <w:b/>
          <w:color w:val="050C26"/>
          <w:sz w:val="64"/>
        </w:rPr>
        <w:t>Memorix</w:t>
      </w:r>
    </w:p>
    <w:p>
      <w:pPr>
        <w:spacing w:after="280" w:line="288" w:lineRule="auto"/>
        <w:jc w:val="center"/>
      </w:pPr>
      <w:r>
        <w:rPr>
          <w:rFonts w:ascii="Calibri" w:hAnsi="Calibri"/>
          <w:i/>
          <w:color w:val="0038FF"/>
          <w:sz w:val="26"/>
        </w:rPr>
        <w:t>Asistente Móvil Inteligente de Tratamientos Farmacológicos y Rehabilitación Muscular Asistida</w:t>
      </w:r>
    </w:p>
    <w:p>
      <w:pPr>
        <w:spacing w:after="360"/>
        <w:jc w:val="center"/>
      </w:pPr>
      <w:r>
        <w:rPr>
          <w:color w:val="CBD5E1"/>
        </w:rPr>
        <w:t>————————————————————————————————</w:t>
      </w:r>
    </w:p>
    <w:p>
      <w:pPr>
        <w:spacing w:after="1200" w:line="312" w:lineRule="auto"/>
        <w:jc w:val="center"/>
      </w:pPr>
      <w:r>
        <w:rPr>
          <w:rFonts w:ascii="Calibri" w:hAnsi="Calibri"/>
          <w:color w:val="64748B"/>
          <w:sz w:val="22"/>
        </w:rPr>
        <w:t>Tarea 0: Una Solución Digital para un Problema Real</w:t>
        <w:br/>
        <w:t>Propuesta Inicial y Definición del Proyecto Intermodular</w:t>
      </w:r>
    </w:p>
    <w:p>
      <w:pPr>
        <w:spacing w:line="312" w:lineRule="auto" w:after="0"/>
        <w:jc w:val="center"/>
      </w:pPr>
      <w:r>
        <w:rPr>
          <w:b/>
          <w:sz w:val="24"/>
        </w:rPr>
        <w:t xml:space="preserve">Alumno: </w:t>
      </w:r>
      <w:r>
        <w:rPr>
          <w:sz w:val="24"/>
        </w:rPr>
        <w:t>Kevin [Apellidos]</w:t>
        <w:br/>
      </w:r>
      <w:r>
        <w:rPr>
          <w:b/>
          <w:sz w:val="24"/>
        </w:rPr>
        <w:t xml:space="preserve">Curso: </w:t>
      </w:r>
      <w:r>
        <w:rPr>
          <w:sz w:val="24"/>
        </w:rPr>
        <w:t>2º Desarrollo de Aplicaciones Multiplataforma (DAM)</w:t>
        <w:br/>
      </w:r>
      <w:r>
        <w:rPr>
          <w:b/>
          <w:sz w:val="24"/>
        </w:rPr>
        <w:t xml:space="preserve">Módulo: </w:t>
      </w:r>
      <w:r>
        <w:rPr>
          <w:sz w:val="24"/>
        </w:rPr>
        <w:t>Proyecto Intermodular | Convocatoria 2026/2027</w:t>
      </w:r>
    </w:p>
    <w:p>
      <w:r>
        <w:br w:type="page"/>
      </w:r>
    </w:p>
    <w:p>
      <w:bookmarkStart w:id="1" w:name="toc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Índice de Contenidos</w:t>
      </w:r>
      <w:bookmarkEnd w:id="1"/>
    </w:p>
    <w:p>
      <w:pPr>
        <w:spacing w:line="288" w:lineRule="auto" w:after="40"/>
      </w:pPr>
      <w:hyperlink w:anchor="sec_problema" w:history="1">
        <w:r>
          <w:rPr>
            <w:rFonts w:ascii="Calibri" w:hAnsi="Calibri"/>
            <w:color w:val="050C26"/>
            <w:u w:val="single"/>
          </w:rPr>
          <w:t>1. Problema o Necesidad Detectada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..............................................  </w:t>
      </w:r>
      <w:r>
        <w:rPr>
          <w:rFonts w:ascii="Calibri" w:hAnsi="Calibri"/>
          <w:b/>
          <w:color w:val="050C26"/>
          <w:sz w:val="22"/>
        </w:rPr>
        <w:t>Pág. 2</w:t>
      </w:r>
    </w:p>
    <w:p>
      <w:pPr>
        <w:spacing w:line="288" w:lineRule="auto" w:after="40"/>
      </w:pPr>
      <w:hyperlink w:anchor="sec_solucion" w:history="1">
        <w:r>
          <w:rPr>
            <w:rFonts w:ascii="Calibri" w:hAnsi="Calibri"/>
            <w:color w:val="050C26"/>
            <w:u w:val="single"/>
          </w:rPr>
          <w:t>2. Solución Digital: Memorix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..............................................  </w:t>
      </w:r>
      <w:r>
        <w:rPr>
          <w:rFonts w:ascii="Calibri" w:hAnsi="Calibri"/>
          <w:b/>
          <w:color w:val="050C26"/>
          <w:sz w:val="22"/>
        </w:rPr>
        <w:t>Pág. 2</w:t>
      </w:r>
    </w:p>
    <w:p>
      <w:pPr>
        <w:spacing w:line="288" w:lineRule="auto" w:after="40"/>
      </w:pPr>
      <w:hyperlink w:anchor="sec_funcionalidades" w:history="1">
        <w:r>
          <w:rPr>
            <w:rFonts w:ascii="Calibri" w:hAnsi="Calibri"/>
            <w:color w:val="050C26"/>
            <w:u w:val="single"/>
          </w:rPr>
          <w:t>3. Funcionalidades de la Propuesta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..............................................  </w:t>
      </w:r>
      <w:r>
        <w:rPr>
          <w:rFonts w:ascii="Calibri" w:hAnsi="Calibri"/>
          <w:b/>
          <w:color w:val="050C26"/>
          <w:sz w:val="22"/>
        </w:rPr>
        <w:t>Pág. 3</w:t>
      </w:r>
    </w:p>
    <w:p>
      <w:pPr>
        <w:spacing w:line="288" w:lineRule="auto" w:after="40"/>
      </w:pPr>
      <w:hyperlink w:anchor="sec_mejora" w:history="1">
        <w:r>
          <w:rPr>
            <w:rFonts w:ascii="Calibri" w:hAnsi="Calibri"/>
            <w:color w:val="050C26"/>
            <w:u w:val="single"/>
          </w:rPr>
          <w:t>4. Mejora Futura y Escalabilidad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..............................................  </w:t>
      </w:r>
      <w:r>
        <w:rPr>
          <w:rFonts w:ascii="Calibri" w:hAnsi="Calibri"/>
          <w:b/>
          <w:color w:val="050C26"/>
          <w:sz w:val="22"/>
        </w:rPr>
        <w:t>Pág. 3</w:t>
      </w:r>
    </w:p>
    <w:p>
      <w:pPr>
        <w:spacing w:line="288" w:lineRule="auto" w:after="40"/>
      </w:pPr>
      <w:hyperlink w:anchor="sec_imagen" w:history="1">
        <w:r>
          <w:rPr>
            <w:rFonts w:ascii="Calibri" w:hAnsi="Calibri"/>
            <w:color w:val="050C26"/>
            <w:u w:val="single"/>
          </w:rPr>
          <w:t>5. Identidad Visual y Prototipo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..............................................  </w:t>
      </w:r>
      <w:r>
        <w:rPr>
          <w:rFonts w:ascii="Calibri" w:hAnsi="Calibri"/>
          <w:b/>
          <w:color w:val="050C26"/>
          <w:sz w:val="22"/>
        </w:rPr>
        <w:t>Pág. 3</w:t>
      </w:r>
    </w:p>
    <w:p>
      <w:pPr>
        <w:spacing w:line="288" w:lineRule="auto" w:after="40"/>
      </w:pPr>
      <w:hyperlink w:anchor="sec_fuentes" w:history="1">
        <w:r>
          <w:rPr>
            <w:rFonts w:ascii="Calibri" w:hAnsi="Calibri"/>
            <w:color w:val="050C26"/>
            <w:u w:val="single"/>
          </w:rPr>
          <w:t>6. Fuentes y Referencias Consultadas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..............................................  </w:t>
      </w:r>
      <w:r>
        <w:rPr>
          <w:rFonts w:ascii="Calibri" w:hAnsi="Calibri"/>
          <w:b/>
          <w:color w:val="050C26"/>
          <w:sz w:val="22"/>
        </w:rPr>
        <w:t>Pág. 3</w:t>
      </w:r>
    </w:p>
    <w:p>
      <w:bookmarkStart w:id="2" w:name="sec_problema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1. Problema o Necesidad Detectada</w:t>
      </w:r>
      <w:bookmarkEnd w:id="2"/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¿Qué ocurre? </w:t>
      </w:r>
      <w:r>
        <w:rPr>
          <w:rFonts w:ascii="Calibri" w:hAnsi="Calibri"/>
          <w:color w:val="1E293B"/>
          <w:sz w:val="24"/>
        </w:rPr>
        <w:t>El incumplimiento terapéutico constituye una de las mayores crisis silenciosas de la salud pública. En pacientes con tratamientos continuados, es habitual olvidar tomas, confundir posologías o abandonar medicamentos esenciales por incomprensión de las instrucciones. De forma paralela, las personas que sufren traumatismos o dolor muscular no realizan su rehabilitación física domiciliaria porque las pautas en papel se extravían o no garantizan una postura correcta.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¿A quién afecta? </w:t>
      </w:r>
      <w:r>
        <w:rPr>
          <w:rFonts w:ascii="Calibri" w:hAnsi="Calibri"/>
          <w:color w:val="1E293B"/>
          <w:sz w:val="24"/>
        </w:rPr>
        <w:t>Afecta principalmente a personas mayores con polimedicación y a pacientes con fases tempranas de Alzheimer o deterioro cognitivo leve. Asimismo, genera una severa sobrecarga mental en cuidadores y familiares, obligados a supervisar las tomas diarias sin herramientas automáticas. En el plano motriz, afecta a deportistas, trabajadores sedentarios y personas en recuperación de lesiones traumatológicas.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¿Por qué puede mejorarse y ODS? </w:t>
      </w:r>
      <w:r>
        <w:rPr>
          <w:rFonts w:ascii="Calibri" w:hAnsi="Calibri"/>
          <w:color w:val="1E293B"/>
          <w:sz w:val="24"/>
        </w:rPr>
        <w:t>El teléfono móvil permite sustituir la incertidumbre del papel por alarmas habladas, confirmaciones táctiles simples e interfaces de máximo contraste visual (Modo Memorix). La propuesta impacta de lleno en el ODS 3 (Salud y Bienestar) al prevenir ingresos hospitalarios por error farmacológico y acelerar la recuperación física, y en el ODS 10 (Reducción de las Desigualdades) al eliminar la brecha digital en personas mayores.</w:t>
      </w:r>
    </w:p>
    <w:p>
      <w:bookmarkStart w:id="3" w:name="sec_solucion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2. Solución Digital: Memorix</w:t>
      </w:r>
      <w:bookmarkEnd w:id="3"/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Explicación de la idea: </w:t>
      </w:r>
      <w:r>
        <w:rPr>
          <w:rFonts w:ascii="Calibri" w:hAnsi="Calibri"/>
          <w:color w:val="1E293B"/>
          <w:sz w:val="24"/>
        </w:rPr>
        <w:t>Memorix es una aplicación móvil multiplataforma (Android e iOS) concebida como un copiloto de salud accesible que fusiona la disciplina del tratamiento farmacológico con la actividad física de rehabilitación motriz en un entorno gráfico de alta visibilidad.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¿Qué permitiría hacer? </w:t>
      </w:r>
      <w:r>
        <w:rPr>
          <w:rFonts w:ascii="Calibri" w:hAnsi="Calibri"/>
          <w:color w:val="1E293B"/>
          <w:sz w:val="24"/>
        </w:rPr>
        <w:t>Memorix programa alarmas prioritarias que leen en voz alta el nombre del medicamento, dosis y pauta de ingesta (ej. 'tomar con agua tras la comida'). Dispone de confirmación de un solo toque y alerta diferida automática al cuidador ante retrasos. En paralelo, integra un entrenador de fisioterapia con rutinas visuales, temporizador guiado y ejercicios específicos para tonificar músculos lesionados o aliviar dolores musculares.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¿Quién utilizaría la aplicación? </w:t>
      </w:r>
      <w:r>
        <w:rPr>
          <w:rFonts w:ascii="Calibri" w:hAnsi="Calibri"/>
          <w:color w:val="1E293B"/>
          <w:sz w:val="24"/>
        </w:rPr>
        <w:t>1) Pacientes senior o con problemas de memoria (interfaz 'Modo Fácil' de alto contraste); 2) Usuarios en rehabilitación muscular o con dolores de espalda/cuello; 3) Cuidadores y familiares que requieren tele-supervisión tranquila y eficaz.</w:t>
      </w:r>
    </w:p>
    <w:p>
      <w:r>
        <w:br w:type="page"/>
      </w:r>
    </w:p>
    <w:p>
      <w:bookmarkStart w:id="4" w:name="sec_funcionalidades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3. Funcionalidades de la Propuesta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50C26"/>
          <w:insideH w:val="single" w:sz="4" w:space="0" w:color="E2E8F0"/>
          <w:insideV w:val="none"/>
          <w:left w:val="none"/>
          <w:right w:val="none"/>
        </w:tblBorders>
      </w:tblPr>
      <w:tblGrid>
        <w:gridCol w:w="4730"/>
        <w:gridCol w:w="4730"/>
      </w:tblGrid>
      <w:tr>
        <w:tc>
          <w:tcPr>
            <w:tcW w:type="dxa" w:w="3168"/>
            <w:shd w:fill="050C26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Funcionalidad</w:t>
            </w:r>
          </w:p>
        </w:tc>
        <w:tc>
          <w:tcPr>
            <w:tcW w:type="dxa" w:w="6480"/>
            <w:shd w:fill="050C26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Registro y Perfil Dual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Configuración de perfiles adaptados: modo autónomo, modo asistido (para mayores) y perfil de cuidador supervisor.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Alarmas con Locución por Voz</w:t>
            </w:r>
          </w:p>
        </w:tc>
        <w:tc>
          <w:tcPr>
            <w:tcW w:type="dxa" w:w="64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Avisos sonoros que reproducen por síntesis de voz el nombre del fármaco, dosis e instrucciones comprensibles.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Confirmación y Antiolvido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Botón táctil de gran formato para confirmar la ingesta; registra hora exacta para evitar dosis duplicadas.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Alerta SOS a Cuidadores</w:t>
            </w:r>
          </w:p>
        </w:tc>
        <w:tc>
          <w:tcPr>
            <w:tcW w:type="dxa" w:w="64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Si tras 20 minutos no se confirma una toma prioritaria, Memorix avisa por notificación push o SMS al contacto asignado.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Módulo de Fisioterapia Activa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Catálogo interactivo con rutinas visuales para dolor lumbar, hombro, rodilla o cuello con conteo de series y descanso.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Prospecto Accesible</w:t>
            </w:r>
          </w:p>
        </w:tc>
        <w:tc>
          <w:tcPr>
            <w:tcW w:type="dxa" w:w="64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Resumen claro sin tecnicismos que indica la función del fármaco, advertencias y alimentos incompatibles.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Modo Contraste Accesible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Temas cromáticos optimizados (azul profundo, cian, menta y blanco) diseñados para máxima legibilidad visual (WCAG).</w:t>
            </w:r>
          </w:p>
        </w:tc>
      </w:tr>
    </w:tbl>
    <w:p>
      <w:bookmarkStart w:id="5" w:name="sec_mejora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4. Mejora Futura y Escalabilidad</w:t>
      </w:r>
      <w:bookmarkEnd w:id="5"/>
    </w:p>
    <w:p>
      <w:pPr>
        <w:spacing w:line="360" w:lineRule="auto" w:after="60"/>
        <w:jc w:val="both"/>
      </w:pPr>
      <w:r>
        <w:rPr>
          <w:rFonts w:ascii="Calibri" w:hAnsi="Calibri"/>
          <w:b/>
          <w:color w:val="00A896"/>
          <w:sz w:val="24"/>
        </w:rPr>
        <w:t xml:space="preserve">• Evolución del sistema: </w:t>
      </w:r>
      <w:r>
        <w:rPr>
          <w:rFonts w:ascii="Calibri" w:hAnsi="Calibri"/>
          <w:color w:val="1E293B"/>
          <w:sz w:val="24"/>
        </w:rPr>
        <w:t>Como salto tecnológico se incorporará Visión por Computador (Computer Vision) mediante la cámara frontal para evaluar la ejecución de los ejercicios de rehabilitación y corregir la postura en directo. Además, se integrará con pulseras inteligentes (vibración háptica y detección de caídas), pastilleros IoT con apertura inteligente y sincronización con los sistemas de receta electrónica autonómicos.</w:t>
      </w:r>
    </w:p>
    <w:p>
      <w:bookmarkStart w:id="6" w:name="sec_imagen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5. Identidad Visual y Prototipo de la Propuesta</w:t>
      </w:r>
      <w:bookmarkEnd w:id="6"/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47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emorix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4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4748B"/>
          <w:sz w:val="18"/>
        </w:rPr>
        <w:t>Figura 1: Prototipo funcional de Memorix (Alarma con audio-guía y sesión de ejercicios guiados).</w:t>
      </w:r>
    </w:p>
    <w:p>
      <w:bookmarkStart w:id="7" w:name="sec_fuentes"/>
      <w:pPr>
        <w:keepNext/>
        <w:spacing w:before="160" w:after="40" w:line="276" w:lineRule="auto"/>
      </w:pPr>
      <w:r>
        <w:rPr>
          <w:rFonts w:ascii="Calibri" w:hAnsi="Calibri"/>
          <w:b/>
          <w:color w:val="050C26"/>
          <w:sz w:val="28"/>
        </w:rPr>
        <w:t>6. Fuentes y Referencias Consultadas</w:t>
      </w:r>
      <w:bookmarkEnd w:id="7"/>
    </w:p>
    <w:p>
      <w:pPr>
        <w:spacing w:line="276" w:lineRule="auto" w:after="40"/>
      </w:pPr>
      <w:r>
        <w:rPr>
          <w:rFonts w:ascii="Calibri" w:hAnsi="Calibri"/>
          <w:b/>
          <w:sz w:val="22"/>
        </w:rPr>
        <w:t xml:space="preserve">• Organización Mundial de la Salud (OMS): </w:t>
      </w:r>
      <w:hyperlink r:id="rId13" w:history="1">
        <w:r>
          <w:rPr>
            <w:rFonts w:ascii="Calibri" w:hAnsi="Calibri"/>
            <w:color w:val="00A896"/>
            <w:u w:val="single"/>
          </w:rPr>
          <w:t>Adherencia a los tratamientos a largo plazo: pruebas para la acción (Enlace web)</w:t>
        </w:r>
      </w:hyperlink>
    </w:p>
    <w:p>
      <w:pPr>
        <w:spacing w:line="276" w:lineRule="auto" w:after="40"/>
      </w:pPr>
      <w:r>
        <w:rPr>
          <w:rFonts w:ascii="Calibri" w:hAnsi="Calibri"/>
          <w:b/>
          <w:sz w:val="22"/>
        </w:rPr>
        <w:t xml:space="preserve">• Sociedad Española de Geriatría y Gerontología (SEGG): </w:t>
      </w:r>
      <w:hyperlink r:id="rId14" w:history="1">
        <w:r>
          <w:rPr>
            <w:rFonts w:ascii="Calibri" w:hAnsi="Calibri"/>
            <w:color w:val="00A896"/>
            <w:u w:val="single"/>
          </w:rPr>
          <w:t>Guías de buena práctica clínica en polimedicación y personas mayores (Enlace web)</w:t>
        </w:r>
      </w:hyperlink>
    </w:p>
    <w:p>
      <w:pPr>
        <w:spacing w:line="276" w:lineRule="auto" w:after="40"/>
      </w:pPr>
      <w:r>
        <w:rPr>
          <w:rFonts w:ascii="Calibri" w:hAnsi="Calibri"/>
          <w:b/>
          <w:sz w:val="22"/>
        </w:rPr>
        <w:t xml:space="preserve">• Naciones Unidas (ODS): </w:t>
      </w:r>
      <w:hyperlink r:id="rId15" w:history="1">
        <w:r>
          <w:rPr>
            <w:rFonts w:ascii="Calibri" w:hAnsi="Calibri"/>
            <w:color w:val="00A896"/>
            <w:u w:val="single"/>
          </w:rPr>
          <w:t>Objetivo 3: Salud y Bienestar y Objetivo 10: Reducción de las Desigualdades (Enlace web)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Memorix  •  Propuesta Inicial</w:t>
      <w:tab/>
      <w:tab/>
      <w:t xml:space="preserve">Página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Proyecto Intermodular - 2º DAM  |  Tarea 0: Memorix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Calibri" w:hAnsi="Calibri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hyperlink" Target="https://www.who.int/es/publications/i/item/9241545992" TargetMode="External"/><Relationship Id="rId14" Type="http://schemas.openxmlformats.org/officeDocument/2006/relationships/hyperlink" Target="https://www.segg.es" TargetMode="External"/><Relationship Id="rId15" Type="http://schemas.openxmlformats.org/officeDocument/2006/relationships/hyperlink" Target="https://www.un.org/sustainabledevelopment/es/heal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