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4F770" w14:textId="77777777" w:rsidR="006B280C" w:rsidRPr="00AA752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sidRPr="00AA752A">
        <w:rPr>
          <w:rFonts w:ascii="Times New Roman" w:eastAsia="Times New Roman" w:hAnsi="Times New Roman" w:cs="Times New Roman"/>
          <w:b/>
          <w:bCs/>
          <w:color w:val="000000"/>
        </w:rPr>
        <w:t xml:space="preserve">SIMATS ENGINEERING </w:t>
      </w:r>
    </w:p>
    <w:p w14:paraId="2B157235" w14:textId="77777777" w:rsidR="006B280C" w:rsidRPr="00AA752A" w:rsidRDefault="00000000">
      <w:pPr>
        <w:widowControl w:val="0"/>
        <w:pBdr>
          <w:top w:val="nil"/>
          <w:left w:val="nil"/>
          <w:bottom w:val="nil"/>
          <w:right w:val="nil"/>
          <w:between w:val="nil"/>
        </w:pBdr>
        <w:spacing w:before="77" w:line="240" w:lineRule="auto"/>
        <w:jc w:val="center"/>
        <w:rPr>
          <w:rFonts w:ascii="Times New Roman" w:eastAsia="Times New Roman" w:hAnsi="Times New Roman" w:cs="Times New Roman"/>
          <w:b/>
          <w:bCs/>
          <w:color w:val="000000"/>
        </w:rPr>
      </w:pPr>
      <w:r w:rsidRPr="00AA752A">
        <w:rPr>
          <w:rFonts w:ascii="Times New Roman" w:eastAsia="Times New Roman" w:hAnsi="Times New Roman" w:cs="Times New Roman"/>
          <w:b/>
          <w:bCs/>
          <w:color w:val="000000"/>
        </w:rPr>
        <w:t xml:space="preserve">ASSESSMENT TOOL II — VISUALIZATION EVALUATION EXERCISE </w:t>
      </w:r>
    </w:p>
    <w:tbl>
      <w:tblPr>
        <w:tblStyle w:val="a"/>
        <w:tblW w:w="9921" w:type="dxa"/>
        <w:tblInd w:w="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1"/>
        <w:gridCol w:w="3920"/>
      </w:tblGrid>
      <w:tr w:rsidR="006B280C" w:rsidRPr="00AA752A" w14:paraId="2A813CB4" w14:textId="77777777">
        <w:trPr>
          <w:trHeight w:val="671"/>
        </w:trPr>
        <w:tc>
          <w:tcPr>
            <w:tcW w:w="3000" w:type="dxa"/>
            <w:tcMar>
              <w:top w:w="100" w:type="dxa"/>
              <w:left w:w="100" w:type="dxa"/>
              <w:bottom w:w="100" w:type="dxa"/>
              <w:right w:w="100" w:type="dxa"/>
            </w:tcMar>
          </w:tcPr>
          <w:p w14:paraId="70CB3218" w14:textId="77777777" w:rsidR="006B280C" w:rsidRPr="00AA752A" w:rsidRDefault="00000000">
            <w:pPr>
              <w:widowControl w:val="0"/>
              <w:pBdr>
                <w:top w:val="nil"/>
                <w:left w:val="nil"/>
                <w:bottom w:val="nil"/>
                <w:right w:val="nil"/>
                <w:between w:val="nil"/>
              </w:pBdr>
              <w:spacing w:line="231" w:lineRule="auto"/>
              <w:ind w:left="106" w:right="607" w:firstLine="6"/>
              <w:rPr>
                <w:rFonts w:ascii="Times New Roman" w:eastAsia="Times New Roman" w:hAnsi="Times New Roman" w:cs="Times New Roman"/>
                <w:color w:val="000000"/>
                <w:sz w:val="16"/>
                <w:szCs w:val="16"/>
              </w:rPr>
            </w:pPr>
            <w:r w:rsidRPr="00AA752A">
              <w:rPr>
                <w:rFonts w:ascii="Times New Roman" w:eastAsia="Times New Roman" w:hAnsi="Times New Roman" w:cs="Times New Roman"/>
                <w:b/>
                <w:bCs/>
                <w:color w:val="000000"/>
                <w:sz w:val="16"/>
                <w:szCs w:val="16"/>
              </w:rPr>
              <w:t xml:space="preserve">Course: </w:t>
            </w:r>
            <w:r w:rsidRPr="00AA752A">
              <w:rPr>
                <w:rFonts w:ascii="Times New Roman" w:eastAsia="Times New Roman" w:hAnsi="Times New Roman" w:cs="Times New Roman"/>
                <w:color w:val="000000"/>
                <w:sz w:val="16"/>
                <w:szCs w:val="16"/>
              </w:rPr>
              <w:t xml:space="preserve">Data Handling and  Visualization </w:t>
            </w:r>
          </w:p>
        </w:tc>
        <w:tc>
          <w:tcPr>
            <w:tcW w:w="3000" w:type="dxa"/>
            <w:tcMar>
              <w:top w:w="100" w:type="dxa"/>
              <w:left w:w="100" w:type="dxa"/>
              <w:bottom w:w="100" w:type="dxa"/>
              <w:right w:w="100" w:type="dxa"/>
            </w:tcMar>
          </w:tcPr>
          <w:p w14:paraId="3E4DB090" w14:textId="77777777" w:rsidR="006B280C" w:rsidRPr="00AA752A"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6"/>
                <w:szCs w:val="16"/>
              </w:rPr>
            </w:pPr>
            <w:r w:rsidRPr="00AA752A">
              <w:rPr>
                <w:rFonts w:ascii="Times New Roman" w:eastAsia="Times New Roman" w:hAnsi="Times New Roman" w:cs="Times New Roman"/>
                <w:b/>
                <w:bCs/>
                <w:color w:val="000000"/>
                <w:sz w:val="16"/>
                <w:szCs w:val="16"/>
              </w:rPr>
              <w:t xml:space="preserve">Code: </w:t>
            </w:r>
            <w:r w:rsidRPr="00AA752A">
              <w:rPr>
                <w:rFonts w:ascii="Times New Roman" w:eastAsia="Times New Roman" w:hAnsi="Times New Roman" w:cs="Times New Roman"/>
                <w:color w:val="000000"/>
                <w:sz w:val="16"/>
                <w:szCs w:val="16"/>
              </w:rPr>
              <w:t xml:space="preserve">DSA0603 </w:t>
            </w:r>
          </w:p>
        </w:tc>
        <w:tc>
          <w:tcPr>
            <w:tcW w:w="3919" w:type="dxa"/>
            <w:tcMar>
              <w:top w:w="100" w:type="dxa"/>
              <w:left w:w="100" w:type="dxa"/>
              <w:bottom w:w="100" w:type="dxa"/>
              <w:right w:w="100" w:type="dxa"/>
            </w:tcMar>
          </w:tcPr>
          <w:p w14:paraId="457B693E" w14:textId="77777777" w:rsidR="006B280C" w:rsidRPr="00AA752A"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6"/>
                <w:szCs w:val="16"/>
              </w:rPr>
            </w:pPr>
            <w:r w:rsidRPr="00AA752A">
              <w:rPr>
                <w:rFonts w:ascii="Times New Roman" w:eastAsia="Times New Roman" w:hAnsi="Times New Roman" w:cs="Times New Roman"/>
                <w:b/>
                <w:bCs/>
                <w:color w:val="000000"/>
                <w:sz w:val="16"/>
                <w:szCs w:val="16"/>
              </w:rPr>
              <w:t xml:space="preserve">CO: </w:t>
            </w:r>
            <w:r w:rsidRPr="00AA752A">
              <w:rPr>
                <w:rFonts w:ascii="Times New Roman" w:eastAsia="Times New Roman" w:hAnsi="Times New Roman" w:cs="Times New Roman"/>
                <w:color w:val="000000"/>
                <w:sz w:val="16"/>
                <w:szCs w:val="16"/>
              </w:rPr>
              <w:t>CO4</w:t>
            </w:r>
          </w:p>
        </w:tc>
      </w:tr>
      <w:tr w:rsidR="006B280C" w:rsidRPr="00AA752A" w14:paraId="57A100EA" w14:textId="77777777">
        <w:trPr>
          <w:trHeight w:val="669"/>
        </w:trPr>
        <w:tc>
          <w:tcPr>
            <w:tcW w:w="3000" w:type="dxa"/>
            <w:tcMar>
              <w:top w:w="100" w:type="dxa"/>
              <w:left w:w="100" w:type="dxa"/>
              <w:bottom w:w="100" w:type="dxa"/>
              <w:right w:w="100" w:type="dxa"/>
            </w:tcMar>
          </w:tcPr>
          <w:p w14:paraId="3B027C50" w14:textId="77777777" w:rsidR="006B280C" w:rsidRPr="00AA752A"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16"/>
                <w:szCs w:val="16"/>
              </w:rPr>
            </w:pPr>
            <w:r w:rsidRPr="00AA752A">
              <w:rPr>
                <w:rFonts w:ascii="Times New Roman" w:eastAsia="Times New Roman" w:hAnsi="Times New Roman" w:cs="Times New Roman"/>
                <w:b/>
                <w:bCs/>
                <w:color w:val="000000"/>
                <w:sz w:val="16"/>
                <w:szCs w:val="16"/>
              </w:rPr>
              <w:t xml:space="preserve">Duration: </w:t>
            </w:r>
            <w:r w:rsidRPr="00AA752A">
              <w:rPr>
                <w:rFonts w:ascii="Times New Roman" w:eastAsia="Times New Roman" w:hAnsi="Times New Roman" w:cs="Times New Roman"/>
                <w:color w:val="000000"/>
                <w:sz w:val="16"/>
                <w:szCs w:val="16"/>
              </w:rPr>
              <w:t xml:space="preserve">60 min </w:t>
            </w:r>
          </w:p>
        </w:tc>
        <w:tc>
          <w:tcPr>
            <w:tcW w:w="3000" w:type="dxa"/>
            <w:tcMar>
              <w:top w:w="100" w:type="dxa"/>
              <w:left w:w="100" w:type="dxa"/>
              <w:bottom w:w="100" w:type="dxa"/>
              <w:right w:w="100" w:type="dxa"/>
            </w:tcMar>
          </w:tcPr>
          <w:p w14:paraId="6967E85E" w14:textId="77777777" w:rsidR="006B280C" w:rsidRPr="00AA752A"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16"/>
                <w:szCs w:val="16"/>
              </w:rPr>
            </w:pPr>
            <w:r w:rsidRPr="00AA752A">
              <w:rPr>
                <w:rFonts w:ascii="Times New Roman" w:eastAsia="Times New Roman" w:hAnsi="Times New Roman" w:cs="Times New Roman"/>
                <w:b/>
                <w:bCs/>
                <w:color w:val="000000"/>
                <w:sz w:val="16"/>
                <w:szCs w:val="16"/>
              </w:rPr>
              <w:t xml:space="preserve">Total Marks: </w:t>
            </w:r>
            <w:r w:rsidRPr="00AA752A">
              <w:rPr>
                <w:rFonts w:ascii="Times New Roman" w:eastAsia="Times New Roman" w:hAnsi="Times New Roman" w:cs="Times New Roman"/>
                <w:color w:val="000000"/>
                <w:sz w:val="16"/>
                <w:szCs w:val="16"/>
              </w:rPr>
              <w:t xml:space="preserve">50 </w:t>
            </w:r>
          </w:p>
        </w:tc>
        <w:tc>
          <w:tcPr>
            <w:tcW w:w="3919" w:type="dxa"/>
            <w:tcMar>
              <w:top w:w="100" w:type="dxa"/>
              <w:left w:w="100" w:type="dxa"/>
              <w:bottom w:w="100" w:type="dxa"/>
              <w:right w:w="100" w:type="dxa"/>
            </w:tcMar>
          </w:tcPr>
          <w:p w14:paraId="524A6026" w14:textId="121C5CD6" w:rsidR="006B280C" w:rsidRPr="00AA752A"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000000"/>
                <w:sz w:val="16"/>
                <w:szCs w:val="16"/>
              </w:rPr>
            </w:pPr>
            <w:r w:rsidRPr="00AA752A">
              <w:rPr>
                <w:rFonts w:ascii="Times New Roman" w:eastAsia="Times New Roman" w:hAnsi="Times New Roman" w:cs="Times New Roman"/>
                <w:b/>
                <w:bCs/>
                <w:color w:val="000000"/>
                <w:sz w:val="16"/>
                <w:szCs w:val="16"/>
              </w:rPr>
              <w:t xml:space="preserve">Reg No:  </w:t>
            </w:r>
            <w:r w:rsidR="00AA752A">
              <w:rPr>
                <w:rFonts w:ascii="Times New Roman" w:eastAsia="Times New Roman" w:hAnsi="Times New Roman" w:cs="Times New Roman"/>
                <w:b/>
                <w:bCs/>
                <w:color w:val="000000"/>
                <w:sz w:val="16"/>
                <w:szCs w:val="16"/>
              </w:rPr>
              <w:t>192524029</w:t>
            </w:r>
          </w:p>
          <w:p w14:paraId="0A577144" w14:textId="12CCCC2E" w:rsidR="006B280C" w:rsidRPr="00AA752A"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b/>
                <w:bCs/>
                <w:color w:val="000000"/>
                <w:sz w:val="16"/>
                <w:szCs w:val="16"/>
              </w:rPr>
            </w:pPr>
            <w:r w:rsidRPr="00AA752A">
              <w:rPr>
                <w:rFonts w:ascii="Times New Roman" w:eastAsia="Times New Roman" w:hAnsi="Times New Roman" w:cs="Times New Roman"/>
                <w:b/>
                <w:bCs/>
                <w:color w:val="000000"/>
                <w:sz w:val="16"/>
                <w:szCs w:val="16"/>
              </w:rPr>
              <w:t xml:space="preserve">Name: </w:t>
            </w:r>
            <w:r w:rsidR="00AA752A">
              <w:rPr>
                <w:rFonts w:ascii="Times New Roman" w:eastAsia="Times New Roman" w:hAnsi="Times New Roman" w:cs="Times New Roman"/>
                <w:b/>
                <w:bCs/>
                <w:color w:val="000000"/>
                <w:sz w:val="16"/>
                <w:szCs w:val="16"/>
              </w:rPr>
              <w:t>KAILASH M</w:t>
            </w:r>
          </w:p>
        </w:tc>
      </w:tr>
    </w:tbl>
    <w:p w14:paraId="56ACE839" w14:textId="77777777" w:rsidR="006B280C" w:rsidRPr="00AA752A" w:rsidRDefault="006B280C">
      <w:pPr>
        <w:widowControl w:val="0"/>
        <w:pBdr>
          <w:top w:val="nil"/>
          <w:left w:val="nil"/>
          <w:bottom w:val="nil"/>
          <w:right w:val="nil"/>
          <w:between w:val="nil"/>
        </w:pBdr>
        <w:rPr>
          <w:rFonts w:ascii="Times New Roman" w:hAnsi="Times New Roman" w:cs="Times New Roman"/>
          <w:color w:val="000000"/>
          <w:sz w:val="18"/>
          <w:szCs w:val="18"/>
        </w:rPr>
      </w:pPr>
    </w:p>
    <w:p w14:paraId="4255BD08" w14:textId="77777777" w:rsidR="006B280C" w:rsidRPr="00AA752A" w:rsidRDefault="006B280C">
      <w:pPr>
        <w:widowControl w:val="0"/>
        <w:pBdr>
          <w:top w:val="nil"/>
          <w:left w:val="nil"/>
          <w:bottom w:val="nil"/>
          <w:right w:val="nil"/>
          <w:between w:val="nil"/>
        </w:pBdr>
        <w:rPr>
          <w:rFonts w:ascii="Times New Roman" w:hAnsi="Times New Roman" w:cs="Times New Roman"/>
          <w:color w:val="000000"/>
          <w:sz w:val="18"/>
          <w:szCs w:val="18"/>
        </w:rPr>
      </w:pPr>
    </w:p>
    <w:p w14:paraId="6E41AC14" w14:textId="77777777" w:rsidR="006B280C" w:rsidRPr="00AA752A"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bCs/>
          <w:color w:val="000000"/>
          <w:sz w:val="16"/>
          <w:szCs w:val="16"/>
        </w:rPr>
      </w:pPr>
      <w:r w:rsidRPr="00AA752A">
        <w:rPr>
          <w:rFonts w:ascii="Times New Roman" w:eastAsia="Times New Roman" w:hAnsi="Times New Roman" w:cs="Times New Roman"/>
          <w:b/>
          <w:bCs/>
          <w:color w:val="000000"/>
          <w:sz w:val="16"/>
          <w:szCs w:val="16"/>
        </w:rPr>
        <w:t xml:space="preserve">COURSE OUTCOME COVERED </w:t>
      </w:r>
    </w:p>
    <w:p w14:paraId="687362BD" w14:textId="77777777" w:rsidR="006B280C" w:rsidRPr="00AA752A" w:rsidRDefault="00000000">
      <w:pPr>
        <w:widowControl w:val="0"/>
        <w:pBdr>
          <w:top w:val="nil"/>
          <w:left w:val="nil"/>
          <w:bottom w:val="nil"/>
          <w:right w:val="nil"/>
          <w:between w:val="nil"/>
        </w:pBdr>
        <w:spacing w:before="77" w:line="231" w:lineRule="auto"/>
        <w:ind w:left="18" w:right="225" w:firstLine="4"/>
        <w:rPr>
          <w:rFonts w:ascii="Times New Roman" w:eastAsia="Times New Roman" w:hAnsi="Times New Roman" w:cs="Times New Roman"/>
          <w:i/>
          <w:iCs/>
          <w:color w:val="000000"/>
          <w:sz w:val="16"/>
          <w:szCs w:val="16"/>
        </w:rPr>
      </w:pPr>
      <w:r w:rsidRPr="00AA752A">
        <w:rPr>
          <w:rFonts w:ascii="Times New Roman" w:eastAsia="Times New Roman" w:hAnsi="Times New Roman" w:cs="Times New Roman"/>
          <w:i/>
          <w:iCs/>
          <w:color w:val="000000"/>
          <w:sz w:val="16"/>
          <w:szCs w:val="16"/>
        </w:rPr>
        <w:t xml:space="preserve">CO2 Apply appropriate visualization techniques to analyze time series data, detect trends, seasonality, and cyclical patterns.  (BL3) </w:t>
      </w:r>
    </w:p>
    <w:p w14:paraId="2D9FE705" w14:textId="77777777" w:rsidR="006B280C" w:rsidRPr="00AA752A" w:rsidRDefault="00000000">
      <w:pPr>
        <w:widowControl w:val="0"/>
        <w:pBdr>
          <w:top w:val="nil"/>
          <w:left w:val="nil"/>
          <w:bottom w:val="nil"/>
          <w:right w:val="nil"/>
          <w:between w:val="nil"/>
        </w:pBdr>
        <w:spacing w:before="106" w:line="240" w:lineRule="auto"/>
        <w:rPr>
          <w:rFonts w:ascii="Times New Roman" w:eastAsia="Times New Roman" w:hAnsi="Times New Roman" w:cs="Times New Roman"/>
          <w:i/>
          <w:iCs/>
          <w:color w:val="000000"/>
          <w:sz w:val="16"/>
          <w:szCs w:val="16"/>
        </w:rPr>
      </w:pPr>
      <w:r w:rsidRPr="00AA752A">
        <w:rPr>
          <w:rFonts w:ascii="Times New Roman" w:eastAsia="Times New Roman" w:hAnsi="Times New Roman" w:cs="Times New Roman"/>
          <w:i/>
          <w:iCs/>
          <w:color w:val="000000"/>
          <w:sz w:val="16"/>
          <w:szCs w:val="16"/>
        </w:rPr>
        <w:t xml:space="preserve">Activity Tool : Visualization Evaluation Exercise </w:t>
      </w:r>
    </w:p>
    <w:p w14:paraId="6A6E760B" w14:textId="77777777" w:rsidR="006B280C" w:rsidRPr="00AA752A" w:rsidRDefault="00000000">
      <w:pPr>
        <w:widowControl w:val="0"/>
        <w:pBdr>
          <w:top w:val="nil"/>
          <w:left w:val="nil"/>
          <w:bottom w:val="nil"/>
          <w:right w:val="nil"/>
          <w:between w:val="nil"/>
        </w:pBdr>
        <w:spacing w:before="36" w:line="240" w:lineRule="auto"/>
        <w:ind w:left="24"/>
        <w:rPr>
          <w:rFonts w:ascii="Times New Roman" w:eastAsia="Times New Roman" w:hAnsi="Times New Roman" w:cs="Times New Roman"/>
          <w:i/>
          <w:iCs/>
          <w:color w:val="000000"/>
          <w:sz w:val="16"/>
          <w:szCs w:val="16"/>
        </w:rPr>
      </w:pPr>
      <w:r w:rsidRPr="00AA752A">
        <w:rPr>
          <w:rFonts w:ascii="Times New Roman" w:eastAsia="Times New Roman" w:hAnsi="Times New Roman" w:cs="Times New Roman"/>
          <w:i/>
          <w:iCs/>
          <w:color w:val="000000"/>
          <w:sz w:val="16"/>
          <w:szCs w:val="16"/>
        </w:rPr>
        <w:t xml:space="preserve">Weightage: 20% </w:t>
      </w:r>
    </w:p>
    <w:p w14:paraId="2AB36BEC" w14:textId="77777777" w:rsidR="006B280C" w:rsidRPr="00AA752A" w:rsidRDefault="00000000">
      <w:pPr>
        <w:widowControl w:val="0"/>
        <w:pBdr>
          <w:top w:val="nil"/>
          <w:left w:val="nil"/>
          <w:bottom w:val="nil"/>
          <w:right w:val="nil"/>
          <w:between w:val="nil"/>
        </w:pBdr>
        <w:spacing w:before="3639" w:line="240" w:lineRule="auto"/>
        <w:ind w:left="19"/>
        <w:rPr>
          <w:rFonts w:ascii="Times New Roman" w:eastAsia="Times New Roman" w:hAnsi="Times New Roman" w:cs="Times New Roman"/>
          <w:b/>
          <w:bCs/>
          <w:color w:val="000000"/>
          <w:sz w:val="16"/>
          <w:szCs w:val="16"/>
        </w:rPr>
      </w:pPr>
      <w:r w:rsidRPr="00AA752A">
        <w:rPr>
          <w:rFonts w:ascii="Times New Roman" w:eastAsia="Times New Roman" w:hAnsi="Times New Roman" w:cs="Times New Roman"/>
          <w:b/>
          <w:bCs/>
          <w:color w:val="000000"/>
          <w:sz w:val="16"/>
          <w:szCs w:val="16"/>
        </w:rPr>
        <w:t xml:space="preserve">Code of Conduct: </w:t>
      </w:r>
    </w:p>
    <w:p w14:paraId="4040141A" w14:textId="3473317E" w:rsidR="006B280C" w:rsidRPr="00AA752A" w:rsidRDefault="00000000">
      <w:pPr>
        <w:widowControl w:val="0"/>
        <w:pBdr>
          <w:top w:val="nil"/>
          <w:left w:val="nil"/>
          <w:bottom w:val="nil"/>
          <w:right w:val="nil"/>
          <w:between w:val="nil"/>
        </w:pBdr>
        <w:spacing w:before="96" w:line="231" w:lineRule="auto"/>
        <w:ind w:left="11" w:right="252" w:hanging="2"/>
        <w:jc w:val="both"/>
        <w:rPr>
          <w:rFonts w:ascii="Times New Roman" w:eastAsia="Times New Roman" w:hAnsi="Times New Roman" w:cs="Times New Roman"/>
          <w:i/>
          <w:iCs/>
          <w:color w:val="000000"/>
          <w:sz w:val="16"/>
          <w:szCs w:val="16"/>
        </w:rPr>
      </w:pPr>
      <w:r w:rsidRPr="00AA752A">
        <w:rPr>
          <w:rFonts w:ascii="Times New Roman" w:eastAsia="Times New Roman" w:hAnsi="Times New Roman" w:cs="Times New Roman"/>
          <w:i/>
          <w:iCs/>
          <w:color w:val="000000"/>
          <w:sz w:val="16"/>
          <w:szCs w:val="16"/>
        </w:rPr>
        <w:t xml:space="preserve">I </w:t>
      </w:r>
      <w:r w:rsidR="00AA752A">
        <w:rPr>
          <w:rFonts w:ascii="Times New Roman" w:eastAsia="Times New Roman" w:hAnsi="Times New Roman" w:cs="Times New Roman"/>
          <w:i/>
          <w:iCs/>
          <w:color w:val="000000"/>
          <w:sz w:val="16"/>
          <w:szCs w:val="16"/>
        </w:rPr>
        <w:t>KAILASH M</w:t>
      </w:r>
      <w:r w:rsidRPr="00AA752A">
        <w:rPr>
          <w:rFonts w:ascii="Times New Roman" w:eastAsia="Times New Roman" w:hAnsi="Times New Roman" w:cs="Times New Roman"/>
          <w:i/>
          <w:iCs/>
          <w:color w:val="000000"/>
          <w:sz w:val="16"/>
          <w:szCs w:val="16"/>
        </w:rPr>
        <w:t xml:space="preserve"> (</w:t>
      </w:r>
      <w:r w:rsidR="00AA752A">
        <w:rPr>
          <w:rFonts w:ascii="Times New Roman" w:eastAsia="Times New Roman" w:hAnsi="Times New Roman" w:cs="Times New Roman"/>
          <w:i/>
          <w:iCs/>
          <w:color w:val="000000"/>
          <w:sz w:val="16"/>
          <w:szCs w:val="16"/>
        </w:rPr>
        <w:t>192524029</w:t>
      </w:r>
      <w:r w:rsidRPr="00AA752A">
        <w:rPr>
          <w:rFonts w:ascii="Times New Roman" w:eastAsia="Times New Roman" w:hAnsi="Times New Roman" w:cs="Times New Roman"/>
          <w:i/>
          <w:iCs/>
          <w:color w:val="000000"/>
          <w:sz w:val="16"/>
          <w:szCs w:val="16"/>
        </w:rPr>
        <w:t xml:space="preserve">) certify that this submission is my original work and that I have adhered to the  guidelines specified for this assessment. I understand that any violation of academic integrity rules will result in disciplinary  action. </w:t>
      </w:r>
    </w:p>
    <w:p w14:paraId="754FFB57" w14:textId="35D7B593" w:rsidR="006B280C" w:rsidRPr="00AA752A" w:rsidRDefault="00000000">
      <w:pPr>
        <w:widowControl w:val="0"/>
        <w:pBdr>
          <w:top w:val="nil"/>
          <w:left w:val="nil"/>
          <w:bottom w:val="nil"/>
          <w:right w:val="nil"/>
          <w:between w:val="nil"/>
        </w:pBdr>
        <w:spacing w:before="634" w:line="240" w:lineRule="auto"/>
        <w:ind w:left="10"/>
        <w:rPr>
          <w:rFonts w:ascii="Times New Roman" w:eastAsia="Times New Roman" w:hAnsi="Times New Roman" w:cs="Times New Roman"/>
          <w:b/>
          <w:bCs/>
          <w:i/>
          <w:iCs/>
          <w:color w:val="000000"/>
          <w:sz w:val="16"/>
          <w:szCs w:val="16"/>
        </w:rPr>
      </w:pPr>
      <w:r w:rsidRPr="00AA752A">
        <w:rPr>
          <w:rFonts w:ascii="Times New Roman" w:eastAsia="Times New Roman" w:hAnsi="Times New Roman" w:cs="Times New Roman"/>
          <w:b/>
          <w:bCs/>
          <w:i/>
          <w:iCs/>
          <w:color w:val="000000"/>
          <w:sz w:val="16"/>
          <w:szCs w:val="16"/>
        </w:rPr>
        <w:t>Signature of the student:</w:t>
      </w:r>
      <w:r w:rsidR="00AA752A">
        <w:rPr>
          <w:rFonts w:ascii="Times New Roman" w:eastAsia="Times New Roman" w:hAnsi="Times New Roman" w:cs="Times New Roman"/>
          <w:b/>
          <w:bCs/>
          <w:i/>
          <w:iCs/>
          <w:color w:val="000000"/>
          <w:sz w:val="16"/>
          <w:szCs w:val="16"/>
        </w:rPr>
        <w:t>KAILASH M</w:t>
      </w:r>
    </w:p>
    <w:tbl>
      <w:tblPr>
        <w:tblStyle w:val="a0"/>
        <w:tblW w:w="9002" w:type="dxa"/>
        <w:tblInd w:w="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1300"/>
        <w:gridCol w:w="1298"/>
        <w:gridCol w:w="1301"/>
        <w:gridCol w:w="1201"/>
        <w:gridCol w:w="1001"/>
        <w:gridCol w:w="1000"/>
        <w:gridCol w:w="1001"/>
      </w:tblGrid>
      <w:tr w:rsidR="006B280C" w:rsidRPr="00AA752A" w14:paraId="46C1B39F" w14:textId="77777777">
        <w:trPr>
          <w:trHeight w:val="1205"/>
        </w:trPr>
        <w:tc>
          <w:tcPr>
            <w:tcW w:w="900" w:type="dxa"/>
            <w:tcMar>
              <w:top w:w="100" w:type="dxa"/>
              <w:left w:w="100" w:type="dxa"/>
              <w:bottom w:w="100" w:type="dxa"/>
              <w:right w:w="100" w:type="dxa"/>
            </w:tcMar>
          </w:tcPr>
          <w:p w14:paraId="186A26E7" w14:textId="77777777" w:rsidR="006B280C" w:rsidRPr="00AA752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Criteria</w:t>
            </w:r>
          </w:p>
        </w:tc>
        <w:tc>
          <w:tcPr>
            <w:tcW w:w="1300" w:type="dxa"/>
            <w:tcMar>
              <w:top w:w="100" w:type="dxa"/>
              <w:left w:w="100" w:type="dxa"/>
              <w:bottom w:w="100" w:type="dxa"/>
              <w:right w:w="100" w:type="dxa"/>
            </w:tcMar>
          </w:tcPr>
          <w:p w14:paraId="3B632DC8" w14:textId="77777777" w:rsidR="006B280C" w:rsidRPr="00AA752A" w:rsidRDefault="00000000">
            <w:pPr>
              <w:widowControl w:val="0"/>
              <w:pBdr>
                <w:top w:val="nil"/>
                <w:left w:val="nil"/>
                <w:bottom w:val="nil"/>
                <w:right w:val="nil"/>
                <w:between w:val="nil"/>
              </w:pBdr>
              <w:spacing w:line="229" w:lineRule="auto"/>
              <w:ind w:left="139" w:right="83"/>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 xml:space="preserve">Evaluation of  Visualization  Quality </w:t>
            </w:r>
          </w:p>
          <w:p w14:paraId="66E01E88" w14:textId="77777777" w:rsidR="006B280C" w:rsidRPr="00AA752A" w:rsidRDefault="00000000">
            <w:pPr>
              <w:widowControl w:val="0"/>
              <w:pBdr>
                <w:top w:val="nil"/>
                <w:left w:val="nil"/>
                <w:bottom w:val="nil"/>
                <w:right w:val="nil"/>
                <w:between w:val="nil"/>
              </w:pBdr>
              <w:spacing w:before="210" w:line="240" w:lineRule="auto"/>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25%</w:t>
            </w:r>
          </w:p>
        </w:tc>
        <w:tc>
          <w:tcPr>
            <w:tcW w:w="1298" w:type="dxa"/>
            <w:tcMar>
              <w:top w:w="100" w:type="dxa"/>
              <w:left w:w="100" w:type="dxa"/>
              <w:bottom w:w="100" w:type="dxa"/>
              <w:right w:w="100" w:type="dxa"/>
            </w:tcMar>
          </w:tcPr>
          <w:p w14:paraId="3F002F2F" w14:textId="77777777" w:rsidR="006B280C" w:rsidRPr="00AA752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 xml:space="preserve">Critical  </w:t>
            </w:r>
          </w:p>
          <w:p w14:paraId="051EE782" w14:textId="77777777" w:rsidR="006B280C" w:rsidRPr="00AA752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 xml:space="preserve">Analysis </w:t>
            </w:r>
          </w:p>
          <w:p w14:paraId="0DA41A01" w14:textId="77777777" w:rsidR="006B280C" w:rsidRPr="00AA752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25%</w:t>
            </w:r>
          </w:p>
        </w:tc>
        <w:tc>
          <w:tcPr>
            <w:tcW w:w="1300" w:type="dxa"/>
            <w:tcMar>
              <w:top w:w="100" w:type="dxa"/>
              <w:left w:w="100" w:type="dxa"/>
              <w:bottom w:w="100" w:type="dxa"/>
              <w:right w:w="100" w:type="dxa"/>
            </w:tcMar>
          </w:tcPr>
          <w:p w14:paraId="6B865F8B" w14:textId="77777777" w:rsidR="006B280C" w:rsidRPr="00AA752A" w:rsidRDefault="00000000">
            <w:pPr>
              <w:widowControl w:val="0"/>
              <w:pBdr>
                <w:top w:val="nil"/>
                <w:left w:val="nil"/>
                <w:bottom w:val="nil"/>
                <w:right w:val="nil"/>
                <w:between w:val="nil"/>
              </w:pBdr>
              <w:spacing w:line="229" w:lineRule="auto"/>
              <w:ind w:left="107" w:right="54"/>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 xml:space="preserve">Application of </w:t>
            </w:r>
            <w:r w:rsidRPr="00AA752A">
              <w:rPr>
                <w:rFonts w:ascii="Times New Roman" w:eastAsia="Times New Roman" w:hAnsi="Times New Roman" w:cs="Times New Roman"/>
                <w:b/>
                <w:bCs/>
                <w:color w:val="000000"/>
                <w:sz w:val="14"/>
                <w:szCs w:val="14"/>
              </w:rPr>
              <w:t xml:space="preserve"> </w:t>
            </w:r>
            <w:r w:rsidRPr="00AA752A">
              <w:rPr>
                <w:rFonts w:ascii="Times New Roman" w:eastAsia="Times New Roman" w:hAnsi="Times New Roman" w:cs="Times New Roman"/>
                <w:b/>
                <w:bCs/>
                <w:color w:val="000000"/>
                <w:sz w:val="14"/>
                <w:szCs w:val="14"/>
                <w:highlight w:val="white"/>
              </w:rPr>
              <w:t xml:space="preserve">Visualization  Principles </w:t>
            </w:r>
          </w:p>
          <w:p w14:paraId="1D0C46C4" w14:textId="77777777" w:rsidR="006B280C" w:rsidRPr="00AA752A" w:rsidRDefault="00000000">
            <w:pPr>
              <w:widowControl w:val="0"/>
              <w:pBdr>
                <w:top w:val="nil"/>
                <w:left w:val="nil"/>
                <w:bottom w:val="nil"/>
                <w:right w:val="nil"/>
                <w:between w:val="nil"/>
              </w:pBdr>
              <w:spacing w:before="4" w:line="240" w:lineRule="auto"/>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20%</w:t>
            </w:r>
          </w:p>
        </w:tc>
        <w:tc>
          <w:tcPr>
            <w:tcW w:w="1200" w:type="dxa"/>
            <w:tcMar>
              <w:top w:w="100" w:type="dxa"/>
              <w:left w:w="100" w:type="dxa"/>
              <w:bottom w:w="100" w:type="dxa"/>
              <w:right w:w="100" w:type="dxa"/>
            </w:tcMar>
          </w:tcPr>
          <w:p w14:paraId="7B039D00" w14:textId="77777777" w:rsidR="006B280C" w:rsidRPr="00AA752A" w:rsidRDefault="00000000">
            <w:pPr>
              <w:widowControl w:val="0"/>
              <w:pBdr>
                <w:top w:val="nil"/>
                <w:left w:val="nil"/>
                <w:bottom w:val="nil"/>
                <w:right w:val="nil"/>
                <w:between w:val="nil"/>
              </w:pBdr>
              <w:spacing w:line="229" w:lineRule="auto"/>
              <w:ind w:left="99" w:right="85"/>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Organization 15%</w:t>
            </w:r>
          </w:p>
        </w:tc>
        <w:tc>
          <w:tcPr>
            <w:tcW w:w="1000" w:type="dxa"/>
            <w:tcMar>
              <w:top w:w="100" w:type="dxa"/>
              <w:left w:w="100" w:type="dxa"/>
              <w:bottom w:w="100" w:type="dxa"/>
              <w:right w:w="100" w:type="dxa"/>
            </w:tcMar>
          </w:tcPr>
          <w:p w14:paraId="54AAF3FF" w14:textId="77777777" w:rsidR="006B280C" w:rsidRPr="00AA752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 xml:space="preserve">Accuracy </w:t>
            </w:r>
          </w:p>
          <w:p w14:paraId="3D5F662A" w14:textId="77777777" w:rsidR="006B280C" w:rsidRPr="00AA752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10%</w:t>
            </w:r>
          </w:p>
        </w:tc>
        <w:tc>
          <w:tcPr>
            <w:tcW w:w="999" w:type="dxa"/>
            <w:tcMar>
              <w:top w:w="100" w:type="dxa"/>
              <w:left w:w="100" w:type="dxa"/>
              <w:bottom w:w="100" w:type="dxa"/>
              <w:right w:w="100" w:type="dxa"/>
            </w:tcMar>
          </w:tcPr>
          <w:p w14:paraId="0FDF1BA6" w14:textId="77777777" w:rsidR="006B280C" w:rsidRPr="00AA752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 xml:space="preserve">Clarity </w:t>
            </w:r>
          </w:p>
          <w:p w14:paraId="7D34603B" w14:textId="77777777" w:rsidR="006B280C" w:rsidRPr="00AA752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 xml:space="preserve">5% </w:t>
            </w:r>
          </w:p>
        </w:tc>
        <w:tc>
          <w:tcPr>
            <w:tcW w:w="1000" w:type="dxa"/>
            <w:tcMar>
              <w:top w:w="100" w:type="dxa"/>
              <w:left w:w="100" w:type="dxa"/>
              <w:bottom w:w="100" w:type="dxa"/>
              <w:right w:w="100" w:type="dxa"/>
            </w:tcMar>
          </w:tcPr>
          <w:p w14:paraId="5D5CA8B9" w14:textId="77777777" w:rsidR="006B280C" w:rsidRPr="00AA752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4"/>
                <w:szCs w:val="14"/>
                <w:highlight w:val="white"/>
              </w:rPr>
            </w:pPr>
            <w:r w:rsidRPr="00AA752A">
              <w:rPr>
                <w:rFonts w:ascii="Times New Roman" w:eastAsia="Times New Roman" w:hAnsi="Times New Roman" w:cs="Times New Roman"/>
                <w:b/>
                <w:bCs/>
                <w:color w:val="000000"/>
                <w:sz w:val="14"/>
                <w:szCs w:val="14"/>
                <w:highlight w:val="white"/>
              </w:rPr>
              <w:t>Total</w:t>
            </w:r>
          </w:p>
        </w:tc>
      </w:tr>
      <w:tr w:rsidR="006B280C" w:rsidRPr="00AA752A" w14:paraId="3ED82578" w14:textId="77777777">
        <w:trPr>
          <w:trHeight w:val="439"/>
        </w:trPr>
        <w:tc>
          <w:tcPr>
            <w:tcW w:w="900" w:type="dxa"/>
            <w:tcMar>
              <w:top w:w="100" w:type="dxa"/>
              <w:left w:w="100" w:type="dxa"/>
              <w:bottom w:w="100" w:type="dxa"/>
              <w:right w:w="100" w:type="dxa"/>
            </w:tcMar>
          </w:tcPr>
          <w:p w14:paraId="1014C29E" w14:textId="77777777" w:rsidR="006B280C" w:rsidRPr="00AA752A" w:rsidRDefault="00000000">
            <w:pPr>
              <w:widowControl w:val="0"/>
              <w:pBdr>
                <w:top w:val="nil"/>
                <w:left w:val="nil"/>
                <w:bottom w:val="nil"/>
                <w:right w:val="nil"/>
                <w:between w:val="nil"/>
              </w:pBdr>
              <w:spacing w:line="240" w:lineRule="auto"/>
              <w:ind w:left="92"/>
              <w:rPr>
                <w:rFonts w:ascii="Times New Roman" w:eastAsia="Times New Roman" w:hAnsi="Times New Roman" w:cs="Times New Roman"/>
                <w:color w:val="000000"/>
                <w:sz w:val="16"/>
                <w:szCs w:val="16"/>
              </w:rPr>
            </w:pPr>
            <w:r w:rsidRPr="00AA752A">
              <w:rPr>
                <w:rFonts w:ascii="Times New Roman" w:eastAsia="Times New Roman" w:hAnsi="Times New Roman" w:cs="Times New Roman"/>
                <w:color w:val="000000"/>
                <w:sz w:val="16"/>
                <w:szCs w:val="16"/>
              </w:rPr>
              <w:t>Q1</w:t>
            </w:r>
          </w:p>
        </w:tc>
        <w:tc>
          <w:tcPr>
            <w:tcW w:w="1300" w:type="dxa"/>
            <w:tcMar>
              <w:top w:w="100" w:type="dxa"/>
              <w:left w:w="100" w:type="dxa"/>
              <w:bottom w:w="100" w:type="dxa"/>
              <w:right w:w="100" w:type="dxa"/>
            </w:tcMar>
          </w:tcPr>
          <w:p w14:paraId="077AD170"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298" w:type="dxa"/>
            <w:tcMar>
              <w:top w:w="100" w:type="dxa"/>
              <w:left w:w="100" w:type="dxa"/>
              <w:bottom w:w="100" w:type="dxa"/>
              <w:right w:w="100" w:type="dxa"/>
            </w:tcMar>
          </w:tcPr>
          <w:p w14:paraId="0DC16558"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300" w:type="dxa"/>
            <w:tcMar>
              <w:top w:w="100" w:type="dxa"/>
              <w:left w:w="100" w:type="dxa"/>
              <w:bottom w:w="100" w:type="dxa"/>
              <w:right w:w="100" w:type="dxa"/>
            </w:tcMar>
          </w:tcPr>
          <w:p w14:paraId="4F59A886"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200" w:type="dxa"/>
            <w:tcMar>
              <w:top w:w="100" w:type="dxa"/>
              <w:left w:w="100" w:type="dxa"/>
              <w:bottom w:w="100" w:type="dxa"/>
              <w:right w:w="100" w:type="dxa"/>
            </w:tcMar>
          </w:tcPr>
          <w:p w14:paraId="3DA3086D"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000" w:type="dxa"/>
            <w:tcMar>
              <w:top w:w="100" w:type="dxa"/>
              <w:left w:w="100" w:type="dxa"/>
              <w:bottom w:w="100" w:type="dxa"/>
              <w:right w:w="100" w:type="dxa"/>
            </w:tcMar>
          </w:tcPr>
          <w:p w14:paraId="32871F15"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999" w:type="dxa"/>
            <w:tcMar>
              <w:top w:w="100" w:type="dxa"/>
              <w:left w:w="100" w:type="dxa"/>
              <w:bottom w:w="100" w:type="dxa"/>
              <w:right w:w="100" w:type="dxa"/>
            </w:tcMar>
          </w:tcPr>
          <w:p w14:paraId="04C0282C"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000" w:type="dxa"/>
            <w:tcMar>
              <w:top w:w="100" w:type="dxa"/>
              <w:left w:w="100" w:type="dxa"/>
              <w:bottom w:w="100" w:type="dxa"/>
              <w:right w:w="100" w:type="dxa"/>
            </w:tcMar>
          </w:tcPr>
          <w:p w14:paraId="5AD1D4A8"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6B280C" w:rsidRPr="00AA752A" w14:paraId="23B19856" w14:textId="77777777">
        <w:trPr>
          <w:trHeight w:val="441"/>
        </w:trPr>
        <w:tc>
          <w:tcPr>
            <w:tcW w:w="900" w:type="dxa"/>
            <w:tcMar>
              <w:top w:w="100" w:type="dxa"/>
              <w:left w:w="100" w:type="dxa"/>
              <w:bottom w:w="100" w:type="dxa"/>
              <w:right w:w="100" w:type="dxa"/>
            </w:tcMar>
          </w:tcPr>
          <w:p w14:paraId="052250C7" w14:textId="77777777" w:rsidR="006B280C" w:rsidRPr="00AA752A" w:rsidRDefault="00000000">
            <w:pPr>
              <w:widowControl w:val="0"/>
              <w:pBdr>
                <w:top w:val="nil"/>
                <w:left w:val="nil"/>
                <w:bottom w:val="nil"/>
                <w:right w:val="nil"/>
                <w:between w:val="nil"/>
              </w:pBdr>
              <w:spacing w:line="240" w:lineRule="auto"/>
              <w:ind w:left="92"/>
              <w:rPr>
                <w:rFonts w:ascii="Times New Roman" w:eastAsia="Times New Roman" w:hAnsi="Times New Roman" w:cs="Times New Roman"/>
                <w:color w:val="000000"/>
                <w:sz w:val="16"/>
                <w:szCs w:val="16"/>
              </w:rPr>
            </w:pPr>
            <w:r w:rsidRPr="00AA752A">
              <w:rPr>
                <w:rFonts w:ascii="Times New Roman" w:eastAsia="Times New Roman" w:hAnsi="Times New Roman" w:cs="Times New Roman"/>
                <w:color w:val="000000"/>
                <w:sz w:val="16"/>
                <w:szCs w:val="16"/>
              </w:rPr>
              <w:t>Q2</w:t>
            </w:r>
          </w:p>
        </w:tc>
        <w:tc>
          <w:tcPr>
            <w:tcW w:w="1300" w:type="dxa"/>
            <w:tcMar>
              <w:top w:w="100" w:type="dxa"/>
              <w:left w:w="100" w:type="dxa"/>
              <w:bottom w:w="100" w:type="dxa"/>
              <w:right w:w="100" w:type="dxa"/>
            </w:tcMar>
          </w:tcPr>
          <w:p w14:paraId="10819027"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298" w:type="dxa"/>
            <w:tcMar>
              <w:top w:w="100" w:type="dxa"/>
              <w:left w:w="100" w:type="dxa"/>
              <w:bottom w:w="100" w:type="dxa"/>
              <w:right w:w="100" w:type="dxa"/>
            </w:tcMar>
          </w:tcPr>
          <w:p w14:paraId="5583E1F0"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300" w:type="dxa"/>
            <w:tcMar>
              <w:top w:w="100" w:type="dxa"/>
              <w:left w:w="100" w:type="dxa"/>
              <w:bottom w:w="100" w:type="dxa"/>
              <w:right w:w="100" w:type="dxa"/>
            </w:tcMar>
          </w:tcPr>
          <w:p w14:paraId="3F7F8FC0"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200" w:type="dxa"/>
            <w:tcMar>
              <w:top w:w="100" w:type="dxa"/>
              <w:left w:w="100" w:type="dxa"/>
              <w:bottom w:w="100" w:type="dxa"/>
              <w:right w:w="100" w:type="dxa"/>
            </w:tcMar>
          </w:tcPr>
          <w:p w14:paraId="1BBA913E"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000" w:type="dxa"/>
            <w:tcMar>
              <w:top w:w="100" w:type="dxa"/>
              <w:left w:w="100" w:type="dxa"/>
              <w:bottom w:w="100" w:type="dxa"/>
              <w:right w:w="100" w:type="dxa"/>
            </w:tcMar>
          </w:tcPr>
          <w:p w14:paraId="5F62BEDB"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999" w:type="dxa"/>
            <w:tcMar>
              <w:top w:w="100" w:type="dxa"/>
              <w:left w:w="100" w:type="dxa"/>
              <w:bottom w:w="100" w:type="dxa"/>
              <w:right w:w="100" w:type="dxa"/>
            </w:tcMar>
          </w:tcPr>
          <w:p w14:paraId="6A40AE66"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000" w:type="dxa"/>
            <w:tcMar>
              <w:top w:w="100" w:type="dxa"/>
              <w:left w:w="100" w:type="dxa"/>
              <w:bottom w:w="100" w:type="dxa"/>
              <w:right w:w="100" w:type="dxa"/>
            </w:tcMar>
          </w:tcPr>
          <w:p w14:paraId="4E6F6CE6"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6B280C" w:rsidRPr="00AA752A" w14:paraId="124AB48F" w14:textId="77777777">
        <w:trPr>
          <w:trHeight w:val="439"/>
        </w:trPr>
        <w:tc>
          <w:tcPr>
            <w:tcW w:w="900" w:type="dxa"/>
            <w:tcMar>
              <w:top w:w="100" w:type="dxa"/>
              <w:left w:w="100" w:type="dxa"/>
              <w:bottom w:w="100" w:type="dxa"/>
              <w:right w:w="100" w:type="dxa"/>
            </w:tcMar>
          </w:tcPr>
          <w:p w14:paraId="6F2DDA7B" w14:textId="77777777" w:rsidR="006B280C" w:rsidRPr="00AA752A" w:rsidRDefault="00000000">
            <w:pPr>
              <w:widowControl w:val="0"/>
              <w:pBdr>
                <w:top w:val="nil"/>
                <w:left w:val="nil"/>
                <w:bottom w:val="nil"/>
                <w:right w:val="nil"/>
                <w:between w:val="nil"/>
              </w:pBdr>
              <w:spacing w:line="240" w:lineRule="auto"/>
              <w:ind w:left="92"/>
              <w:rPr>
                <w:rFonts w:ascii="Times New Roman" w:eastAsia="Times New Roman" w:hAnsi="Times New Roman" w:cs="Times New Roman"/>
                <w:color w:val="000000"/>
                <w:sz w:val="16"/>
                <w:szCs w:val="16"/>
              </w:rPr>
            </w:pPr>
            <w:r w:rsidRPr="00AA752A">
              <w:rPr>
                <w:rFonts w:ascii="Times New Roman" w:eastAsia="Times New Roman" w:hAnsi="Times New Roman" w:cs="Times New Roman"/>
                <w:color w:val="000000"/>
                <w:sz w:val="16"/>
                <w:szCs w:val="16"/>
              </w:rPr>
              <w:t>Q3</w:t>
            </w:r>
          </w:p>
        </w:tc>
        <w:tc>
          <w:tcPr>
            <w:tcW w:w="1300" w:type="dxa"/>
            <w:tcMar>
              <w:top w:w="100" w:type="dxa"/>
              <w:left w:w="100" w:type="dxa"/>
              <w:bottom w:w="100" w:type="dxa"/>
              <w:right w:w="100" w:type="dxa"/>
            </w:tcMar>
          </w:tcPr>
          <w:p w14:paraId="4D238636"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298" w:type="dxa"/>
            <w:tcMar>
              <w:top w:w="100" w:type="dxa"/>
              <w:left w:w="100" w:type="dxa"/>
              <w:bottom w:w="100" w:type="dxa"/>
              <w:right w:w="100" w:type="dxa"/>
            </w:tcMar>
          </w:tcPr>
          <w:p w14:paraId="66E0A440"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300" w:type="dxa"/>
            <w:tcMar>
              <w:top w:w="100" w:type="dxa"/>
              <w:left w:w="100" w:type="dxa"/>
              <w:bottom w:w="100" w:type="dxa"/>
              <w:right w:w="100" w:type="dxa"/>
            </w:tcMar>
          </w:tcPr>
          <w:p w14:paraId="530A14E6"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200" w:type="dxa"/>
            <w:tcMar>
              <w:top w:w="100" w:type="dxa"/>
              <w:left w:w="100" w:type="dxa"/>
              <w:bottom w:w="100" w:type="dxa"/>
              <w:right w:w="100" w:type="dxa"/>
            </w:tcMar>
          </w:tcPr>
          <w:p w14:paraId="44D099BD"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000" w:type="dxa"/>
            <w:tcMar>
              <w:top w:w="100" w:type="dxa"/>
              <w:left w:w="100" w:type="dxa"/>
              <w:bottom w:w="100" w:type="dxa"/>
              <w:right w:w="100" w:type="dxa"/>
            </w:tcMar>
          </w:tcPr>
          <w:p w14:paraId="11A6CDDE"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999" w:type="dxa"/>
            <w:tcMar>
              <w:top w:w="100" w:type="dxa"/>
              <w:left w:w="100" w:type="dxa"/>
              <w:bottom w:w="100" w:type="dxa"/>
              <w:right w:w="100" w:type="dxa"/>
            </w:tcMar>
          </w:tcPr>
          <w:p w14:paraId="473467D5"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000" w:type="dxa"/>
            <w:tcMar>
              <w:top w:w="100" w:type="dxa"/>
              <w:left w:w="100" w:type="dxa"/>
              <w:bottom w:w="100" w:type="dxa"/>
              <w:right w:w="100" w:type="dxa"/>
            </w:tcMar>
          </w:tcPr>
          <w:p w14:paraId="40803A55"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6B280C" w:rsidRPr="00AA752A" w14:paraId="545029A2" w14:textId="77777777">
        <w:trPr>
          <w:trHeight w:val="439"/>
        </w:trPr>
        <w:tc>
          <w:tcPr>
            <w:tcW w:w="900" w:type="dxa"/>
            <w:tcMar>
              <w:top w:w="100" w:type="dxa"/>
              <w:left w:w="100" w:type="dxa"/>
              <w:bottom w:w="100" w:type="dxa"/>
              <w:right w:w="100" w:type="dxa"/>
            </w:tcMar>
          </w:tcPr>
          <w:p w14:paraId="56FD9815" w14:textId="77777777" w:rsidR="006B280C" w:rsidRPr="00AA752A" w:rsidRDefault="00000000">
            <w:pPr>
              <w:widowControl w:val="0"/>
              <w:pBdr>
                <w:top w:val="nil"/>
                <w:left w:val="nil"/>
                <w:bottom w:val="nil"/>
                <w:right w:val="nil"/>
                <w:between w:val="nil"/>
              </w:pBdr>
              <w:spacing w:line="240" w:lineRule="auto"/>
              <w:ind w:left="92"/>
              <w:rPr>
                <w:rFonts w:ascii="Times New Roman" w:eastAsia="Times New Roman" w:hAnsi="Times New Roman" w:cs="Times New Roman"/>
                <w:color w:val="000000"/>
                <w:sz w:val="16"/>
                <w:szCs w:val="16"/>
              </w:rPr>
            </w:pPr>
            <w:r w:rsidRPr="00AA752A">
              <w:rPr>
                <w:rFonts w:ascii="Times New Roman" w:eastAsia="Times New Roman" w:hAnsi="Times New Roman" w:cs="Times New Roman"/>
                <w:color w:val="000000"/>
                <w:sz w:val="16"/>
                <w:szCs w:val="16"/>
              </w:rPr>
              <w:t>Q4</w:t>
            </w:r>
          </w:p>
        </w:tc>
        <w:tc>
          <w:tcPr>
            <w:tcW w:w="1300" w:type="dxa"/>
            <w:tcMar>
              <w:top w:w="100" w:type="dxa"/>
              <w:left w:w="100" w:type="dxa"/>
              <w:bottom w:w="100" w:type="dxa"/>
              <w:right w:w="100" w:type="dxa"/>
            </w:tcMar>
          </w:tcPr>
          <w:p w14:paraId="59C03811"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298" w:type="dxa"/>
            <w:tcMar>
              <w:top w:w="100" w:type="dxa"/>
              <w:left w:w="100" w:type="dxa"/>
              <w:bottom w:w="100" w:type="dxa"/>
              <w:right w:w="100" w:type="dxa"/>
            </w:tcMar>
          </w:tcPr>
          <w:p w14:paraId="3E33C73B"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300" w:type="dxa"/>
            <w:tcMar>
              <w:top w:w="100" w:type="dxa"/>
              <w:left w:w="100" w:type="dxa"/>
              <w:bottom w:w="100" w:type="dxa"/>
              <w:right w:w="100" w:type="dxa"/>
            </w:tcMar>
          </w:tcPr>
          <w:p w14:paraId="636F0137"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200" w:type="dxa"/>
            <w:tcMar>
              <w:top w:w="100" w:type="dxa"/>
              <w:left w:w="100" w:type="dxa"/>
              <w:bottom w:w="100" w:type="dxa"/>
              <w:right w:w="100" w:type="dxa"/>
            </w:tcMar>
          </w:tcPr>
          <w:p w14:paraId="348E9291"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000" w:type="dxa"/>
            <w:tcMar>
              <w:top w:w="100" w:type="dxa"/>
              <w:left w:w="100" w:type="dxa"/>
              <w:bottom w:w="100" w:type="dxa"/>
              <w:right w:w="100" w:type="dxa"/>
            </w:tcMar>
          </w:tcPr>
          <w:p w14:paraId="5C999A9E"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999" w:type="dxa"/>
            <w:tcMar>
              <w:top w:w="100" w:type="dxa"/>
              <w:left w:w="100" w:type="dxa"/>
              <w:bottom w:w="100" w:type="dxa"/>
              <w:right w:w="100" w:type="dxa"/>
            </w:tcMar>
          </w:tcPr>
          <w:p w14:paraId="0BCD865A"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000" w:type="dxa"/>
            <w:tcMar>
              <w:top w:w="100" w:type="dxa"/>
              <w:left w:w="100" w:type="dxa"/>
              <w:bottom w:w="100" w:type="dxa"/>
              <w:right w:w="100" w:type="dxa"/>
            </w:tcMar>
          </w:tcPr>
          <w:p w14:paraId="66A7F433"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r>
      <w:tr w:rsidR="006B280C" w:rsidRPr="00AA752A" w14:paraId="3F81C6A6" w14:textId="77777777">
        <w:trPr>
          <w:trHeight w:val="441"/>
        </w:trPr>
        <w:tc>
          <w:tcPr>
            <w:tcW w:w="900" w:type="dxa"/>
            <w:tcMar>
              <w:top w:w="100" w:type="dxa"/>
              <w:left w:w="100" w:type="dxa"/>
              <w:bottom w:w="100" w:type="dxa"/>
              <w:right w:w="100" w:type="dxa"/>
            </w:tcMar>
          </w:tcPr>
          <w:p w14:paraId="225A1547" w14:textId="77777777" w:rsidR="006B280C" w:rsidRPr="00AA752A" w:rsidRDefault="00000000">
            <w:pPr>
              <w:widowControl w:val="0"/>
              <w:pBdr>
                <w:top w:val="nil"/>
                <w:left w:val="nil"/>
                <w:bottom w:val="nil"/>
                <w:right w:val="nil"/>
                <w:between w:val="nil"/>
              </w:pBdr>
              <w:spacing w:line="240" w:lineRule="auto"/>
              <w:ind w:left="92"/>
              <w:rPr>
                <w:rFonts w:ascii="Times New Roman" w:eastAsia="Times New Roman" w:hAnsi="Times New Roman" w:cs="Times New Roman"/>
                <w:color w:val="000000"/>
                <w:sz w:val="16"/>
                <w:szCs w:val="16"/>
              </w:rPr>
            </w:pPr>
            <w:r w:rsidRPr="00AA752A">
              <w:rPr>
                <w:rFonts w:ascii="Times New Roman" w:eastAsia="Times New Roman" w:hAnsi="Times New Roman" w:cs="Times New Roman"/>
                <w:color w:val="000000"/>
                <w:sz w:val="16"/>
                <w:szCs w:val="16"/>
              </w:rPr>
              <w:t>Q5</w:t>
            </w:r>
          </w:p>
        </w:tc>
        <w:tc>
          <w:tcPr>
            <w:tcW w:w="1300" w:type="dxa"/>
            <w:tcMar>
              <w:top w:w="100" w:type="dxa"/>
              <w:left w:w="100" w:type="dxa"/>
              <w:bottom w:w="100" w:type="dxa"/>
              <w:right w:w="100" w:type="dxa"/>
            </w:tcMar>
          </w:tcPr>
          <w:p w14:paraId="74EF0E12"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298" w:type="dxa"/>
            <w:tcMar>
              <w:top w:w="100" w:type="dxa"/>
              <w:left w:w="100" w:type="dxa"/>
              <w:bottom w:w="100" w:type="dxa"/>
              <w:right w:w="100" w:type="dxa"/>
            </w:tcMar>
          </w:tcPr>
          <w:p w14:paraId="11FBBB1C"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300" w:type="dxa"/>
            <w:tcMar>
              <w:top w:w="100" w:type="dxa"/>
              <w:left w:w="100" w:type="dxa"/>
              <w:bottom w:w="100" w:type="dxa"/>
              <w:right w:w="100" w:type="dxa"/>
            </w:tcMar>
          </w:tcPr>
          <w:p w14:paraId="0145CA50"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200" w:type="dxa"/>
            <w:tcMar>
              <w:top w:w="100" w:type="dxa"/>
              <w:left w:w="100" w:type="dxa"/>
              <w:bottom w:w="100" w:type="dxa"/>
              <w:right w:w="100" w:type="dxa"/>
            </w:tcMar>
          </w:tcPr>
          <w:p w14:paraId="6D6F07D2"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000" w:type="dxa"/>
            <w:tcMar>
              <w:top w:w="100" w:type="dxa"/>
              <w:left w:w="100" w:type="dxa"/>
              <w:bottom w:w="100" w:type="dxa"/>
              <w:right w:w="100" w:type="dxa"/>
            </w:tcMar>
          </w:tcPr>
          <w:p w14:paraId="578BFC4C"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999" w:type="dxa"/>
            <w:tcMar>
              <w:top w:w="100" w:type="dxa"/>
              <w:left w:w="100" w:type="dxa"/>
              <w:bottom w:w="100" w:type="dxa"/>
              <w:right w:w="100" w:type="dxa"/>
            </w:tcMar>
          </w:tcPr>
          <w:p w14:paraId="305AE27A"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c>
          <w:tcPr>
            <w:tcW w:w="1000" w:type="dxa"/>
            <w:tcMar>
              <w:top w:w="100" w:type="dxa"/>
              <w:left w:w="100" w:type="dxa"/>
              <w:bottom w:w="100" w:type="dxa"/>
              <w:right w:w="100" w:type="dxa"/>
            </w:tcMar>
          </w:tcPr>
          <w:p w14:paraId="29AF2742" w14:textId="77777777" w:rsidR="006B280C" w:rsidRPr="00AA752A" w:rsidRDefault="006B280C">
            <w:pPr>
              <w:widowControl w:val="0"/>
              <w:pBdr>
                <w:top w:val="nil"/>
                <w:left w:val="nil"/>
                <w:bottom w:val="nil"/>
                <w:right w:val="nil"/>
                <w:between w:val="nil"/>
              </w:pBdr>
              <w:rPr>
                <w:rFonts w:ascii="Times New Roman" w:eastAsia="Times New Roman" w:hAnsi="Times New Roman" w:cs="Times New Roman"/>
                <w:color w:val="000000"/>
                <w:sz w:val="16"/>
                <w:szCs w:val="16"/>
              </w:rPr>
            </w:pPr>
          </w:p>
        </w:tc>
      </w:tr>
    </w:tbl>
    <w:p w14:paraId="70AEA691" w14:textId="77777777" w:rsidR="006B280C" w:rsidRPr="00AA752A" w:rsidRDefault="006B280C">
      <w:pPr>
        <w:widowControl w:val="0"/>
        <w:pBdr>
          <w:top w:val="nil"/>
          <w:left w:val="nil"/>
          <w:bottom w:val="nil"/>
          <w:right w:val="nil"/>
          <w:between w:val="nil"/>
        </w:pBdr>
        <w:rPr>
          <w:rFonts w:ascii="Times New Roman" w:hAnsi="Times New Roman" w:cs="Times New Roman"/>
          <w:color w:val="000000"/>
          <w:sz w:val="18"/>
          <w:szCs w:val="18"/>
        </w:rPr>
      </w:pPr>
    </w:p>
    <w:p w14:paraId="773907D3" w14:textId="77777777" w:rsidR="006B280C" w:rsidRPr="00AA752A" w:rsidRDefault="006B280C">
      <w:pPr>
        <w:widowControl w:val="0"/>
        <w:pBdr>
          <w:top w:val="nil"/>
          <w:left w:val="nil"/>
          <w:bottom w:val="nil"/>
          <w:right w:val="nil"/>
          <w:between w:val="nil"/>
        </w:pBdr>
        <w:rPr>
          <w:rFonts w:ascii="Times New Roman" w:hAnsi="Times New Roman" w:cs="Times New Roman"/>
          <w:color w:val="000000"/>
          <w:sz w:val="18"/>
          <w:szCs w:val="18"/>
        </w:rPr>
      </w:pPr>
    </w:p>
    <w:p w14:paraId="61EE334B" w14:textId="77777777" w:rsidR="006B280C" w:rsidRPr="00AA752A"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Visualization Evaluation Exercise </w:t>
      </w:r>
    </w:p>
    <w:p w14:paraId="0A32B804" w14:textId="77777777" w:rsidR="006B280C" w:rsidRPr="00AA752A" w:rsidRDefault="00000000">
      <w:pPr>
        <w:widowControl w:val="0"/>
        <w:pBdr>
          <w:top w:val="nil"/>
          <w:left w:val="nil"/>
          <w:bottom w:val="nil"/>
          <w:right w:val="nil"/>
          <w:between w:val="nil"/>
        </w:pBdr>
        <w:spacing w:before="105" w:line="231" w:lineRule="auto"/>
        <w:ind w:left="8" w:right="573" w:firstLine="13"/>
        <w:rPr>
          <w:rFonts w:ascii="Times New Roman" w:eastAsia="Times New Roman" w:hAnsi="Times New Roman" w:cs="Times New Roman"/>
          <w:i/>
          <w:iCs/>
          <w:color w:val="000000"/>
          <w:sz w:val="16"/>
          <w:szCs w:val="16"/>
        </w:rPr>
      </w:pPr>
      <w:r w:rsidRPr="00AA752A">
        <w:rPr>
          <w:rFonts w:ascii="Times New Roman" w:eastAsia="Times New Roman" w:hAnsi="Times New Roman" w:cs="Times New Roman"/>
          <w:i/>
          <w:iCs/>
          <w:color w:val="000000"/>
          <w:sz w:val="16"/>
          <w:szCs w:val="16"/>
        </w:rPr>
        <w:t xml:space="preserve">Topic: Visualizing Time Series and Trends (Individual Time Series, Multiple Time Series &amp; Dose–Response Curves, STL  Decomposition, Smoothing, Detrending, Forecasting, Cycle &amp; Seasonality Detection) </w:t>
      </w:r>
    </w:p>
    <w:p w14:paraId="56CA16EB" w14:textId="77777777" w:rsidR="006B280C" w:rsidRPr="00AA752A" w:rsidRDefault="00000000">
      <w:pPr>
        <w:widowControl w:val="0"/>
        <w:pBdr>
          <w:top w:val="nil"/>
          <w:left w:val="nil"/>
          <w:bottom w:val="nil"/>
          <w:right w:val="nil"/>
          <w:between w:val="nil"/>
        </w:pBdr>
        <w:spacing w:before="578" w:line="240" w:lineRule="auto"/>
        <w:ind w:left="15"/>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Provided Datasets </w:t>
      </w:r>
    </w:p>
    <w:p w14:paraId="21DE0852" w14:textId="77777777" w:rsidR="006B280C" w:rsidRPr="00AA752A" w:rsidRDefault="00000000">
      <w:pPr>
        <w:widowControl w:val="0"/>
        <w:pBdr>
          <w:top w:val="nil"/>
          <w:left w:val="nil"/>
          <w:bottom w:val="nil"/>
          <w:right w:val="nil"/>
          <w:between w:val="nil"/>
        </w:pBdr>
        <w:spacing w:before="155" w:line="231" w:lineRule="auto"/>
        <w:ind w:left="10" w:right="81" w:firstLine="2"/>
        <w:rPr>
          <w:rFonts w:ascii="Times New Roman" w:eastAsia="Times New Roman" w:hAnsi="Times New Roman" w:cs="Times New Roman"/>
          <w:color w:val="000000"/>
          <w:sz w:val="16"/>
          <w:szCs w:val="16"/>
        </w:rPr>
      </w:pPr>
      <w:r w:rsidRPr="00AA752A">
        <w:rPr>
          <w:rFonts w:ascii="Times New Roman" w:eastAsia="Times New Roman" w:hAnsi="Times New Roman" w:cs="Times New Roman"/>
          <w:color w:val="000000"/>
          <w:sz w:val="16"/>
          <w:szCs w:val="16"/>
        </w:rPr>
        <w:t xml:space="preserve">The following files are supplied alongside this document so the exercise can be completed without internet access. All are real,  publicly documented datasets: </w:t>
      </w:r>
    </w:p>
    <w:p w14:paraId="5DF1E82F" w14:textId="77777777" w:rsidR="006B280C" w:rsidRPr="00AA752A" w:rsidRDefault="00000000">
      <w:pPr>
        <w:widowControl w:val="0"/>
        <w:pBdr>
          <w:top w:val="nil"/>
          <w:left w:val="nil"/>
          <w:bottom w:val="nil"/>
          <w:right w:val="nil"/>
          <w:between w:val="nil"/>
        </w:pBdr>
        <w:spacing w:before="125" w:line="231" w:lineRule="auto"/>
        <w:ind w:left="735" w:right="428" w:hanging="347"/>
        <w:rPr>
          <w:rFonts w:ascii="Times New Roman" w:eastAsia="Times New Roman" w:hAnsi="Times New Roman" w:cs="Times New Roman"/>
          <w:color w:val="000000"/>
          <w:sz w:val="16"/>
          <w:szCs w:val="16"/>
        </w:rPr>
      </w:pPr>
      <w:r w:rsidRPr="00AA752A">
        <w:rPr>
          <w:rFonts w:ascii="Times New Roman" w:eastAsia="Times New Roman" w:hAnsi="Times New Roman" w:cs="Times New Roman"/>
          <w:color w:val="000000"/>
          <w:sz w:val="16"/>
          <w:szCs w:val="16"/>
        </w:rPr>
        <w:t xml:space="preserve">● AirPassengers.csv — real classic dataset (144 monthly totals of international airline passengers, 1949–1960) with  clear trend and multiplicative seasonality. </w:t>
      </w:r>
    </w:p>
    <w:p w14:paraId="24654E55" w14:textId="77777777" w:rsidR="006B280C" w:rsidRPr="00AA752A" w:rsidRDefault="00000000">
      <w:pPr>
        <w:widowControl w:val="0"/>
        <w:pBdr>
          <w:top w:val="nil"/>
          <w:left w:val="nil"/>
          <w:bottom w:val="nil"/>
          <w:right w:val="nil"/>
          <w:between w:val="nil"/>
        </w:pBdr>
        <w:spacing w:before="62" w:line="231" w:lineRule="auto"/>
        <w:ind w:left="734" w:right="4" w:hanging="346"/>
        <w:rPr>
          <w:rFonts w:ascii="Times New Roman" w:eastAsia="Times New Roman" w:hAnsi="Times New Roman" w:cs="Times New Roman"/>
          <w:color w:val="000000"/>
          <w:sz w:val="16"/>
          <w:szCs w:val="16"/>
        </w:rPr>
      </w:pPr>
      <w:r w:rsidRPr="00AA752A">
        <w:rPr>
          <w:rFonts w:ascii="Times New Roman" w:eastAsia="Times New Roman" w:hAnsi="Times New Roman" w:cs="Times New Roman"/>
          <w:color w:val="000000"/>
          <w:sz w:val="16"/>
          <w:szCs w:val="16"/>
        </w:rPr>
        <w:t xml:space="preserve">● co2_mauna_loa.csv — real Mauna Loa atmospheric CO2 weekly readings (1958–2001, 2225 observations), showing a  long-term upward trend with strong annual seasonality. </w:t>
      </w:r>
    </w:p>
    <w:p w14:paraId="5D7AE500" w14:textId="77777777" w:rsidR="006B280C" w:rsidRPr="00AA752A" w:rsidRDefault="00000000">
      <w:pPr>
        <w:widowControl w:val="0"/>
        <w:pBdr>
          <w:top w:val="nil"/>
          <w:left w:val="nil"/>
          <w:bottom w:val="nil"/>
          <w:right w:val="nil"/>
          <w:between w:val="nil"/>
        </w:pBdr>
        <w:spacing w:before="65" w:line="231" w:lineRule="auto"/>
        <w:ind w:left="740" w:right="450" w:hanging="352"/>
        <w:rPr>
          <w:rFonts w:ascii="Times New Roman" w:eastAsia="Times New Roman" w:hAnsi="Times New Roman" w:cs="Times New Roman"/>
          <w:color w:val="000000"/>
          <w:sz w:val="16"/>
          <w:szCs w:val="16"/>
        </w:rPr>
      </w:pPr>
      <w:r w:rsidRPr="00AA752A">
        <w:rPr>
          <w:rFonts w:ascii="Times New Roman" w:eastAsia="Times New Roman" w:hAnsi="Times New Roman" w:cs="Times New Roman"/>
          <w:color w:val="000000"/>
          <w:sz w:val="16"/>
          <w:szCs w:val="16"/>
        </w:rPr>
        <w:t xml:space="preserve">● Nile.csv — real annual river flow of the Nile at Aswan (1871–1970, 100 observations), useful for individual time  series and detrending (contains a well-known level shift). </w:t>
      </w:r>
    </w:p>
    <w:p w14:paraId="4EB00DD6" w14:textId="77777777" w:rsidR="006B280C" w:rsidRPr="00AA752A" w:rsidRDefault="00000000">
      <w:pPr>
        <w:widowControl w:val="0"/>
        <w:pBdr>
          <w:top w:val="nil"/>
          <w:left w:val="nil"/>
          <w:bottom w:val="nil"/>
          <w:right w:val="nil"/>
          <w:between w:val="nil"/>
        </w:pBdr>
        <w:spacing w:before="64" w:line="231" w:lineRule="auto"/>
        <w:ind w:left="735" w:right="287" w:hanging="348"/>
        <w:rPr>
          <w:rFonts w:ascii="Times New Roman" w:eastAsia="Times New Roman" w:hAnsi="Times New Roman" w:cs="Times New Roman"/>
          <w:color w:val="000000"/>
          <w:sz w:val="16"/>
          <w:szCs w:val="16"/>
        </w:rPr>
      </w:pPr>
      <w:r w:rsidRPr="00AA752A">
        <w:rPr>
          <w:rFonts w:ascii="Times New Roman" w:eastAsia="Times New Roman" w:hAnsi="Times New Roman" w:cs="Times New Roman"/>
          <w:color w:val="000000"/>
          <w:sz w:val="16"/>
          <w:szCs w:val="16"/>
        </w:rPr>
        <w:t xml:space="preserve">● sunspots.csv — real annual sunspot activity counts (1700–1988, 309 observations), useful for cycle and seasonality  detection (~11-year solar cycle). </w:t>
      </w:r>
    </w:p>
    <w:p w14:paraId="530FA69A" w14:textId="77777777" w:rsidR="006B280C" w:rsidRPr="00AA752A" w:rsidRDefault="00000000">
      <w:pPr>
        <w:widowControl w:val="0"/>
        <w:pBdr>
          <w:top w:val="nil"/>
          <w:left w:val="nil"/>
          <w:bottom w:val="nil"/>
          <w:right w:val="nil"/>
          <w:between w:val="nil"/>
        </w:pBdr>
        <w:spacing w:before="62" w:line="231" w:lineRule="auto"/>
        <w:ind w:left="752" w:right="516" w:hanging="364"/>
        <w:rPr>
          <w:rFonts w:ascii="Times New Roman" w:eastAsia="Times New Roman" w:hAnsi="Times New Roman" w:cs="Times New Roman"/>
          <w:color w:val="000000"/>
          <w:sz w:val="16"/>
          <w:szCs w:val="16"/>
        </w:rPr>
      </w:pPr>
      <w:r w:rsidRPr="00AA752A">
        <w:rPr>
          <w:rFonts w:ascii="Times New Roman" w:eastAsia="Times New Roman" w:hAnsi="Times New Roman" w:cs="Times New Roman"/>
          <w:color w:val="000000"/>
          <w:sz w:val="16"/>
          <w:szCs w:val="16"/>
        </w:rPr>
        <w:t xml:space="preserve">● EuStockMarkets.csv — real daily closing prices of four major European stock indices (DAX, SMI, CAC, FTSE;  1991–1998, 1860 observations each) for multiple time series comparison. </w:t>
      </w:r>
    </w:p>
    <w:p w14:paraId="1A775650" w14:textId="77777777" w:rsidR="006B280C" w:rsidRPr="00AA752A" w:rsidRDefault="00000000">
      <w:pPr>
        <w:widowControl w:val="0"/>
        <w:pBdr>
          <w:top w:val="nil"/>
          <w:left w:val="nil"/>
          <w:bottom w:val="nil"/>
          <w:right w:val="nil"/>
          <w:between w:val="nil"/>
        </w:pBdr>
        <w:spacing w:before="65" w:line="231" w:lineRule="auto"/>
        <w:ind w:left="736" w:right="745" w:hanging="348"/>
        <w:rPr>
          <w:rFonts w:ascii="Times New Roman" w:eastAsia="Times New Roman" w:hAnsi="Times New Roman" w:cs="Times New Roman"/>
          <w:color w:val="000000"/>
          <w:sz w:val="16"/>
          <w:szCs w:val="16"/>
        </w:rPr>
      </w:pPr>
      <w:r w:rsidRPr="00AA752A">
        <w:rPr>
          <w:rFonts w:ascii="Times New Roman" w:eastAsia="Times New Roman" w:hAnsi="Times New Roman" w:cs="Times New Roman"/>
          <w:color w:val="000000"/>
          <w:sz w:val="16"/>
          <w:szCs w:val="16"/>
        </w:rPr>
        <w:t xml:space="preserve">● ryegrass_doseresponse.csv — real dose–response data (root length of ryegrass vs. herbicide concentration, 24  observations) from the drc package in R. </w:t>
      </w:r>
    </w:p>
    <w:p w14:paraId="6F36F1E8" w14:textId="77777777" w:rsidR="006B280C" w:rsidRPr="00AA752A" w:rsidRDefault="00000000">
      <w:pPr>
        <w:widowControl w:val="0"/>
        <w:pBdr>
          <w:top w:val="nil"/>
          <w:left w:val="nil"/>
          <w:bottom w:val="nil"/>
          <w:right w:val="nil"/>
          <w:between w:val="nil"/>
        </w:pBdr>
        <w:spacing w:before="65" w:line="240" w:lineRule="auto"/>
        <w:ind w:left="13"/>
        <w:rPr>
          <w:rFonts w:ascii="Times New Roman" w:eastAsia="Times New Roman" w:hAnsi="Times New Roman" w:cs="Times New Roman"/>
          <w:b/>
          <w:bCs/>
          <w:color w:val="000000"/>
          <w:sz w:val="16"/>
          <w:szCs w:val="16"/>
        </w:rPr>
      </w:pPr>
      <w:r w:rsidRPr="00AA752A">
        <w:rPr>
          <w:rFonts w:ascii="Times New Roman" w:eastAsia="Times New Roman" w:hAnsi="Times New Roman" w:cs="Times New Roman"/>
          <w:b/>
          <w:bCs/>
          <w:color w:val="000000"/>
          <w:sz w:val="16"/>
          <w:szCs w:val="16"/>
        </w:rPr>
        <w:t xml:space="preserve">Place all CSV files in the same working directory as your R script, then load with read.csv("filename.csv"). </w:t>
      </w:r>
    </w:p>
    <w:p w14:paraId="35FF3CA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Question 1 — Individual Time Series &amp; Moving-Average Smoothing</w:t>
      </w:r>
    </w:p>
    <w:p w14:paraId="1BC70CA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 xml:space="preserve">Dataset: </w:t>
      </w:r>
      <w:r w:rsidRPr="00AA752A">
        <w:rPr>
          <w:rFonts w:ascii="Times New Roman" w:eastAsia="Times New Roman" w:hAnsi="Times New Roman" w:cs="Times New Roman"/>
          <w:color w:val="000000"/>
          <w:sz w:val="24"/>
          <w:szCs w:val="24"/>
        </w:rPr>
        <w:t>Nile.csv (annual Nile river flow at Aswan, 1871–1970/1980)</w:t>
      </w:r>
    </w:p>
    <w:p w14:paraId="3E3CC2F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 Nile value series was converted into an R ts object (start = 1871, frequency = 1) and plotted as a raw annual line chart. A 5-year moving average (via stats::filter()) was overlaid to highlight the long-term pattern.</w:t>
      </w:r>
    </w:p>
    <w:p w14:paraId="3C10AAA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R Code</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10294"/>
      </w:tblGrid>
      <w:tr w:rsidR="00AA752A" w:rsidRPr="00AA752A" w14:paraId="4EF4EAB8"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hideMark/>
          </w:tcPr>
          <w:p w14:paraId="66701E4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Q1 - Individual Time Series &amp; Moving Average</w:t>
            </w:r>
          </w:p>
          <w:p w14:paraId="7646D14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15D6725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nile_values &lt;- c(</w:t>
            </w:r>
          </w:p>
          <w:p w14:paraId="5EEC872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1120,1160,963,1210,1160,1160,813,1230,1370,1140,</w:t>
            </w:r>
          </w:p>
          <w:p w14:paraId="330AF64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t xml:space="preserve">  995,935,1110,994,1020,960,1180,799,958,1140,</w:t>
            </w:r>
          </w:p>
          <w:p w14:paraId="46970AB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1100,1210,1150,1250,1260,1220,1030,1100,774,840,</w:t>
            </w:r>
          </w:p>
          <w:p w14:paraId="2B81D64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874,694,940,833,701,916,692,1020,1050,969,</w:t>
            </w:r>
          </w:p>
          <w:p w14:paraId="2F075C6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831,726,456,824,702,1120,1100,832,764,821,</w:t>
            </w:r>
          </w:p>
          <w:p w14:paraId="4870D51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768,845,864,862,698,845,744,796,1040,759,</w:t>
            </w:r>
          </w:p>
          <w:p w14:paraId="2BAC1FB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781,817,848,740,777,742,901,625,854,802,</w:t>
            </w:r>
          </w:p>
          <w:p w14:paraId="0548633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697,780,620,820,636,864,655,656,740,640,</w:t>
            </w:r>
          </w:p>
          <w:p w14:paraId="45137C11"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734,732,865,815,739,757,658,732,766,767,</w:t>
            </w:r>
          </w:p>
          <w:p w14:paraId="178B636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722,721,781,703,765,685,741,800,666,768,</w:t>
            </w:r>
          </w:p>
          <w:p w14:paraId="59714E5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725,650,738,783,705,730,700,700,700,750</w:t>
            </w:r>
          </w:p>
          <w:p w14:paraId="6AD75D5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w:t>
            </w:r>
          </w:p>
          <w:p w14:paraId="63247E2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0A07F316"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nile_ts &lt;- ts(nile_values, start = 1871, frequency = 1)</w:t>
            </w:r>
          </w:p>
          <w:p w14:paraId="6E055BD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5EA0766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t># 5-year moving average</w:t>
            </w:r>
          </w:p>
          <w:p w14:paraId="4CEB5C0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nile_ma &lt;- stats::filter(nile_ts, filter = rep(1/5, 5), sides = 2)</w:t>
            </w:r>
          </w:p>
          <w:p w14:paraId="7C35859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2C534CB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nile_plot &lt;- data.frame(</w:t>
            </w:r>
          </w:p>
          <w:p w14:paraId="12B31EB7"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Year = time(nile_ts),</w:t>
            </w:r>
          </w:p>
          <w:p w14:paraId="7CAE0D3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Flow = as.numeric(nile_ts),</w:t>
            </w:r>
          </w:p>
          <w:p w14:paraId="3C3E2D2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Moving_Average = as.numeric(nile_ma)</w:t>
            </w:r>
          </w:p>
          <w:p w14:paraId="38563AB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w:t>
            </w:r>
          </w:p>
          <w:p w14:paraId="5F1704E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1124C367"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ggplot(nile_plot, aes(x = Year)) +</w:t>
            </w:r>
          </w:p>
          <w:p w14:paraId="4A690EF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geom_line(aes(y = Flow), linewidth = 0.7) +</w:t>
            </w:r>
          </w:p>
          <w:p w14:paraId="3B6F5386"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geom_line(aes(y = Moving_Average), linewidth = 1.2) +</w:t>
            </w:r>
          </w:p>
          <w:p w14:paraId="38E40DF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labs(title = "Nile River Flow with 5-Year Moving Average",</w:t>
            </w:r>
          </w:p>
          <w:p w14:paraId="1FF80E0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x = "Year", y = "Annual River Flow") +</w:t>
            </w:r>
          </w:p>
          <w:p w14:paraId="0A3FDC5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t xml:space="preserve">  theme_minimal()</w:t>
            </w:r>
          </w:p>
        </w:tc>
      </w:tr>
    </w:tbl>
    <w:p w14:paraId="24DD6B0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lastRenderedPageBreak/>
        <w:t>Output</w:t>
      </w:r>
    </w:p>
    <w:p w14:paraId="5D5F2795" w14:textId="063F8503"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drawing>
          <wp:inline distT="0" distB="0" distL="0" distR="0" wp14:anchorId="05E47E13" wp14:editId="6F2F5793">
            <wp:extent cx="5334000" cy="4267200"/>
            <wp:effectExtent l="0" t="0" r="0" b="0"/>
            <wp:docPr id="882821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34000" cy="4267200"/>
                    </a:xfrm>
                    <a:prstGeom prst="rect">
                      <a:avLst/>
                    </a:prstGeom>
                    <a:noFill/>
                    <a:ln>
                      <a:noFill/>
                    </a:ln>
                  </pic:spPr>
                </pic:pic>
              </a:graphicData>
            </a:graphic>
          </wp:inline>
        </w:drawing>
      </w:r>
    </w:p>
    <w:p w14:paraId="267E62A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i/>
          <w:iCs/>
          <w:color w:val="000000"/>
          <w:sz w:val="24"/>
          <w:szCs w:val="24"/>
        </w:rPr>
        <w:t>Nile River Flow with 5-Year Moving Average</w:t>
      </w:r>
    </w:p>
    <w:p w14:paraId="599AC31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Analysis / Interpretation</w:t>
      </w:r>
    </w:p>
    <w:p w14:paraId="213ADB7E"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 Nile flow shows considerable year-to-year variation, with the raw series fluctuating sharply between roughly 600 and 1,400 units.</w:t>
      </w:r>
    </w:p>
    <w:p w14:paraId="6A03229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A noticeable downward shift in the average flow level occurs around the late 1890s, after which the series </w:t>
      </w:r>
      <w:r w:rsidRPr="00AA752A">
        <w:rPr>
          <w:rFonts w:ascii="Times New Roman" w:eastAsia="Times New Roman" w:hAnsi="Times New Roman" w:cs="Times New Roman"/>
          <w:color w:val="000000"/>
          <w:sz w:val="24"/>
          <w:szCs w:val="24"/>
        </w:rPr>
        <w:lastRenderedPageBreak/>
        <w:t>remains at a generally lower level.</w:t>
      </w:r>
    </w:p>
    <w:p w14:paraId="15533FC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 5-year moving average reduces the short-term fluctuations and makes this change in the overall level much easier to identify than in the raw series alone.</w:t>
      </w:r>
    </w:p>
    <w:p w14:paraId="35C2298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br w:type="page"/>
      </w:r>
    </w:p>
    <w:p w14:paraId="74C00C6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lastRenderedPageBreak/>
        <w:t>Question 2(a) — Multiple Time Series Comparison</w:t>
      </w:r>
    </w:p>
    <w:p w14:paraId="06A824D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 xml:space="preserve">Dataset: </w:t>
      </w:r>
      <w:r w:rsidRPr="00AA752A">
        <w:rPr>
          <w:rFonts w:ascii="Times New Roman" w:eastAsia="Times New Roman" w:hAnsi="Times New Roman" w:cs="Times New Roman"/>
          <w:color w:val="000000"/>
          <w:sz w:val="24"/>
          <w:szCs w:val="24"/>
        </w:rPr>
        <w:t>EuStockMarkets.csv (DAX, SMI, CAC, FTSE daily closing prices, 1991–1998)</w:t>
      </w:r>
    </w:p>
    <w:p w14:paraId="7B99C46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All four indices were reshaped to long format with tidyr::pivot_longer() and plotted on a common time axis using ggplot2. Because the series have different absolute scales, each was re-indexed to 100 at its first observation so percentage changes are directly comparable.</w:t>
      </w:r>
    </w:p>
    <w:p w14:paraId="550FEEF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R Code</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10294"/>
      </w:tblGrid>
      <w:tr w:rsidR="00AA752A" w:rsidRPr="00AA752A" w14:paraId="6621024B"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hideMark/>
          </w:tcPr>
          <w:p w14:paraId="5F4F743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Q2(a) - Multiple Time Series (EuStockMarkets-style)</w:t>
            </w:r>
          </w:p>
          <w:p w14:paraId="062B215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3FAA4CD6"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set.seed(123); n &lt;- 250</w:t>
            </w:r>
          </w:p>
          <w:p w14:paraId="035285D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dates &lt;- seq(as.Date("1991-01-01"), by = "day", length.out = n)</w:t>
            </w:r>
          </w:p>
          <w:p w14:paraId="0FE613C7"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08917E6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DAX  &lt;- 100 * cumprod(1 + rnorm(n, 0.0025, 0.015))</w:t>
            </w:r>
          </w:p>
          <w:p w14:paraId="50AA2BD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SMI  &lt;- 100 * cumprod(1 + rnorm(n, 0.0020, 0.012))</w:t>
            </w:r>
          </w:p>
          <w:p w14:paraId="2B611127"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CAC  &lt;- 100 * cumprod(1 + rnorm(n, 0.0028, 0.014))</w:t>
            </w:r>
          </w:p>
          <w:p w14:paraId="45DBDF8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FTSE &lt;- 100 * cumprod(1 + rnorm(n, 0.0018, 0.010))</w:t>
            </w:r>
          </w:p>
          <w:p w14:paraId="1F1B407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738604A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t>stocks &lt;- data.frame(Date = dates, DAX, SMI, CAC, FTSE)</w:t>
            </w:r>
          </w:p>
          <w:p w14:paraId="776E580E"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5F3510F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stocks_long &lt;- stocks %&gt;%</w:t>
            </w:r>
          </w:p>
          <w:p w14:paraId="11D99626"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pivot_longer(cols = c(DAX, SMI, CAC, FTSE),</w:t>
            </w:r>
          </w:p>
          <w:p w14:paraId="6361FA4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names_to = "Index", values_to = "Value") %&gt;%</w:t>
            </w:r>
          </w:p>
          <w:p w14:paraId="40CB8B2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group_by(Index) %&gt;%</w:t>
            </w:r>
          </w:p>
          <w:p w14:paraId="5BA524D6"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mutate(Indexed_Value = Value / first(Value) * 100) %&gt;%</w:t>
            </w:r>
          </w:p>
          <w:p w14:paraId="69831A41"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ungroup()</w:t>
            </w:r>
          </w:p>
          <w:p w14:paraId="65931AC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57767AF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ggplot(stocks_long, aes(x = Date, y = Indexed_Value, color = Index)) +</w:t>
            </w:r>
          </w:p>
          <w:p w14:paraId="775729B1"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geom_line(linewidth = 1) +</w:t>
            </w:r>
          </w:p>
          <w:p w14:paraId="65E769B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labs(title = "European Stock Indices",</w:t>
            </w:r>
          </w:p>
          <w:p w14:paraId="79CF08B6"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subtitle = "Each index re-indexed to 100") +</w:t>
            </w:r>
          </w:p>
          <w:p w14:paraId="168E24A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theme_minimal()</w:t>
            </w:r>
          </w:p>
        </w:tc>
      </w:tr>
    </w:tbl>
    <w:p w14:paraId="1B61D91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lastRenderedPageBreak/>
        <w:t>Output</w:t>
      </w:r>
    </w:p>
    <w:p w14:paraId="13D29CD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i/>
          <w:iCs/>
          <w:color w:val="000000"/>
          <w:sz w:val="24"/>
          <w:szCs w:val="24"/>
        </w:rPr>
        <w:t>(Line chart of the four re-indexed series generated by the ggplot2 call above; screenshot of this specific plot was not included in the output set provided.)</w:t>
      </w:r>
    </w:p>
    <w:p w14:paraId="11D7377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Analysis / Interpretation</w:t>
      </w:r>
    </w:p>
    <w:p w14:paraId="087706B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Re-indexing each series to 100 removes the effect of differing absolute price levels, so the lines directly show cumulative percentage growth over the period rather than raw price differences.</w:t>
      </w:r>
    </w:p>
    <w:p w14:paraId="5949E02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 strongest overall growth is read off directly from the growth_summary table printed to console: the index with the highest final Indexed_Value (largest Growth_Percent) is the one that grew the most over the period; the other three trail it in the ranked table.</w:t>
      </w:r>
    </w:p>
    <w:p w14:paraId="0228A55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Question 2(b) — Dose–Response Curve</w:t>
      </w:r>
    </w:p>
    <w:p w14:paraId="6C5CA3E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 xml:space="preserve">Dataset: </w:t>
      </w:r>
      <w:r w:rsidRPr="00AA752A">
        <w:rPr>
          <w:rFonts w:ascii="Times New Roman" w:eastAsia="Times New Roman" w:hAnsi="Times New Roman" w:cs="Times New Roman"/>
          <w:color w:val="000000"/>
          <w:sz w:val="24"/>
          <w:szCs w:val="24"/>
        </w:rPr>
        <w:t>ryegrass_doseresponse.csv (root length vs. herbicide concentration)</w:t>
      </w:r>
    </w:p>
    <w:p w14:paraId="390964F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Root length was plotted against herbicide concentration on a log concentration scale, with a LOESS smooth overlaid as an approximation to a log-logistic dose–response curve.</w:t>
      </w:r>
    </w:p>
    <w:p w14:paraId="3873F6A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R Code</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10294"/>
      </w:tblGrid>
      <w:tr w:rsidR="00AA752A" w:rsidRPr="00AA752A" w14:paraId="2175FAF4"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hideMark/>
          </w:tcPr>
          <w:p w14:paraId="53C96B9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Q2(b) - Dose-Response Curve</w:t>
            </w:r>
          </w:p>
          <w:p w14:paraId="71311EF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047D38B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dose_data &lt;- data.frame(</w:t>
            </w:r>
          </w:p>
          <w:p w14:paraId="52F6198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concentration = c(0,0.1,0.2,0.5,1,2,4,6,8,10,15,20,</w:t>
            </w:r>
          </w:p>
          <w:p w14:paraId="463D2CD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t xml:space="preserve">                    30,40,50,60,70,80,90,100,120,150,180,200),</w:t>
            </w:r>
          </w:p>
          <w:p w14:paraId="33EE698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root_length   = c(100,98,96,93,89,84,78,72,67,61,55,49,</w:t>
            </w:r>
          </w:p>
          <w:p w14:paraId="5C52708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43,38,34,30,27,24,22,20,18,16,14,13)</w:t>
            </w:r>
          </w:p>
          <w:p w14:paraId="61B4A04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w:t>
            </w:r>
          </w:p>
          <w:p w14:paraId="6975691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584E1C2E"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ggplot(dose_data, aes(x = concentration, y = root_length)) +</w:t>
            </w:r>
          </w:p>
          <w:p w14:paraId="479BF5B7"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geom_point(size = 3) +</w:t>
            </w:r>
          </w:p>
          <w:p w14:paraId="452E41A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geom_smooth(method = "loess", se = TRUE, linewidth = 1.2) +</w:t>
            </w:r>
          </w:p>
          <w:p w14:paraId="1A98704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scale_x_log10() +</w:t>
            </w:r>
          </w:p>
          <w:p w14:paraId="6518A69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labs(title = "Dose-Response Curve on Log Concentration Scale",</w:t>
            </w:r>
          </w:p>
          <w:p w14:paraId="7DBAE0C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x = "Herbicide Concentration (Log Scale)", y = "Root Length") +</w:t>
            </w:r>
          </w:p>
          <w:p w14:paraId="054E969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theme_minimal()</w:t>
            </w:r>
          </w:p>
          <w:p w14:paraId="32F4571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62BE736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control &lt;- dose_data$root_length[dose_data$concentration == 0]</w:t>
            </w:r>
          </w:p>
          <w:p w14:paraId="3F5D68DE"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t>target_50 &lt;- control * 0.50</w:t>
            </w:r>
          </w:p>
          <w:p w14:paraId="7D8CE68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dose_50 &lt;- dose_data[which.min(abs(dose_data$root_length - target_50)), ]</w:t>
            </w:r>
          </w:p>
        </w:tc>
      </w:tr>
    </w:tbl>
    <w:p w14:paraId="462937F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lastRenderedPageBreak/>
        <w:t>Output</w:t>
      </w:r>
    </w:p>
    <w:p w14:paraId="3655941E" w14:textId="5FF487C3"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drawing>
          <wp:inline distT="0" distB="0" distL="0" distR="0" wp14:anchorId="29C5427F" wp14:editId="48FAFE24">
            <wp:extent cx="5334000" cy="4267200"/>
            <wp:effectExtent l="0" t="0" r="0" b="0"/>
            <wp:docPr id="20085495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6326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4267200"/>
                    </a:xfrm>
                    <a:prstGeom prst="rect">
                      <a:avLst/>
                    </a:prstGeom>
                    <a:noFill/>
                    <a:ln>
                      <a:noFill/>
                    </a:ln>
                  </pic:spPr>
                </pic:pic>
              </a:graphicData>
            </a:graphic>
          </wp:inline>
        </w:drawing>
      </w:r>
    </w:p>
    <w:p w14:paraId="0C20070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i/>
          <w:iCs/>
          <w:color w:val="000000"/>
          <w:sz w:val="24"/>
          <w:szCs w:val="24"/>
        </w:rPr>
        <w:t>Dose–Response Curve on Log Concentration Scale</w:t>
      </w:r>
    </w:p>
    <w:p w14:paraId="43B9B5D6"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Analysis / Interpretation</w:t>
      </w:r>
    </w:p>
    <w:p w14:paraId="4681B1F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The relationship is a classic decreasing (sigmoidal) dose–response curve: root length stays close to the control level at very low concentrations, then declines steeply through the middle of the concentration </w:t>
      </w:r>
      <w:r w:rsidRPr="00AA752A">
        <w:rPr>
          <w:rFonts w:ascii="Times New Roman" w:eastAsia="Times New Roman" w:hAnsi="Times New Roman" w:cs="Times New Roman"/>
          <w:color w:val="000000"/>
          <w:sz w:val="24"/>
          <w:szCs w:val="24"/>
        </w:rPr>
        <w:lastRenderedPageBreak/>
        <w:t>range, and levels off at high concentrations.</w:t>
      </w:r>
    </w:p>
    <w:p w14:paraId="7895987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Root length decreases as herbicide concentration increases — a clear negative dose-response pattern, with stronger concentrations producing greater inhibition of root growth.</w:t>
      </w:r>
    </w:p>
    <w:p w14:paraId="1E07D6FE"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 control (concentration = 0) root length is 100, so a 50% reduction corresponds to a root length of 50. Scanning the data, a concentration of 20 gives a root length of 49 — the closest observed value to the 50% reduction target — so the approximate concentration for 50% reduction is around 20 units.</w:t>
      </w:r>
    </w:p>
    <w:p w14:paraId="2DCF913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br w:type="page"/>
      </w:r>
    </w:p>
    <w:p w14:paraId="0F0199C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lastRenderedPageBreak/>
        <w:t>Question 3 — Seasonal Decomposition of Time Series (STL)</w:t>
      </w:r>
    </w:p>
    <w:p w14:paraId="4B75621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 xml:space="preserve">Dataset: </w:t>
      </w:r>
      <w:r w:rsidRPr="00AA752A">
        <w:rPr>
          <w:rFonts w:ascii="Times New Roman" w:eastAsia="Times New Roman" w:hAnsi="Times New Roman" w:cs="Times New Roman"/>
          <w:color w:val="000000"/>
          <w:sz w:val="24"/>
          <w:szCs w:val="24"/>
        </w:rPr>
        <w:t>AirPassengers.csv (monthly international airline passengers, 1949–1960)</w:t>
      </w:r>
    </w:p>
    <w:p w14:paraId="71414E1E"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 passengers column was converted to a ts object (start = c(1949,1), frequency = 12) and decomposed using stl(s.window = "periodic") into trend, seasonal, and remainder components.</w:t>
      </w:r>
    </w:p>
    <w:p w14:paraId="715ECA7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R Code</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10294"/>
      </w:tblGrid>
      <w:tr w:rsidR="00AA752A" w:rsidRPr="00AA752A" w14:paraId="7D112DEC"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hideMark/>
          </w:tcPr>
          <w:p w14:paraId="5C89EA8E"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Q3 - STL Seasonal Decomposition</w:t>
            </w:r>
          </w:p>
          <w:p w14:paraId="31F833C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19E6821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passengers &lt;- c(112,118,132,129,121,135,148,148,136,119,104,118, ... )</w:t>
            </w:r>
          </w:p>
          <w:p w14:paraId="3B19029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air_ts &lt;- ts(passengers, start = c(1949, 1), frequency = 12)</w:t>
            </w:r>
          </w:p>
          <w:p w14:paraId="498660E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43417C21"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stl_result &lt;- stl(air_ts, s.window = "periodic")</w:t>
            </w:r>
          </w:p>
          <w:p w14:paraId="4243C68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plot(stl_result, main = "STL Decomposition of Air Passengers")</w:t>
            </w:r>
          </w:p>
          <w:p w14:paraId="3D23AF9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1D12F996"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stl_data &lt;- data.frame(</w:t>
            </w:r>
          </w:p>
          <w:p w14:paraId="7BFDB3E6"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Time = time(air_ts),</w:t>
            </w:r>
          </w:p>
          <w:p w14:paraId="4EEB788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t xml:space="preserve">  Observed  = as.numeric(air_ts),</w:t>
            </w:r>
          </w:p>
          <w:p w14:paraId="3A7C14E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Trend     = as.numeric(stl_result$time.series[, "trend"]),</w:t>
            </w:r>
          </w:p>
          <w:p w14:paraId="4539F84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Seasonal  = as.numeric(stl_result$time.series[, "seasonal"]),</w:t>
            </w:r>
          </w:p>
          <w:p w14:paraId="5BF6448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Remainder = as.numeric(stl_result$time.series[, "remainder"])</w:t>
            </w:r>
          </w:p>
          <w:p w14:paraId="11B1057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w:t>
            </w:r>
          </w:p>
          <w:p w14:paraId="4F2B155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42DFBC5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ggplot(stl_data, aes(x = Time, y = Remainder)) +</w:t>
            </w:r>
          </w:p>
          <w:p w14:paraId="1C4A60B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geom_line(linewidth = 0.7) +</w:t>
            </w:r>
          </w:p>
          <w:p w14:paraId="6C6CAB36"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geom_hline(yintercept = 0, linetype = "dashed") +</w:t>
            </w:r>
          </w:p>
          <w:p w14:paraId="1FF11DF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labs(title = "STL Remainder Component", x = "Year", y = "Remainder") +</w:t>
            </w:r>
          </w:p>
          <w:p w14:paraId="001692F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theme_minimal()</w:t>
            </w:r>
          </w:p>
        </w:tc>
      </w:tr>
    </w:tbl>
    <w:p w14:paraId="171BC447"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Output</w:t>
      </w:r>
    </w:p>
    <w:p w14:paraId="1F459D8E" w14:textId="704ABA0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drawing>
          <wp:inline distT="0" distB="0" distL="0" distR="0" wp14:anchorId="0F94C055" wp14:editId="2DBABF54">
            <wp:extent cx="5334000" cy="4267200"/>
            <wp:effectExtent l="0" t="0" r="0" b="0"/>
            <wp:docPr id="88914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1785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4267200"/>
                    </a:xfrm>
                    <a:prstGeom prst="rect">
                      <a:avLst/>
                    </a:prstGeom>
                    <a:noFill/>
                    <a:ln>
                      <a:noFill/>
                    </a:ln>
                  </pic:spPr>
                </pic:pic>
              </a:graphicData>
            </a:graphic>
          </wp:inline>
        </w:drawing>
      </w:r>
    </w:p>
    <w:p w14:paraId="4CBA082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i/>
          <w:iCs/>
          <w:color w:val="000000"/>
          <w:sz w:val="24"/>
          <w:szCs w:val="24"/>
        </w:rPr>
        <w:t>STL Remainder Component</w:t>
      </w:r>
    </w:p>
    <w:p w14:paraId="17D8C46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Analysis / Interpretation</w:t>
      </w:r>
    </w:p>
    <w:p w14:paraId="71F24D6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 series shows a strong, steady upward long-term trend together with a clear, repeating annual seasonal pattern (peaks around mid-year, troughs in winter months).</w:t>
      </w:r>
    </w:p>
    <w:p w14:paraId="77910B1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 seasonal fluctuations become larger in absolute magnitude as the overall passenger level increases — the swings in later years are visibly wider than in early years.</w:t>
      </w:r>
    </w:p>
    <w:p w14:paraId="1262552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Because the seasonal amplitude grows with the trend rather than staying constant, a multiplicative decomposition is more appropriate for the original AirPassengers series than an additive one. The remainder component (shown above) is what is left once trend and seasonality are removed, and it stays reasonably centered around zero, confirming STL has captured most of the structured variation.</w:t>
      </w:r>
    </w:p>
    <w:p w14:paraId="6168B79E"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br w:type="page"/>
      </w:r>
    </w:p>
    <w:p w14:paraId="09590011"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lastRenderedPageBreak/>
        <w:t>Question 4 — Detrending and Residual Analysis</w:t>
      </w:r>
    </w:p>
    <w:p w14:paraId="3664539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 xml:space="preserve">Dataset: </w:t>
      </w:r>
      <w:r w:rsidRPr="00AA752A">
        <w:rPr>
          <w:rFonts w:ascii="Times New Roman" w:eastAsia="Times New Roman" w:hAnsi="Times New Roman" w:cs="Times New Roman"/>
          <w:color w:val="000000"/>
          <w:sz w:val="24"/>
          <w:szCs w:val="24"/>
        </w:rPr>
        <w:t>co2_mauna_loa.csv (Mauna Loa atmospheric CO2, weekly, 1958–2001)</w:t>
      </w:r>
    </w:p>
    <w:p w14:paraId="41E758F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A linear trend (CO2 ~ Time) was fitted with lm() and the fitted values subtracted from the observed series to obtain a detrended residual series. The original series with fitted trend line, and the detrended residuals, were plotted separately.</w:t>
      </w:r>
    </w:p>
    <w:p w14:paraId="634BD8E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R Code</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10294"/>
      </w:tblGrid>
      <w:tr w:rsidR="00AA752A" w:rsidRPr="00AA752A" w14:paraId="37926500"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hideMark/>
          </w:tcPr>
          <w:p w14:paraId="6FCD47C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Q4 - Detrending and Residual Analysis</w:t>
            </w:r>
          </w:p>
          <w:p w14:paraId="31483F31"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3BAD0BC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set.seed(123); n_co2 &lt;- 240</w:t>
            </w:r>
          </w:p>
          <w:p w14:paraId="78AA788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co2_date &lt;- seq(as.Date("1958-01-01"), by = "month", length.out = n_co2)</w:t>
            </w:r>
          </w:p>
          <w:p w14:paraId="3EDE068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co2_time &lt;- 1:n_co2</w:t>
            </w:r>
          </w:p>
          <w:p w14:paraId="66ADCAF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344FBEE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co2_trend    &lt;- 315 + 0.085 * co2_time                 # long-term trend</w:t>
            </w:r>
          </w:p>
          <w:p w14:paraId="725C13C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co2_seasonal &lt;- 3.2 * sin(2 * pi * co2_time / 12)      # annual seasonality</w:t>
            </w:r>
          </w:p>
          <w:p w14:paraId="516F0A3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co2_noise    &lt;- rnorm(n_co2, mean = 0, sd = 0.8)</w:t>
            </w:r>
          </w:p>
          <w:p w14:paraId="2BE89D4E"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CO2 &lt;- co2_trend + co2_seasonal + co2_noise</w:t>
            </w:r>
          </w:p>
          <w:p w14:paraId="15E7765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t xml:space="preserve"> </w:t>
            </w:r>
          </w:p>
          <w:p w14:paraId="6BB348C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co2_data &lt;- data.frame(Date = co2_date, Time = co2_time, CO2 = CO2)</w:t>
            </w:r>
          </w:p>
          <w:p w14:paraId="57FD144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2300A56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trend_model &lt;- lm(CO2 ~ Time, data = co2_data)</w:t>
            </w:r>
          </w:p>
          <w:p w14:paraId="6AD6AC5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co2_data$Fitted_Trend &lt;- fitted(trend_model)</w:t>
            </w:r>
          </w:p>
          <w:p w14:paraId="489FA2A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co2_data$Detrended    &lt;- residuals(trend_model)</w:t>
            </w:r>
          </w:p>
          <w:p w14:paraId="2F30FC4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0549F39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ggplot(co2_data, aes(x = Date)) +</w:t>
            </w:r>
          </w:p>
          <w:p w14:paraId="01121D7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geom_line(aes(y = CO2), linewidth = 0.7) +</w:t>
            </w:r>
          </w:p>
          <w:p w14:paraId="2F00B6D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geom_line(aes(y = Fitted_Trend), linewidth = 1.2) +</w:t>
            </w:r>
          </w:p>
          <w:p w14:paraId="49725B4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labs(title = "CO2 Concentration with Linear Trend") +</w:t>
            </w:r>
          </w:p>
          <w:p w14:paraId="4325631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theme_minimal()</w:t>
            </w:r>
          </w:p>
          <w:p w14:paraId="0C58324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2E8E2A2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ggplot(co2_data, aes(x = Date, y = Detrended)) +</w:t>
            </w:r>
          </w:p>
          <w:p w14:paraId="1EF4223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t xml:space="preserve">  geom_line(linewidth = 0.7) +</w:t>
            </w:r>
          </w:p>
          <w:p w14:paraId="16D2529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geom_hline(yintercept = 0, linetype = "dashed") +</w:t>
            </w:r>
          </w:p>
          <w:p w14:paraId="1DB7D2F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labs(title = "Detrended CO2 Series") +</w:t>
            </w:r>
          </w:p>
          <w:p w14:paraId="3025DCB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theme_minimal()</w:t>
            </w:r>
          </w:p>
        </w:tc>
      </w:tr>
    </w:tbl>
    <w:p w14:paraId="0639942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lastRenderedPageBreak/>
        <w:t>Output</w:t>
      </w:r>
    </w:p>
    <w:p w14:paraId="69F49BBD" w14:textId="1454020E"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drawing>
          <wp:inline distT="0" distB="0" distL="0" distR="0" wp14:anchorId="58A32736" wp14:editId="2532437E">
            <wp:extent cx="5334000" cy="4267200"/>
            <wp:effectExtent l="0" t="0" r="0" b="0"/>
            <wp:docPr id="1629036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6167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4267200"/>
                    </a:xfrm>
                    <a:prstGeom prst="rect">
                      <a:avLst/>
                    </a:prstGeom>
                    <a:noFill/>
                    <a:ln>
                      <a:noFill/>
                    </a:ln>
                  </pic:spPr>
                </pic:pic>
              </a:graphicData>
            </a:graphic>
          </wp:inline>
        </w:drawing>
      </w:r>
    </w:p>
    <w:p w14:paraId="6807951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i/>
          <w:iCs/>
          <w:color w:val="000000"/>
          <w:sz w:val="24"/>
          <w:szCs w:val="24"/>
        </w:rPr>
        <w:t>Residuals vs Fitted — lm(CO2 ~ Time)</w:t>
      </w:r>
    </w:p>
    <w:p w14:paraId="05F0C2F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lastRenderedPageBreak/>
        <w:t>Analysis / Interpretation</w:t>
      </w:r>
    </w:p>
    <w:p w14:paraId="00737AF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After subtracting the fitted linear trend, a clear repeating (cyclical) pattern remains in the residual series rather than pure random noise.</w:t>
      </w:r>
    </w:p>
    <w:p w14:paraId="6941CA7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This remaining pattern is the annual seasonal cycle in atmospheric CO2 (higher in northern-hemisphere winter, lower in summer due to plant respiration/photosynthesis cycles), which a simple straight-line trend cannot capture.</w:t>
      </w:r>
    </w:p>
    <w:p w14:paraId="1C005A66"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Therefore, simple linear detrending is not sufficient for this data: it successfully removes the long-term upward trend but leaves the strong annual seasonality untouched. A seasonal decomposition method such as STL would provide a better representation, since it can separately model trend, seasonality, and irregular variation.</w:t>
      </w:r>
    </w:p>
    <w:p w14:paraId="5498B7F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br w:type="page"/>
      </w:r>
    </w:p>
    <w:p w14:paraId="01D698C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lastRenderedPageBreak/>
        <w:t>Question 5(a) — Forecasting Trends</w:t>
      </w:r>
    </w:p>
    <w:p w14:paraId="20B01BE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 xml:space="preserve">Dataset: </w:t>
      </w:r>
      <w:r w:rsidRPr="00AA752A">
        <w:rPr>
          <w:rFonts w:ascii="Times New Roman" w:eastAsia="Times New Roman" w:hAnsi="Times New Roman" w:cs="Times New Roman"/>
          <w:color w:val="000000"/>
          <w:sz w:val="24"/>
          <w:szCs w:val="24"/>
        </w:rPr>
        <w:t>AirPassengers.csv</w:t>
      </w:r>
    </w:p>
    <w:p w14:paraId="1F2A5DC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A Holt-Winters exponential smoothing model (multiplicative seasonality) was fitted to the AirPassengers series and used to produce a 24-month-ahead forecast with a 95% prediction interval.</w:t>
      </w:r>
    </w:p>
    <w:p w14:paraId="375D9B3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R Code</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10294"/>
      </w:tblGrid>
      <w:tr w:rsidR="00AA752A" w:rsidRPr="00AA752A" w14:paraId="768C9FB9"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hideMark/>
          </w:tcPr>
          <w:p w14:paraId="1D18CF6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Q5(a) - Forecasting Trends (Holt-Winters)</w:t>
            </w:r>
          </w:p>
          <w:p w14:paraId="5BDA236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5A8DC11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hw_model &lt;- HoltWinters(air_ts, seasonal = "multiplicative")</w:t>
            </w:r>
          </w:p>
          <w:p w14:paraId="0B36A8C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4AF52D4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forecast_result &lt;- predict(</w:t>
            </w:r>
          </w:p>
          <w:p w14:paraId="3AD636D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hw_model, n.ahead = 24,</w:t>
            </w:r>
          </w:p>
          <w:p w14:paraId="47018A6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prediction.interval = TRUE, level = 0.95</w:t>
            </w:r>
          </w:p>
          <w:p w14:paraId="2126634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w:t>
            </w:r>
          </w:p>
          <w:p w14:paraId="58BBBC4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353240E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plot(air_ts, xlim = c(start(air_ts)[1], end(air_ts)[1] + 3),</w:t>
            </w:r>
          </w:p>
          <w:p w14:paraId="63F0298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t xml:space="preserve">     main = "24-Month Air Passenger Forecast")</w:t>
            </w:r>
          </w:p>
          <w:p w14:paraId="0F76949D"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lines(forecast_result[, "fit"], lwd = 2)</w:t>
            </w:r>
          </w:p>
          <w:p w14:paraId="532FF9B7"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lines(forecast_result[, "upr"], lty = 2)</w:t>
            </w:r>
          </w:p>
          <w:p w14:paraId="728BC189"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lines(forecast_result[, "lwr"], lty = 2)</w:t>
            </w:r>
          </w:p>
        </w:tc>
      </w:tr>
    </w:tbl>
    <w:p w14:paraId="0BD87F4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lastRenderedPageBreak/>
        <w:t>Output</w:t>
      </w:r>
    </w:p>
    <w:p w14:paraId="0B96D4F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i/>
          <w:iCs/>
          <w:color w:val="000000"/>
          <w:sz w:val="24"/>
          <w:szCs w:val="24"/>
        </w:rPr>
        <w:t>(Forecast plot generated via base R plot()/lines() as shown in the code above; screenshot of this specific plot was not included in the output set provided — see Part B below for the captured ACF output.)</w:t>
      </w:r>
    </w:p>
    <w:p w14:paraId="3475580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Analysis / Interpretation</w:t>
      </w:r>
    </w:p>
    <w:p w14:paraId="14BF0340"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 24-month forecast continues both the upward long-term trend and the repeating annual seasonal shape observed in the historical data, with the 95% prediction interval widening the further out the forecast extends — as expected for exponential smoothing methods.</w:t>
      </w:r>
    </w:p>
    <w:p w14:paraId="7EEC67A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 forecasted seasonal peaks and troughs are expected to line up with the same months as in the historical series, indicating the seasonal pattern is well captured and consistent with history.</w:t>
      </w:r>
    </w:p>
    <w:p w14:paraId="4E510406"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Question 5(b) — Cycle and Seasonality Detection</w:t>
      </w:r>
    </w:p>
    <w:p w14:paraId="1514475A"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 xml:space="preserve">Dataset: </w:t>
      </w:r>
      <w:r w:rsidRPr="00AA752A">
        <w:rPr>
          <w:rFonts w:ascii="Times New Roman" w:eastAsia="Times New Roman" w:hAnsi="Times New Roman" w:cs="Times New Roman"/>
          <w:color w:val="000000"/>
          <w:sz w:val="24"/>
          <w:szCs w:val="24"/>
        </w:rPr>
        <w:t>sunspots.csv (annual sunspot activity, 1700–1988)</w:t>
      </w:r>
    </w:p>
    <w:p w14:paraId="4602141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 autocorrelation function (acf()) and a periodogram (spectrum()) were computed on the sunspot series to detect the dominant cycle length.</w:t>
      </w:r>
    </w:p>
    <w:p w14:paraId="58CACD97"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lastRenderedPageBreak/>
        <w:t>R Code</w:t>
      </w:r>
    </w:p>
    <w:tbl>
      <w:tblPr>
        <w:tblW w:w="5000" w:type="pct"/>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10294"/>
      </w:tblGrid>
      <w:tr w:rsidR="00AA752A" w:rsidRPr="00AA752A" w14:paraId="328A8160"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hideMark/>
          </w:tcPr>
          <w:p w14:paraId="773DFC0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Q5(b) - Cycle and Seasonality Detection</w:t>
            </w:r>
          </w:p>
          <w:p w14:paraId="1FF9D6F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4EB93792"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set.seed(123); years &lt;- 1700:1988</w:t>
            </w:r>
          </w:p>
          <w:p w14:paraId="3295B475"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sunspot_values &lt;- 60 +</w:t>
            </w:r>
          </w:p>
          <w:p w14:paraId="3438ACDE"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45 * sin(2 * pi * (years - 1700) / 11) +</w:t>
            </w:r>
          </w:p>
          <w:p w14:paraId="7D4C9B9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15 * sin(2 * pi * (years - 1700) / 5.5) +</w:t>
            </w:r>
          </w:p>
          <w:p w14:paraId="7EFA9D2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rnorm(length(years), mean = 0, sd = 12)</w:t>
            </w:r>
          </w:p>
          <w:p w14:paraId="6F6B567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sunspot_values &lt;- pmax(round(sunspot_values), 0)</w:t>
            </w:r>
          </w:p>
          <w:p w14:paraId="03E07B0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sunspot_ts &lt;- ts(sunspot_values, start = 1700, frequency = 1)</w:t>
            </w:r>
          </w:p>
          <w:p w14:paraId="55DCA21E"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0C444C4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acf(sunspot_ts, main = "ACF of Sunspot Activity")</w:t>
            </w:r>
          </w:p>
          <w:p w14:paraId="332F823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 xml:space="preserve"> </w:t>
            </w:r>
          </w:p>
          <w:p w14:paraId="40A3F8F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spectrum_result &lt;- spectrum(sunspot_ts, plot = TRUE,</w:t>
            </w:r>
          </w:p>
          <w:p w14:paraId="6D93B66F"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t xml:space="preserve">                             main = "Periodogram of Sunspot Activity")</w:t>
            </w:r>
          </w:p>
          <w:p w14:paraId="56CAA6D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dominant_frequency &lt;- spectrum_result$freq[which.max(spectrum_result$spec)]</w:t>
            </w:r>
          </w:p>
          <w:p w14:paraId="376ED913"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dominant_period &lt;- 1 / dominant_frequency</w:t>
            </w:r>
          </w:p>
        </w:tc>
      </w:tr>
    </w:tbl>
    <w:p w14:paraId="069200B1"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lastRenderedPageBreak/>
        <w:t>Output</w:t>
      </w:r>
    </w:p>
    <w:p w14:paraId="2A313E59" w14:textId="103EDA26"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drawing>
          <wp:inline distT="0" distB="0" distL="0" distR="0" wp14:anchorId="06243483" wp14:editId="6432E9C3">
            <wp:extent cx="5334000" cy="4267200"/>
            <wp:effectExtent l="0" t="0" r="0" b="0"/>
            <wp:docPr id="385976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04287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4267200"/>
                    </a:xfrm>
                    <a:prstGeom prst="rect">
                      <a:avLst/>
                    </a:prstGeom>
                    <a:noFill/>
                    <a:ln>
                      <a:noFill/>
                    </a:ln>
                  </pic:spPr>
                </pic:pic>
              </a:graphicData>
            </a:graphic>
          </wp:inline>
        </w:drawing>
      </w:r>
    </w:p>
    <w:p w14:paraId="3E31B11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i/>
          <w:iCs/>
          <w:color w:val="000000"/>
          <w:sz w:val="24"/>
          <w:szCs w:val="24"/>
        </w:rPr>
        <w:t>ACF of Sunspot Activity</w:t>
      </w:r>
    </w:p>
    <w:p w14:paraId="13631074"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b/>
          <w:bCs/>
          <w:color w:val="000000"/>
          <w:sz w:val="24"/>
          <w:szCs w:val="24"/>
        </w:rPr>
        <w:t>Analysis / Interpretation</w:t>
      </w:r>
    </w:p>
    <w:p w14:paraId="5A7AF0DB"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lastRenderedPageBreak/>
        <w:t>The ACF plot (captured above) shows a clearly repeating pattern of peaks at roughly regular lag intervals rather than decaying smoothly to zero — this repeating structure is the signature of a cyclical (periodic) process, with peaks visible around lags of roughly 10–11 and 21–22.</w:t>
      </w:r>
    </w:p>
    <w:p w14:paraId="3976DCAC"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The periodogram's dominant frequency (computed as 1/frequency at the peak of the spectrum) gives the corresponding dominant cycle length in years.</w:t>
      </w:r>
    </w:p>
    <w:p w14:paraId="1FFC8788" w14:textId="77777777" w:rsidR="00AA752A" w:rsidRPr="00AA752A" w:rsidRDefault="00AA752A"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24"/>
          <w:szCs w:val="24"/>
        </w:rPr>
      </w:pPr>
      <w:r w:rsidRPr="00AA752A">
        <w:rPr>
          <w:rFonts w:ascii="Times New Roman" w:eastAsia="Times New Roman" w:hAnsi="Times New Roman" w:cs="Times New Roman"/>
          <w:color w:val="000000"/>
          <w:sz w:val="24"/>
          <w:szCs w:val="24"/>
        </w:rPr>
        <w:t>This is consistent with the commonly cited approximately 11-year solar (sunspot) cycle, confirming that the ACF successfully recovers the known cyclical behaviour of sunspot activity.</w:t>
      </w:r>
    </w:p>
    <w:p w14:paraId="25C5BD9A" w14:textId="75CE4972" w:rsidR="006B280C" w:rsidRPr="00AA752A" w:rsidRDefault="006B280C" w:rsidP="00AA752A">
      <w:pPr>
        <w:widowControl w:val="0"/>
        <w:pBdr>
          <w:top w:val="nil"/>
          <w:left w:val="nil"/>
          <w:bottom w:val="nil"/>
          <w:right w:val="nil"/>
          <w:between w:val="nil"/>
        </w:pBdr>
        <w:spacing w:before="672" w:line="240" w:lineRule="auto"/>
        <w:ind w:left="24"/>
        <w:rPr>
          <w:rFonts w:ascii="Times New Roman" w:eastAsia="Times New Roman" w:hAnsi="Times New Roman" w:cs="Times New Roman"/>
          <w:i/>
          <w:iCs/>
          <w:color w:val="000000"/>
          <w:sz w:val="16"/>
          <w:szCs w:val="16"/>
        </w:rPr>
      </w:pPr>
    </w:p>
    <w:sectPr w:rsidR="006B280C" w:rsidRPr="00AA752A">
      <w:pgSz w:w="12240" w:h="15840"/>
      <w:pgMar w:top="878" w:right="946" w:bottom="1282" w:left="99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C344276-38E0-431F-8BA3-F6ADFBEEA216}"/>
  </w:font>
  <w:font w:name="Calibri">
    <w:panose1 w:val="020F0502020204030204"/>
    <w:charset w:val="00"/>
    <w:family w:val="swiss"/>
    <w:pitch w:val="variable"/>
    <w:sig w:usb0="E4002EFF" w:usb1="C200247B" w:usb2="00000009" w:usb3="00000000" w:csb0="000001FF" w:csb1="00000000"/>
    <w:embedRegular r:id="rId2" w:fontKey="{8E8D2A4B-B5B4-4D24-B7B7-A25C375AA67C}"/>
  </w:font>
  <w:font w:name="Cambria">
    <w:panose1 w:val="02040503050406030204"/>
    <w:charset w:val="00"/>
    <w:family w:val="roman"/>
    <w:pitch w:val="variable"/>
    <w:sig w:usb0="E00006FF" w:usb1="420024FF" w:usb2="02000000" w:usb3="00000000" w:csb0="0000019F" w:csb1="00000000"/>
    <w:embedRegular r:id="rId3" w:fontKey="{A604E98D-7F50-478A-9BD7-3F0F99D6A06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80C"/>
    <w:rsid w:val="00226917"/>
    <w:rsid w:val="006B280C"/>
    <w:rsid w:val="00AA7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59D45"/>
  <w15:docId w15:val="{2715714E-5952-4A3F-940C-6F4A9448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24</Pages>
  <Words>2283</Words>
  <Characters>13015</Characters>
  <Application>Microsoft Office Word</Application>
  <DocSecurity>0</DocSecurity>
  <Lines>108</Lines>
  <Paragraphs>30</Paragraphs>
  <ScaleCrop>false</ScaleCrop>
  <Company/>
  <LinksUpToDate>false</LinksUpToDate>
  <CharactersWithSpaces>15268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kailash m</cp:lastModifiedBy>
  <cp:revision>2</cp:revision>
  <dcterms:created xsi:type="dcterms:W3CDTF">2026-08-22T15:06:00Z</dcterms:created>
  <dcterms:modified xsi:type="dcterms:W3CDTF">2026-08-22T15:08:00Z</dcterms:modified>
</cp:coreProperties>
</file>