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Week 4 Predictive Modeling and Optimization in Logistics Systems</w:t>
      </w:r>
    </w:p>
    <w:p>
      <w:pPr>
        <w:pStyle w:val="Subtitle"/>
      </w:pPr>
      <w:r>
        <w:t xml:space="preserve">Delivery-time prediction and capacity-constrained triage</w:t>
      </w:r>
    </w:p>
    <w:p>
      <w:pPr/>
      <w:r>
        <w:t xml:space="preserve">Internship Project | 21 October 2026</w:t>
      </w:r>
    </w:p>
    <w:p>
      <w:pPr/>
      <w:r>
        <w:t xml:space="preserve">Historical data analysis; no operational outcomes are claimed.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/>
      <w:r>
        <w:t xml:space="preserve">Using the existing cleaned dataset (45,584 usable records; 2022-02-11?2022-04-06), this report predicts delivery time. Three expanding-window folds selected Random Forest (20 trees) by mean RMSE. On a later-date holdout of 9,446 records it obtained MAE 4.182 min, RMSE 5.294 min, R? 0.689. A fixed 20% alert queue surfaced 1,589 long-duration test cases versus 549 under random selection. This is retrospective triage, not measured delivery-time reduction.</w:t>
      </w:r>
    </w:p>
    <w:p>
      <w:pPr>
        <w:pStyle w:val="Heading1"/>
      </w:pPr>
      <w:r>
        <w:t xml:space="preserve">2. Problem Statement and Objectives</w:t>
      </w:r>
    </w:p>
    <w:p>
      <w:pPr/>
      <w:r>
        <w:t xml:space="preserve">Predict time_taken_min from order/assignment-time features, compare linear and tree-based models using MAE, RMSE, and R-squared, select by temporal validation, and evaluate on future dates. Demonstrate capacity-limited exception prioritization without claiming causal operational gains.</w:t>
      </w:r>
    </w:p>
    <w:p>
      <w:pPr>
        <w:pStyle w:val="Heading1"/>
      </w:pPr>
      <w:r>
        <w:t xml:space="preserve">3. Dataset, Features, and Target</w:t>
      </w:r>
    </w:p>
    <w:p>
      <w:pPr/>
      <w:r>
        <w:t xml:space="preserve">Reused data/cleaned_logistics_data.csv; no new dataset. Target: time_taken_min (minutes). Inputs: approximate distance, vehicle condition, multiple-delivery count, order hour/day, driver age, traffic, weather, vehicle type, city, festival, and weekday. Excluded: IDs, raw coordinates, ratings, pickup times and pickup-derived fields, target. Project source documentation flags the possible public listing as unverified, including identity and license. Feature availability at decision time for vehicle condition and multiple-delivery count is assumed pending operational confirmation.</w:t>
      </w:r>
    </w:p>
    <w:p>
      <w:pPr>
        <w:pStyle w:val="Heading1"/>
      </w:pPr>
      <w:r>
        <w:t xml:space="preserve">4. Preparation and Exploratory Review</w:t>
      </w:r>
    </w:p>
    <w:p>
      <w:pPr/>
      <w:r>
        <w:t xml:space="preserve">Dates are parsed and rows without date/target are excluded; none were removed in this execution. Numeric missing values use medians fit on training only; missing categories become Unknown. One-hot vocabulary is fit within each training fold and unseen values are ignored. The data spans 44 dates in early 2022; straight-line distance is not road distance.</w:t>
      </w:r>
    </w:p>
    <w:p>
      <w:pPr>
        <w:pStyle w:val="Heading1"/>
      </w:pPr>
      <w:r>
        <w:t xml:space="preserve">5. Model Selection</w:t>
      </w:r>
    </w:p>
    <w:p>
      <w:pPr/>
      <w:r>
        <w:t xml:space="preserve">Linear regression is the benchmark; a depth-limited decision tree tests nonlinear partitions; random forests with different sizes/depths compare ensemble complexity. Scikit-learn was unavailable. The script used a NumPy least-squares baseline and the repository?s compact NumPy CART-style random forest fallback (single tree for the tree candidate). These are educational implementations, not production estimator substitutes.</w:t>
      </w:r>
    </w:p>
    <w:p>
      <w:pPr>
        <w:pStyle w:val="Heading1"/>
      </w:pPr>
      <w:r>
        <w:t xml:space="preserve">6. Python Implementation</w:t>
      </w:r>
    </w:p>
    <w:p>
      <w:pPr/>
      <w:r>
        <w:t xml:space="preserve">Run `python src/week4_predictive_modeling.py`. The project-relative script loads data, constructs chronological splits, fits fold-specific preprocessing, evaluates candidates, writes metrics/results, and creates charts. Core flow:</w:t>
      </w:r>
    </w:p>
    <w:p>
      <w:pPr>
        <w:pStyle w:val="Code"/>
      </w:pPr>
      <w:r>
        <w:t xml:space="preserve">train = data[data.order_date &lt; cutoff]
test = data[data.order_date &gt;= cutoff]
model.fit(X_train, y_train)
prediction = model.predict(X_test)
# Score MAE, RMSE, and R-squared</w:t>
      </w:r>
    </w:p>
    <w:p>
      <w:pPr>
        <w:pStyle w:val="Heading1"/>
      </w:pPr>
      <w:r>
        <w:t xml:space="preserve">7. Training, Test, and Validation</w:t>
      </w:r>
    </w:p>
    <w:p>
      <w:pPr/>
      <w:r>
        <w:t xml:space="preserve">Training ends before 2022-03-29: 36,138 training and 9,446 test records. Three expanding-window folds stay within training dates. Candidate selection minimizes average validation RMSE. For fallback runtime, tree CV fits cap at 5,000 rows and validate on at most 3,500; final tree fits use fixed-seed 15,000-row samples. Linear regression uses all training rows. Test dates are not used for tuning.</w:t>
      </w:r>
    </w:p>
    <w:p>
      <w:pPr>
        <w:pStyle w:val="Heading1"/>
      </w:pPr>
      <w:r>
        <w:t xml:space="preserve">8. Actual Test Metrics</w:t>
      </w:r>
    </w:p>
    <w:tbl>
      <w:tblPr>
        <w:tblBorders>
          <w:top w:val="single" w:sz="5" w:color="AAB7C4"/>
          <w:left w:val="single" w:sz="5" w:color="AAB7C4"/>
          <w:bottom w:val="single" w:sz="5" w:color="AAB7C4"/>
          <w:right w:val="single" w:sz="5" w:color="AAB7C4"/>
          <w:insideH w:val="single" w:sz="5" w:color="AAB7C4"/>
          <w:insideV w:val="single" w:sz="5" w:color="AAB7C4"/>
        </w:tblBorders>
      </w:tblPr>
      <w:tr>
        <w:tc>
          <w:tcPr>
            <w:tcW w:w="2300" w:type="dxa"/>
          </w:tcPr>
          <w:p>
            <w:r>
              <w:rPr>
                <w:b/>
              </w:rPr>
              <w:t>Model</w:t>
            </w:r>
          </w:p>
        </w:tc>
        <w:tc>
          <w:tcPr>
            <w:tcW w:w="2300" w:type="dxa"/>
          </w:tcPr>
          <w:p>
            <w:r>
              <w:rPr>
                <w:b/>
              </w:rPr>
              <w:t>MAE (min)</w:t>
            </w:r>
          </w:p>
        </w:tc>
        <w:tc>
          <w:tcPr>
            <w:tcW w:w="2300" w:type="dxa"/>
          </w:tcPr>
          <w:p>
            <w:r>
              <w:rPr>
                <w:b/>
              </w:rPr>
              <w:t>RMSE (min)</w:t>
            </w:r>
          </w:p>
        </w:tc>
        <w:tc>
          <w:tcPr>
            <w:tcW w:w="2300" w:type="dxa"/>
          </w:tcPr>
          <w:p>
            <w:r>
              <w:rPr>
                <w:b/>
              </w:rPr>
              <w:t>R-squared</w:t>
            </w:r>
          </w:p>
        </w:tc>
      </w:tr>
      <w:tr>
        <w:tc>
          <w:tcPr>
            <w:tcW w:w="2300" w:type="dxa"/>
          </w:tcPr>
          <w:p>
            <w:r>
              <w:t>Linear Regression</w:t>
            </w:r>
          </w:p>
        </w:tc>
        <w:tc>
          <w:tcPr>
            <w:tcW w:w="2300" w:type="dxa"/>
          </w:tcPr>
          <w:p>
            <w:r>
              <w:t>5.171</w:t>
            </w:r>
          </w:p>
        </w:tc>
        <w:tc>
          <w:tcPr>
            <w:tcW w:w="2300" w:type="dxa"/>
          </w:tcPr>
          <w:p>
            <w:r>
              <w:t>6.501</w:t>
            </w:r>
          </w:p>
        </w:tc>
        <w:tc>
          <w:tcPr>
            <w:tcW w:w="2300" w:type="dxa"/>
          </w:tcPr>
          <w:p>
            <w:r>
              <w:t>0.531</w:t>
            </w:r>
          </w:p>
        </w:tc>
      </w:tr>
      <w:tr>
        <w:tc>
          <w:tcPr>
            <w:tcW w:w="2300" w:type="dxa"/>
          </w:tcPr>
          <w:p>
            <w:r>
              <w:t>Decision Tree (depth 8)</w:t>
            </w:r>
          </w:p>
        </w:tc>
        <w:tc>
          <w:tcPr>
            <w:tcW w:w="2300" w:type="dxa"/>
          </w:tcPr>
          <w:p>
            <w:r>
              <w:t>5.852</w:t>
            </w:r>
          </w:p>
        </w:tc>
        <w:tc>
          <w:tcPr>
            <w:tcW w:w="2300" w:type="dxa"/>
          </w:tcPr>
          <w:p>
            <w:r>
              <w:t>7.435</w:t>
            </w:r>
          </w:p>
        </w:tc>
        <w:tc>
          <w:tcPr>
            <w:tcW w:w="2300" w:type="dxa"/>
          </w:tcPr>
          <w:p>
            <w:r>
              <w:t>0.386</w:t>
            </w:r>
          </w:p>
        </w:tc>
      </w:tr>
      <w:tr>
        <w:tc>
          <w:tcPr>
            <w:tcW w:w="2300" w:type="dxa"/>
          </w:tcPr>
          <w:p>
            <w:r>
              <w:t>Random Forest (12 trees)</w:t>
            </w:r>
          </w:p>
        </w:tc>
        <w:tc>
          <w:tcPr>
            <w:tcW w:w="2300" w:type="dxa"/>
          </w:tcPr>
          <w:p>
            <w:r>
              <w:t>4.582</w:t>
            </w:r>
          </w:p>
        </w:tc>
        <w:tc>
          <w:tcPr>
            <w:tcW w:w="2300" w:type="dxa"/>
          </w:tcPr>
          <w:p>
            <w:r>
              <w:t>5.790</w:t>
            </w:r>
          </w:p>
        </w:tc>
        <w:tc>
          <w:tcPr>
            <w:tcW w:w="2300" w:type="dxa"/>
          </w:tcPr>
          <w:p>
            <w:r>
              <w:t>0.628</w:t>
            </w:r>
          </w:p>
        </w:tc>
      </w:tr>
      <w:tr>
        <w:tc>
          <w:tcPr>
            <w:tcW w:w="2300" w:type="dxa"/>
          </w:tcPr>
          <w:p>
            <w:r>
              <w:t>Random Forest (20 trees)</w:t>
            </w:r>
          </w:p>
        </w:tc>
        <w:tc>
          <w:tcPr>
            <w:tcW w:w="2300" w:type="dxa"/>
          </w:tcPr>
          <w:p>
            <w:r>
              <w:t>4.182</w:t>
            </w:r>
          </w:p>
        </w:tc>
        <w:tc>
          <w:tcPr>
            <w:tcW w:w="2300" w:type="dxa"/>
          </w:tcPr>
          <w:p>
            <w:r>
              <w:t>5.294</w:t>
            </w:r>
          </w:p>
        </w:tc>
        <w:tc>
          <w:tcPr>
            <w:tcW w:w="2300" w:type="dxa"/>
          </w:tcPr>
          <w:p>
            <w:r>
              <w:t>0.689</w:t>
            </w:r>
          </w:p>
        </w:tc>
      </w:tr>
    </w:tbl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352800"/>
            <wp:docPr id="1" name="week4_model_comparison.png"/>
            <a:graphic>
              <a:graphicData uri="http://schemas.openxmlformats.org/drawingml/2006/picture">
                <pic:pic>
                  <pic:nvPicPr>
                    <pic:cNvPr id="1" name="week4_model_comparison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Figure 1. Test errors (minutes) by model; table shows R-squared. Lower MAE/RMSE is better.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352800"/>
            <wp:docPr id="2" name="week4_actual_vs_predicted.png"/>
            <a:graphic>
              <a:graphicData uri="http://schemas.openxmlformats.org/drawingml/2006/picture">
                <pic:pic>
                  <pic:nvPicPr>
                    <pic:cNvPr id="2" name="week4_actual_vs_predicted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Figure 2. Selected-model test predictions against observed values; the diagonal is ideal prediction.</w:t>
      </w:r>
    </w:p>
    <w:p>
      <w:pPr>
        <w:pStyle w:val="Heading1"/>
      </w:pPr>
      <w:r>
        <w:t xml:space="preserve">9. Model Comparison and Selection</w:t>
      </w:r>
    </w:p>
    <w:p>
      <w:pPr/>
      <w:r>
        <w:t xml:space="preserve">Mean validation RMSE ranks the 20-tree forest first (5.705 min), followed by 12-tree forest (6.053), linear regression (6.452), and tree (7.150). The selected 20-tree forest also scores best on this holdout. One historical test window is not a performance guarantee.</w:t>
      </w:r>
    </w:p>
    <w:p>
      <w:pPr>
        <w:pStyle w:val="Heading1"/>
      </w:pPr>
      <w:r>
        <w:t xml:space="preserve">10. Optimization Objective, Constraints, Method, and Results</w:t>
      </w:r>
    </w:p>
    <w:p>
      <w:pPr/>
      <w:r>
        <w:t xml:space="preserve">Objective: maximize long-duration cases flagged at fixed 20% review capacity. A long duration is at least the training 75th percentile (32.0 min). Test capacity is 1,889 orders. Model ranking selects highest predictions; baseline randomly selects the same count with a fixed seed. Each record is selected once. Model: 1,589/2,640 captured (recall 60.2%, precision 84.1%); random: 549 (recall 20.8%, precision 29.1%). This measures detection/triage only; no durations were changed and no saved time is inferred.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352800"/>
            <wp:docPr id="3" name="week4_triage_optimization.png"/>
            <a:graphic>
              <a:graphicData uri="http://schemas.openxmlformats.org/drawingml/2006/picture">
                <pic:pic>
                  <pic:nvPicPr>
                    <pic:cNvPr id="3" name="week4_triage_optimization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Figure 3. Long-duration cases surfaced at identical 20% review capacity.</w:t>
      </w:r>
    </w:p>
    <w:p>
      <w:pPr>
        <w:pStyle w:val="Heading1"/>
      </w:pPr>
      <w:r>
        <w:t xml:space="preserve">11. Practical Recommendations</w:t>
      </w:r>
    </w:p>
    <w:p>
      <w:pPr/>
      <w:r>
        <w:t xml:space="preserve">If piloted, use the risk queue as decision support, verify feature availability, measure review workload and alert usefulness, and test interventions prospectively. Recalibrate on current, provenance-verified data and monitor errors by segment. Do not use this historical model for customer promises or route decisions without validation.</w:t>
      </w:r>
    </w:p>
    <w:p>
      <w:pPr>
        <w:pStyle w:val="Heading1"/>
      </w:pPr>
      <w:r>
        <w:t xml:space="preserve">12. Limitations and Assumptions</w:t>
      </w:r>
    </w:p>
    <w:p>
      <w:pPr/>
      <w:r>
        <w:t xml:space="preserve">Source identity/license remains unverified per DATASET_SOURCE.md; time coverage is short and historical. Distance is straight-line. Decision-time feature availability requires confirmation. CV has three folds and uses bounded tree samples. NumPy tree implementations are educational. The triage result is not causal and does not show delivery-time improvement. No real route planning, fleet allocation, cost optimization, or new synthetic data was performed.</w:t>
      </w:r>
    </w:p>
    <w:p>
      <w:pPr>
        <w:pStyle w:val="Heading1"/>
      </w:pPr>
      <w:r>
        <w:t xml:space="preserve">13. Conclusion</w:t>
      </w:r>
    </w:p>
    <w:p>
      <w:pPr/>
      <w:r>
        <w:t xml:space="preserve">The existing data supports a reproducible chronological modeling comparison and a constrained retrospective alert-allocation illustration. The selected forest outperformed the benchmark for this holdout, but current operational validity requires verified data, input timing checks, and prospective evaluation.</w:t>
      </w:r>
    </w:p>
    <w:p>
      <w:pPr>
        <w:pStyle w:val="Heading1"/>
      </w:pPr>
      <w:r>
        <w:t xml:space="preserve">14. Reproduction and References</w:t>
      </w:r>
    </w:p>
    <w:p>
      <w:pPr/>
      <w:r>
        <w:t xml:space="preserve">Run from repository root: `python src/week4_predictive_modeling.py`. Results: reports/week4_results.json, week4_model_comparison.csv, week4_cross_validation.csv, week4_cv_summary.csv, week4_test_predictions.csv, week4_optimization_results.json. Figures: visualizations/week4_model_comparison.png, week4_actual_vs_predicted.png, week4_triage_optimization.png. Notebook: notebooks/07_week4_predictive_modeling_optimization.ipynb. Source data: data/cleaned_logistics_data.csv; limitations: data/DATASET_SOURCE.md.</w:t>
      </w:r>
    </w:p>
    <w:sectPr>
      <w:pgSz w:w="12240" w:h="15840"/>
      <w:pgMar w:top="950" w:right="950" w:bottom="950" w:left="9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rFonts w:ascii="Calibri" w:hAnsi="Calibri"/>
    </w:rPr>
  </w:style>
  <w:style w:type="paragraph" w:styleId="Title">
    <w:name w:val="Title"/>
    <w:rPr>
      <w:b/>
      <w:sz w:val="36"/>
      <w:color w:val="17324D"/>
    </w:rPr>
  </w:style>
  <w:style w:type="paragraph" w:styleId="Subtitle">
    <w:name w:val="Subtitle"/>
    <w:rPr>
      <w:sz w:val="24"/>
    </w:rPr>
  </w:style>
  <w:style w:type="paragraph" w:styleId="Heading1">
    <w:name w:val="heading 1"/>
    <w:basedOn w:val="Normal"/>
    <w:rPr>
      <w:b/>
      <w:sz w:val="27"/>
      <w:color w:val="1F4E79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?>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image" Target="media/week4_model_comparison.png"/><Relationship Id="rId2" Type="http://schemas.openxmlformats.org/officeDocument/2006/relationships/image" Target="media/week4_actual_vs_predicted.png"/><Relationship Id="rId3" Type="http://schemas.openxmlformats.org/officeDocument/2006/relationships/image" Target="media/week4_triage_optimization.png"/></Relationships>
</file>