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ascii="宋体" w:hAnsi="宋体" w:eastAsia="宋体" w:cs="宋体"/>
          <w:sz w:val="30"/>
          <w:szCs w:val="30"/>
        </w:rPr>
      </w:pPr>
      <w:r>
        <w:rPr>
          <w:rFonts w:ascii="宋体" w:hAnsi="宋体" w:eastAsia="宋体" w:cs="宋体"/>
          <w:sz w:val="30"/>
          <w:szCs w:val="30"/>
        </w:rPr>
        <w:t>骑行行为分异与精准转化：</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sz w:val="30"/>
          <w:szCs w:val="30"/>
          <w:lang w:val="en-US" w:eastAsia="zh-CN"/>
        </w:rPr>
      </w:pPr>
      <w:r>
        <w:rPr>
          <w:rFonts w:ascii="宋体" w:hAnsi="宋体" w:eastAsia="宋体" w:cs="宋体"/>
          <w:sz w:val="30"/>
          <w:szCs w:val="30"/>
        </w:rPr>
        <w:t>Cyclistic 共享单车会员增长的数据化解决方案</w:t>
      </w:r>
    </w:p>
    <w:p>
      <w:pPr>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8"/>
          <w:szCs w:val="28"/>
          <w:lang w:val="en-US" w:eastAsia="zh-CN"/>
        </w:rPr>
      </w:pPr>
      <w:r>
        <w:rPr>
          <w:rFonts w:hint="eastAsia" w:ascii="宋体" w:hAnsi="宋体" w:eastAsia="宋体" w:cs="宋体"/>
          <w:b w:val="0"/>
          <w:bCs w:val="0"/>
          <w:sz w:val="28"/>
          <w:szCs w:val="28"/>
          <w:lang w:val="en-US" w:eastAsia="zh-CN"/>
        </w:rPr>
        <w:t>摘要</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rPr>
      </w:pPr>
      <w:r>
        <w:rPr>
          <w:rFonts w:hint="eastAsia" w:ascii="宋体" w:hAnsi="宋体" w:eastAsia="宋体" w:cs="宋体"/>
          <w:i w:val="0"/>
          <w:caps w:val="0"/>
          <w:color w:val="0F1115"/>
          <w:spacing w:val="0"/>
          <w:sz w:val="24"/>
          <w:szCs w:val="24"/>
          <w:shd w:val="clear" w:fill="FFFFFF"/>
          <w:lang w:val="en-US" w:eastAsia="zh-CN"/>
        </w:rPr>
        <w:t>本研究以 Cyclistic 共享单车 2022—2023 年全年骑行数据为分析对象，综合运用</w:t>
      </w:r>
      <w:r>
        <w:rPr>
          <w:rFonts w:hint="eastAsia" w:ascii="宋体" w:hAnsi="宋体" w:eastAsia="宋体" w:cs="宋体"/>
          <w:b/>
          <w:bCs/>
          <w:i w:val="0"/>
          <w:caps w:val="0"/>
          <w:color w:val="0F1115"/>
          <w:spacing w:val="0"/>
          <w:sz w:val="24"/>
          <w:szCs w:val="24"/>
          <w:shd w:val="clear" w:fill="FFFFFF"/>
          <w:lang w:val="en-US" w:eastAsia="zh-CN"/>
        </w:rPr>
        <w:t>Python</w:t>
      </w:r>
      <w:r>
        <w:rPr>
          <w:rFonts w:hint="eastAsia" w:ascii="宋体" w:hAnsi="宋体" w:eastAsia="宋体" w:cs="宋体"/>
          <w:i w:val="0"/>
          <w:caps w:val="0"/>
          <w:color w:val="0F1115"/>
          <w:spacing w:val="0"/>
          <w:sz w:val="24"/>
          <w:szCs w:val="24"/>
          <w:shd w:val="clear" w:fill="FFFFFF"/>
          <w:lang w:val="en-US" w:eastAsia="zh-CN"/>
        </w:rPr>
        <w:t xml:space="preserve"> 的 </w:t>
      </w:r>
      <w:r>
        <w:rPr>
          <w:rFonts w:hint="eastAsia" w:ascii="宋体" w:hAnsi="宋体" w:eastAsia="宋体" w:cs="宋体"/>
          <w:b/>
          <w:bCs/>
          <w:i w:val="0"/>
          <w:caps w:val="0"/>
          <w:color w:val="0F1115"/>
          <w:spacing w:val="0"/>
          <w:sz w:val="24"/>
          <w:szCs w:val="24"/>
          <w:shd w:val="clear" w:fill="FFFFFF"/>
          <w:lang w:val="en-US" w:eastAsia="zh-CN"/>
        </w:rPr>
        <w:t>pandas</w:t>
      </w:r>
      <w:r>
        <w:rPr>
          <w:rFonts w:hint="eastAsia" w:ascii="宋体" w:hAnsi="宋体" w:eastAsia="宋体" w:cs="宋体"/>
          <w:i w:val="0"/>
          <w:caps w:val="0"/>
          <w:color w:val="0F1115"/>
          <w:spacing w:val="0"/>
          <w:sz w:val="24"/>
          <w:szCs w:val="24"/>
          <w:shd w:val="clear" w:fill="FFFFFF"/>
          <w:lang w:val="en-US" w:eastAsia="zh-CN"/>
        </w:rPr>
        <w:t xml:space="preserve"> 库完成数据清洗、异常值处理、特征工程与时间格式标准化等预处理操作；借助</w:t>
      </w:r>
      <w:r>
        <w:rPr>
          <w:rFonts w:hint="eastAsia" w:ascii="宋体" w:hAnsi="宋体" w:eastAsia="宋体" w:cs="宋体"/>
          <w:b/>
          <w:bCs/>
          <w:i w:val="0"/>
          <w:caps w:val="0"/>
          <w:color w:val="0F1115"/>
          <w:spacing w:val="0"/>
          <w:sz w:val="24"/>
          <w:szCs w:val="24"/>
          <w:shd w:val="clear" w:fill="FFFFFF"/>
          <w:lang w:val="en-US" w:eastAsia="zh-CN"/>
        </w:rPr>
        <w:t>MySQL</w:t>
      </w:r>
      <w:r>
        <w:rPr>
          <w:rFonts w:hint="eastAsia" w:ascii="宋体" w:hAnsi="宋体" w:eastAsia="宋体" w:cs="宋体"/>
          <w:i w:val="0"/>
          <w:caps w:val="0"/>
          <w:color w:val="0F1115"/>
          <w:spacing w:val="0"/>
          <w:sz w:val="24"/>
          <w:szCs w:val="24"/>
          <w:shd w:val="clear" w:fill="FFFFFF"/>
          <w:lang w:val="en-US" w:eastAsia="zh-CN"/>
        </w:rPr>
        <w:t xml:space="preserve"> 数据库与</w:t>
      </w:r>
      <w:r>
        <w:rPr>
          <w:rFonts w:hint="eastAsia" w:ascii="宋体" w:hAnsi="宋体" w:eastAsia="宋体" w:cs="宋体"/>
          <w:b/>
          <w:bCs/>
          <w:i w:val="0"/>
          <w:caps w:val="0"/>
          <w:color w:val="0F1115"/>
          <w:spacing w:val="0"/>
          <w:sz w:val="24"/>
          <w:szCs w:val="24"/>
          <w:shd w:val="clear" w:fill="FFFFFF"/>
          <w:lang w:val="en-US" w:eastAsia="zh-CN"/>
        </w:rPr>
        <w:t xml:space="preserve"> Navicat Premium</w:t>
      </w:r>
      <w:r>
        <w:rPr>
          <w:rFonts w:hint="eastAsia" w:ascii="宋体" w:hAnsi="宋体" w:eastAsia="宋体" w:cs="宋体"/>
          <w:i w:val="0"/>
          <w:caps w:val="0"/>
          <w:color w:val="0F1115"/>
          <w:spacing w:val="0"/>
          <w:sz w:val="24"/>
          <w:szCs w:val="24"/>
          <w:shd w:val="clear" w:fill="FFFFFF"/>
          <w:lang w:val="en-US" w:eastAsia="zh-CN"/>
        </w:rPr>
        <w:t xml:space="preserve">实现多表数据整合、主键创建与索引优化，并通过 </w:t>
      </w:r>
      <w:r>
        <w:rPr>
          <w:rFonts w:hint="eastAsia" w:ascii="宋体" w:hAnsi="宋体" w:eastAsia="宋体" w:cs="宋体"/>
          <w:b/>
          <w:bCs/>
          <w:i w:val="0"/>
          <w:caps w:val="0"/>
          <w:color w:val="0F1115"/>
          <w:spacing w:val="0"/>
          <w:sz w:val="24"/>
          <w:szCs w:val="24"/>
          <w:shd w:val="clear" w:fill="FFFFFF"/>
          <w:lang w:val="en-US" w:eastAsia="zh-CN"/>
        </w:rPr>
        <w:t>SQL 语句</w:t>
      </w:r>
      <w:r>
        <w:rPr>
          <w:rFonts w:hint="eastAsia" w:ascii="宋体" w:hAnsi="宋体" w:eastAsia="宋体" w:cs="宋体"/>
          <w:i w:val="0"/>
          <w:caps w:val="0"/>
          <w:color w:val="0F1115"/>
          <w:spacing w:val="0"/>
          <w:sz w:val="24"/>
          <w:szCs w:val="24"/>
          <w:shd w:val="clear" w:fill="FFFFFF"/>
          <w:lang w:val="en-US" w:eastAsia="zh-CN"/>
        </w:rPr>
        <w:t>完成用户骑行行为的多维度统计分析；最终利用</w:t>
      </w:r>
      <w:r>
        <w:rPr>
          <w:rFonts w:hint="eastAsia" w:ascii="宋体" w:hAnsi="宋体" w:eastAsia="宋体" w:cs="宋体"/>
          <w:b/>
          <w:bCs/>
          <w:i w:val="0"/>
          <w:caps w:val="0"/>
          <w:color w:val="0F1115"/>
          <w:spacing w:val="0"/>
          <w:sz w:val="24"/>
          <w:szCs w:val="24"/>
          <w:shd w:val="clear" w:fill="FFFFFF"/>
          <w:lang w:val="en-US" w:eastAsia="zh-CN"/>
        </w:rPr>
        <w:t>Tableau</w:t>
      </w:r>
      <w:r>
        <w:rPr>
          <w:rFonts w:hint="eastAsia" w:ascii="宋体" w:hAnsi="宋体" w:eastAsia="宋体" w:cs="宋体"/>
          <w:i w:val="0"/>
          <w:caps w:val="0"/>
          <w:color w:val="0F1115"/>
          <w:spacing w:val="0"/>
          <w:sz w:val="24"/>
          <w:szCs w:val="24"/>
          <w:shd w:val="clear" w:fill="FFFFFF"/>
          <w:lang w:val="en-US" w:eastAsia="zh-CN"/>
        </w:rPr>
        <w:t>完成骑行趋势、时长分布及车型偏好的可视化呈现，旨在精准解析年度会员与临时用户的骑行行为差异，为临时用户向年度会员转化的策略制定提供实证支撑。</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r>
        <w:rPr>
          <w:rFonts w:hint="eastAsia" w:ascii="宋体" w:hAnsi="宋体" w:eastAsia="宋体" w:cs="宋体"/>
          <w:i w:val="0"/>
          <w:caps w:val="0"/>
          <w:color w:val="0F1115"/>
          <w:spacing w:val="0"/>
          <w:sz w:val="24"/>
          <w:szCs w:val="24"/>
          <w:shd w:val="clear" w:fill="FFFFFF"/>
          <w:lang w:val="en-US" w:eastAsia="zh-CN"/>
        </w:rPr>
        <w:t>研究围绕用户使用差异、转化动机、数字媒体转化三大核心问题展开，从时间使用特征、骑行时长分布、车辆类型偏好三个维度系统揭示两类用户的行为分异规律，明确临时用户的转化动机与高价值转化群体特征，并基于数据洞察提出</w:t>
      </w:r>
      <w:r>
        <w:rPr>
          <w:rFonts w:hint="eastAsia" w:ascii="宋体" w:hAnsi="宋体" w:eastAsia="宋体" w:cs="宋体"/>
          <w:b/>
          <w:bCs/>
          <w:i w:val="0"/>
          <w:caps w:val="0"/>
          <w:color w:val="0F1115"/>
          <w:spacing w:val="0"/>
          <w:sz w:val="24"/>
          <w:szCs w:val="24"/>
          <w:shd w:val="clear" w:fill="FFFFFF"/>
          <w:lang w:val="en-US" w:eastAsia="zh-CN"/>
        </w:rPr>
        <w:t>超10条</w:t>
      </w:r>
      <w:r>
        <w:rPr>
          <w:rFonts w:hint="eastAsia" w:ascii="宋体" w:hAnsi="宋体" w:eastAsia="宋体" w:cs="宋体"/>
          <w:i w:val="0"/>
          <w:caps w:val="0"/>
          <w:color w:val="0F1115"/>
          <w:spacing w:val="0"/>
          <w:sz w:val="24"/>
          <w:szCs w:val="24"/>
          <w:shd w:val="clear" w:fill="FFFFFF"/>
          <w:lang w:val="en-US" w:eastAsia="zh-CN"/>
        </w:rPr>
        <w:t>针对性数字媒体转化策略，构建起分时段精准投放、场景化内容营销、个性化权益推送、专属权益运营的全链路转化体系。研究结果为Cyclistic优化用户结构、提升年度会员数量与企业长期盈利能力提供了数据驱动的决策依据与可落地的实施方案。</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背景</w:t>
      </w:r>
    </w:p>
    <w:p>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rPr>
      </w:pPr>
      <w:r>
        <w:rPr>
          <w:rFonts w:hint="eastAsia" w:ascii="宋体" w:hAnsi="宋体" w:eastAsia="宋体" w:cs="宋体"/>
          <w:i w:val="0"/>
          <w:caps w:val="0"/>
          <w:color w:val="0F1115"/>
          <w:spacing w:val="0"/>
          <w:sz w:val="24"/>
          <w:szCs w:val="24"/>
          <w:shd w:val="clear" w:fill="FFFFFF"/>
        </w:rPr>
        <w:t>Cyclistic是一家位于芝加哥的虚构共享单车公司，自2016年推出以来，已发展出超过5,800辆自行车及600余个停靠站。为满足不同用户群体的出行需求，Cyclistic提供单次骑行、全日通行证和年度会员三种定价方案。其中，购买单次或全日通行证的用户被定义为“临时用户”（casualriders），而购买年度会员的用户则为“年度会员”（annualmembers）。</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60" w:lineRule="auto"/>
        <w:ind w:left="0" w:right="0" w:firstLine="480" w:firstLineChars="200"/>
        <w:textAlignment w:val="auto"/>
        <w:rPr>
          <w:rFonts w:hint="eastAsia" w:ascii="宋体" w:hAnsi="宋体" w:eastAsia="宋体" w:cs="宋体"/>
          <w:i w:val="0"/>
          <w:caps w:val="0"/>
          <w:color w:val="0F1115"/>
          <w:spacing w:val="0"/>
          <w:sz w:val="24"/>
          <w:szCs w:val="24"/>
          <w:shd w:val="clear" w:fill="FFFFFF"/>
        </w:rPr>
      </w:pPr>
      <w:r>
        <w:rPr>
          <w:rFonts w:hint="eastAsia" w:ascii="宋体" w:hAnsi="宋体" w:eastAsia="宋体" w:cs="宋体"/>
          <w:i w:val="0"/>
          <w:caps w:val="0"/>
          <w:color w:val="0F1115"/>
          <w:spacing w:val="0"/>
          <w:sz w:val="24"/>
          <w:szCs w:val="24"/>
          <w:shd w:val="clear" w:fill="FFFFFF"/>
        </w:rPr>
        <w:t>财务分析表明，年度会员的盈利能力显著高于临时用户。因此，市场营销总监LilyMoreno提出，公司未来的增长关键在于最大化年度会员数量。与吸引全新用户相比，将现有临时用户转化为年度会员被认为更具可行性与成本效益。为此，Moreno要求数据分析团队深入理解临时用户与年度会员在骑行行为上的差异，并基于数据洞察设计营销策略。</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60" w:lineRule="auto"/>
        <w:ind w:left="0" w:right="0"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r>
        <w:rPr>
          <w:rFonts w:hint="eastAsia" w:ascii="宋体" w:hAnsi="宋体" w:eastAsia="宋体" w:cs="宋体"/>
          <w:i w:val="0"/>
          <w:caps w:val="0"/>
          <w:color w:val="0F1115"/>
          <w:spacing w:val="0"/>
          <w:sz w:val="24"/>
          <w:szCs w:val="24"/>
          <w:shd w:val="clear" w:fill="FFFFFF"/>
          <w:lang w:val="en-US" w:eastAsia="zh-CN"/>
        </w:rPr>
        <w:t>本研究将基于此背景进行数据分析，并涉及可行的销售策略。</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二．提出问题</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60" w:lineRule="auto"/>
        <w:ind w:right="0" w:firstLine="480" w:firstLineChars="200"/>
        <w:textAlignment w:val="auto"/>
        <w:rPr>
          <w:rFonts w:hint="eastAsia" w:ascii="宋体" w:hAnsi="宋体" w:eastAsia="宋体" w:cs="宋体"/>
          <w:sz w:val="24"/>
          <w:szCs w:val="24"/>
        </w:rPr>
      </w:pPr>
      <w:r>
        <w:rPr>
          <w:rFonts w:hint="eastAsia" w:ascii="宋体" w:hAnsi="宋体" w:eastAsia="宋体" w:cs="宋体"/>
          <w:i w:val="0"/>
          <w:caps w:val="0"/>
          <w:color w:val="0F1115"/>
          <w:spacing w:val="0"/>
          <w:sz w:val="24"/>
          <w:szCs w:val="24"/>
          <w:shd w:val="clear" w:fill="FFFFFF"/>
        </w:rPr>
        <w:t>为支持后续营销策略的制定，本分析围绕以下三个核心问题展开：</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eastAsia" w:ascii="宋体" w:hAnsi="宋体" w:eastAsia="宋体" w:cs="宋体"/>
          <w:b/>
          <w:bCs w:val="0"/>
          <w:sz w:val="24"/>
          <w:szCs w:val="24"/>
        </w:rPr>
      </w:pPr>
      <w:r>
        <w:rPr>
          <w:rStyle w:val="6"/>
          <w:rFonts w:hint="eastAsia" w:ascii="宋体" w:hAnsi="宋体" w:eastAsia="宋体" w:cs="宋体"/>
          <w:b/>
          <w:bCs w:val="0"/>
          <w:i w:val="0"/>
          <w:caps w:val="0"/>
          <w:color w:val="0F1115"/>
          <w:spacing w:val="0"/>
          <w:sz w:val="24"/>
          <w:szCs w:val="24"/>
          <w:shd w:val="clear" w:fill="FFFFFF"/>
          <w:lang w:val="en-US" w:eastAsia="zh-CN"/>
        </w:rPr>
        <w:t>1.</w:t>
      </w:r>
      <w:r>
        <w:rPr>
          <w:rStyle w:val="6"/>
          <w:rFonts w:hint="eastAsia" w:ascii="宋体" w:hAnsi="宋体" w:eastAsia="宋体" w:cs="宋体"/>
          <w:b/>
          <w:bCs w:val="0"/>
          <w:i w:val="0"/>
          <w:caps w:val="0"/>
          <w:color w:val="0F1115"/>
          <w:spacing w:val="0"/>
          <w:sz w:val="24"/>
          <w:szCs w:val="24"/>
          <w:shd w:val="clear" w:fill="FFFFFF"/>
        </w:rPr>
        <w:t>年度会员与临时用户在使用Cyclistic共享单车的方式上存在哪些差异？</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eastAsia" w:ascii="宋体" w:hAnsi="宋体" w:eastAsia="宋体" w:cs="宋体"/>
          <w:b/>
          <w:bCs w:val="0"/>
          <w:sz w:val="24"/>
          <w:szCs w:val="24"/>
        </w:rPr>
      </w:pPr>
      <w:r>
        <w:rPr>
          <w:rStyle w:val="6"/>
          <w:rFonts w:hint="eastAsia" w:ascii="宋体" w:hAnsi="宋体" w:eastAsia="宋体" w:cs="宋体"/>
          <w:b/>
          <w:bCs w:val="0"/>
          <w:i w:val="0"/>
          <w:caps w:val="0"/>
          <w:color w:val="0F1115"/>
          <w:spacing w:val="0"/>
          <w:sz w:val="24"/>
          <w:szCs w:val="24"/>
          <w:shd w:val="clear" w:fill="FFFFFF"/>
          <w:lang w:val="en-US" w:eastAsia="zh-CN"/>
        </w:rPr>
        <w:t>2.</w:t>
      </w:r>
      <w:r>
        <w:rPr>
          <w:rStyle w:val="6"/>
          <w:rFonts w:hint="eastAsia" w:ascii="宋体" w:hAnsi="宋体" w:eastAsia="宋体" w:cs="宋体"/>
          <w:b/>
          <w:bCs w:val="0"/>
          <w:i w:val="0"/>
          <w:caps w:val="0"/>
          <w:color w:val="0F1115"/>
          <w:spacing w:val="0"/>
          <w:sz w:val="24"/>
          <w:szCs w:val="24"/>
          <w:shd w:val="clear" w:fill="FFFFFF"/>
        </w:rPr>
        <w:t>临时用户为何会愿意购买年度会员？</w:t>
      </w:r>
    </w:p>
    <w:p>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textAlignment w:val="auto"/>
        <w:rPr>
          <w:rFonts w:hint="eastAsia" w:ascii="宋体" w:hAnsi="宋体" w:eastAsia="宋体" w:cs="宋体"/>
          <w:b/>
          <w:bCs w:val="0"/>
          <w:sz w:val="24"/>
          <w:szCs w:val="24"/>
        </w:rPr>
      </w:pPr>
      <w:r>
        <w:rPr>
          <w:rStyle w:val="6"/>
          <w:rFonts w:hint="eastAsia" w:ascii="宋体" w:hAnsi="宋体" w:eastAsia="宋体" w:cs="宋体"/>
          <w:b/>
          <w:bCs w:val="0"/>
          <w:i w:val="0"/>
          <w:caps w:val="0"/>
          <w:color w:val="0F1115"/>
          <w:spacing w:val="0"/>
          <w:sz w:val="24"/>
          <w:szCs w:val="24"/>
          <w:shd w:val="clear" w:fill="FFFFFF"/>
          <w:lang w:val="en-US" w:eastAsia="zh-CN"/>
        </w:rPr>
        <w:t>3.</w:t>
      </w:r>
      <w:r>
        <w:rPr>
          <w:rStyle w:val="6"/>
          <w:rFonts w:hint="eastAsia" w:ascii="宋体" w:hAnsi="宋体" w:eastAsia="宋体" w:cs="宋体"/>
          <w:b/>
          <w:bCs w:val="0"/>
          <w:i w:val="0"/>
          <w:caps w:val="0"/>
          <w:color w:val="0F1115"/>
          <w:spacing w:val="0"/>
          <w:sz w:val="24"/>
          <w:szCs w:val="24"/>
          <w:shd w:val="clear" w:fill="FFFFFF"/>
        </w:rPr>
        <w:t>Cyclistic如何利用数字媒体影响临时用户转化为会员？</w:t>
      </w: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92" w:beforeAutospacing="0" w:after="192" w:afterAutospacing="0" w:line="360" w:lineRule="auto"/>
        <w:ind w:left="0" w:right="0" w:firstLine="480" w:firstLineChars="200"/>
        <w:textAlignment w:val="auto"/>
        <w:rPr>
          <w:rFonts w:hint="eastAsia" w:ascii="宋体" w:hAnsi="宋体" w:eastAsia="宋体" w:cs="宋体"/>
          <w:i w:val="0"/>
          <w:caps w:val="0"/>
          <w:color w:val="0F1115"/>
          <w:spacing w:val="0"/>
          <w:sz w:val="24"/>
          <w:szCs w:val="24"/>
        </w:rPr>
      </w:pPr>
      <w:r>
        <w:rPr>
          <w:rFonts w:hint="eastAsia" w:ascii="宋体" w:hAnsi="宋体" w:eastAsia="宋体" w:cs="宋体"/>
          <w:i w:val="0"/>
          <w:caps w:val="0"/>
          <w:color w:val="0F1115"/>
          <w:spacing w:val="0"/>
          <w:sz w:val="24"/>
          <w:szCs w:val="24"/>
          <w:shd w:val="clear" w:fill="FFFFFF"/>
        </w:rPr>
        <w:t>其中，</w:t>
      </w:r>
      <w:r>
        <w:rPr>
          <w:rStyle w:val="6"/>
          <w:rFonts w:hint="eastAsia" w:ascii="宋体" w:hAnsi="宋体" w:eastAsia="宋体" w:cs="宋体"/>
          <w:b/>
          <w:i w:val="0"/>
          <w:caps w:val="0"/>
          <w:color w:val="0F1115"/>
          <w:spacing w:val="0"/>
          <w:sz w:val="24"/>
          <w:szCs w:val="24"/>
          <w:shd w:val="clear" w:fill="FFFFFF"/>
        </w:rPr>
        <w:t>本报告聚焦于第一个问题</w:t>
      </w:r>
      <w:r>
        <w:rPr>
          <w:rFonts w:hint="eastAsia" w:ascii="宋体" w:hAnsi="宋体" w:eastAsia="宋体" w:cs="宋体"/>
          <w:i w:val="0"/>
          <w:caps w:val="0"/>
          <w:color w:val="0F1115"/>
          <w:spacing w:val="0"/>
          <w:sz w:val="24"/>
          <w:szCs w:val="24"/>
          <w:shd w:val="clear" w:fill="FFFFFF"/>
        </w:rPr>
        <w:t>，并通过数据分析与可视化手段，为后两个问题提供实证基础。</w:t>
      </w:r>
    </w:p>
    <w:p>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三.解决方案</w:t>
      </w: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3.1数据选择</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rPr>
      </w:pPr>
      <w:r>
        <w:rPr>
          <w:rFonts w:hint="eastAsia" w:ascii="宋体" w:hAnsi="宋体" w:eastAsia="宋体" w:cs="宋体"/>
          <w:i w:val="0"/>
          <w:caps w:val="0"/>
          <w:color w:val="0F1115"/>
          <w:spacing w:val="0"/>
          <w:sz w:val="24"/>
          <w:szCs w:val="24"/>
          <w:shd w:val="clear" w:fill="FFFFFF"/>
        </w:rPr>
        <w:t>本研究选取Kaggle公开数据集中上传时间最近、样本量最大的Cyclistic共享单车历史行程数据，时间跨度为2022年至2023年的连续12个月。该数据集包含骑行起止时间、用户类型（临时用户</w:t>
      </w:r>
      <w:r>
        <w:rPr>
          <w:rFonts w:hint="eastAsia" w:ascii="宋体" w:hAnsi="宋体" w:eastAsia="宋体" w:cs="宋体"/>
          <w:i w:val="0"/>
          <w:caps w:val="0"/>
          <w:color w:val="0F1115"/>
          <w:spacing w:val="0"/>
          <w:sz w:val="24"/>
          <w:szCs w:val="24"/>
          <w:shd w:val="clear" w:fill="FFFFFF"/>
          <w:lang w:val="en-US" w:eastAsia="zh-CN"/>
        </w:rPr>
        <w:t>,</w:t>
      </w:r>
      <w:r>
        <w:rPr>
          <w:rFonts w:hint="eastAsia" w:ascii="宋体" w:hAnsi="宋体" w:eastAsia="宋体" w:cs="宋体"/>
          <w:i w:val="0"/>
          <w:caps w:val="0"/>
          <w:color w:val="0F1115"/>
          <w:spacing w:val="0"/>
          <w:sz w:val="24"/>
          <w:szCs w:val="24"/>
          <w:shd w:val="clear" w:fill="FFFFFF"/>
        </w:rPr>
        <w:t>年度会员）、车辆类型等关键字段，能够有效支持后续对比分析。</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i w:val="0"/>
          <w:caps w:val="0"/>
          <w:color w:val="0F1115"/>
          <w:spacing w:val="0"/>
          <w:sz w:val="24"/>
          <w:szCs w:val="24"/>
          <w:shd w:val="clear" w:fill="FFFFFF"/>
          <w:lang w:val="en-US" w:eastAsia="zh-CN"/>
        </w:rPr>
      </w:pPr>
    </w:p>
    <w:p>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3.2数据预处理</w:t>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首先，针对下载获得的数据，以数据集特征与完成目的为导向，本研究利用python的pandas库进行了常规的数据预处理。</w:t>
      </w:r>
    </w:p>
    <w:p>
      <w:pPr>
        <w:keepNext w:val="0"/>
        <w:keepLines w:val="0"/>
        <w:pageBreakBefore w:val="0"/>
        <w:numPr>
          <w:ilvl w:val="0"/>
          <w:numId w:val="2"/>
        </w:numPr>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删除空缺值，重复值以及异常值</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由于分析过程的后续需要大量使用到ride_id,member_casual以及start_at,ride_id这几列，因此需要保证这几列绝对性的没有空缺值。</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接着利用drop_duplicates()去除完全重复的两行，最后删除骑行时长为异常的值。（注：本文将骑行时长小于60秒，大于1天的均视为异常值）</w:t>
      </w:r>
    </w:p>
    <w:p>
      <w:pPr>
        <w:pStyle w:val="2"/>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left="0"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特征工程处理</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方便后续研究，本文利用python进行特征工程处理，在CSV文件中新加入了ride_length以及day_of_week两列，目的分别为方便后续统计年度会员和临时用户两类不同人群的骑行时长以及按一周不同时间段两类人骑行时长的区别。</w:t>
      </w:r>
    </w:p>
    <w:p>
      <w:pPr>
        <w:pStyle w:val="2"/>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3.时间格式标准化</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在特征工程处理前后，皆对骑行时长数据进行了标准化处理，将时长数据调整为HH:MM:SS的格式，方便后续进行数据分析工作。</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4.数据整合</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12个月的数据是分别分散在12个不同的CSV表当中，因此我利用Mysql80数据库工具：NavicatPremium将12个月数据导入Mysql数据库当中，并通过编写sql语句利用表联结语法（UNIONALL）将所有表的数据逐个按行合并顺序添加整合入一个名为cleaned_whole_year的新表当中。</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3.3数据分析</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由于本研究的目的主要是为了利用数据进行分析并为cyclisticbike_提供将临时用户用户转化为年度会员用户的可行策略，因此我利用数据从总体以及时间的维度分开进行分析。</w:t>
      </w:r>
    </w:p>
    <w:p>
      <w:pPr>
        <w:pStyle w:val="2"/>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leftChars="0" w:firstLine="482" w:firstLineChars="20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以总体为维度，区别不同种类用户（临时用户，年度会员)的常规统计量。</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本文采用的分析方法主要是利用sql的查询语句按不同种类用户区分，对用户的平均骑行时长及其最大值，最小值，以及ride_type进行统计。其中众数与中位数的求得分别利用sql子查询嵌套以及窗口函数完成。</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200"/>
        <w:textAlignment w:val="auto"/>
        <w:rPr>
          <w:rFonts w:hint="eastAsia" w:ascii="宋体" w:hAnsi="宋体" w:eastAsia="宋体" w:cs="宋体"/>
          <w:b/>
          <w:bCs/>
          <w:sz w:val="24"/>
          <w:szCs w:val="24"/>
          <w:lang w:val="en-US" w:eastAsia="zh-CN"/>
        </w:rPr>
      </w:pPr>
      <w:r>
        <w:rPr>
          <w:rFonts w:hint="eastAsia" w:cs="宋体"/>
          <w:b/>
          <w:bCs/>
          <w:sz w:val="24"/>
          <w:szCs w:val="24"/>
          <w:lang w:val="en-US" w:eastAsia="zh-CN"/>
        </w:rPr>
        <w:t>2.</w:t>
      </w:r>
      <w:r>
        <w:rPr>
          <w:rFonts w:hint="eastAsia" w:ascii="宋体" w:hAnsi="宋体" w:eastAsia="宋体" w:cs="宋体"/>
          <w:b/>
          <w:bCs/>
          <w:sz w:val="24"/>
          <w:szCs w:val="24"/>
          <w:lang w:val="en-US" w:eastAsia="zh-CN"/>
        </w:rPr>
        <w:t>以总体为维度，区别不同种类用户在产品上的</w:t>
      </w:r>
      <w:r>
        <w:rPr>
          <w:rFonts w:hint="eastAsia" w:cs="宋体"/>
          <w:b/>
          <w:bCs/>
          <w:sz w:val="24"/>
          <w:szCs w:val="24"/>
          <w:lang w:val="en-US" w:eastAsia="zh-CN"/>
        </w:rPr>
        <w:t>选</w:t>
      </w:r>
      <w:r>
        <w:rPr>
          <w:rFonts w:hint="eastAsia" w:ascii="宋体" w:hAnsi="宋体" w:eastAsia="宋体" w:cs="宋体"/>
          <w:b/>
          <w:bCs/>
          <w:sz w:val="24"/>
          <w:szCs w:val="24"/>
          <w:lang w:val="en-US" w:eastAsia="zh-CN"/>
        </w:rPr>
        <w:t>择。</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cyclisticbike_share总共有两类产品服务，分别为classicbike以及electric bike,我先将使用情况进行统计，再分别对临时用户以及年度会员用户对于不同产品的使用情况进行统计。</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055" cy="1055370"/>
            <wp:effectExtent l="0" t="0" r="6985" b="11430"/>
            <wp:docPr id="1" name="图片 1" descr="7e3ff2283078ab35fcb2ba6fa95e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e3ff2283078ab35fcb2ba6fa95e2373"/>
                    <pic:cNvPicPr>
                      <a:picLocks noChangeAspect="1"/>
                    </pic:cNvPicPr>
                  </pic:nvPicPr>
                  <pic:blipFill>
                    <a:blip r:embed="rId4"/>
                    <a:stretch>
                      <a:fillRect/>
                    </a:stretch>
                  </pic:blipFill>
                  <pic:spPr>
                    <a:xfrm>
                      <a:off x="0" y="0"/>
                      <a:ext cx="5266055" cy="1055370"/>
                    </a:xfrm>
                    <a:prstGeom prst="rect">
                      <a:avLst/>
                    </a:prstGeom>
                  </pic:spPr>
                </pic:pic>
              </a:graphicData>
            </a:graphic>
          </wp:inline>
        </w:drawing>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center"/>
        <w:textAlignment w:val="auto"/>
        <w:rPr>
          <w:rFonts w:hint="default" w:ascii="宋体" w:hAnsi="宋体" w:eastAsia="宋体" w:cs="宋体"/>
          <w:sz w:val="24"/>
          <w:szCs w:val="24"/>
          <w:lang w:val="en-US" w:eastAsia="zh-CN"/>
        </w:rPr>
      </w:pPr>
      <w:r>
        <w:rPr>
          <w:rFonts w:hint="eastAsia" w:cs="宋体"/>
          <w:sz w:val="24"/>
          <w:szCs w:val="24"/>
          <w:lang w:val="en-US" w:eastAsia="zh-CN"/>
        </w:rPr>
        <w:t>图1 sql总体维度输出图</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953000" cy="1152525"/>
            <wp:effectExtent l="0" t="0" r="0" b="5715"/>
            <wp:docPr id="3" name="图片 3" descr="1534ec1f2cadd90831793f8b968dee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534ec1f2cadd90831793f8b968dee04"/>
                    <pic:cNvPicPr>
                      <a:picLocks noChangeAspect="1"/>
                    </pic:cNvPicPr>
                  </pic:nvPicPr>
                  <pic:blipFill>
                    <a:blip r:embed="rId5"/>
                    <a:stretch>
                      <a:fillRect/>
                    </a:stretch>
                  </pic:blipFill>
                  <pic:spPr>
                    <a:xfrm>
                      <a:off x="0" y="0"/>
                      <a:ext cx="4953000" cy="1152525"/>
                    </a:xfrm>
                    <a:prstGeom prst="rect">
                      <a:avLst/>
                    </a:prstGeom>
                  </pic:spPr>
                </pic:pic>
              </a:graphicData>
            </a:graphic>
          </wp:inline>
        </w:drawing>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center"/>
        <w:textAlignment w:val="auto"/>
        <w:rPr>
          <w:rFonts w:hint="default" w:ascii="宋体" w:hAnsi="宋体" w:eastAsia="宋体" w:cs="宋体"/>
          <w:sz w:val="24"/>
          <w:szCs w:val="24"/>
          <w:lang w:val="en-US" w:eastAsia="zh-CN"/>
        </w:rPr>
      </w:pPr>
      <w:r>
        <w:rPr>
          <w:rFonts w:hint="eastAsia" w:cs="宋体"/>
          <w:sz w:val="24"/>
          <w:szCs w:val="24"/>
          <w:lang w:val="en-US" w:eastAsia="zh-CN"/>
        </w:rPr>
        <w:t>图2 众数，中位数python补充输出图</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200"/>
        <w:textAlignment w:val="auto"/>
        <w:rPr>
          <w:rFonts w:hint="eastAsia" w:ascii="宋体" w:hAnsi="宋体" w:eastAsia="宋体" w:cs="宋体"/>
          <w:b/>
          <w:bCs/>
          <w:sz w:val="24"/>
          <w:szCs w:val="24"/>
          <w:lang w:val="en-US" w:eastAsia="zh-CN"/>
        </w:rPr>
      </w:pPr>
      <w:r>
        <w:rPr>
          <w:rFonts w:hint="eastAsia" w:cs="宋体"/>
          <w:b/>
          <w:bCs/>
          <w:sz w:val="24"/>
          <w:szCs w:val="24"/>
          <w:lang w:val="en-US" w:eastAsia="zh-CN"/>
        </w:rPr>
        <w:t>3.</w:t>
      </w:r>
      <w:r>
        <w:rPr>
          <w:rFonts w:hint="eastAsia" w:ascii="宋体" w:hAnsi="宋体" w:eastAsia="宋体" w:cs="宋体"/>
          <w:b/>
          <w:bCs/>
          <w:sz w:val="24"/>
          <w:szCs w:val="24"/>
          <w:lang w:val="en-US" w:eastAsia="zh-CN"/>
        </w:rPr>
        <w:t>以时间为分类维度，计算常见统计量</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2405" cy="1735455"/>
            <wp:effectExtent l="0" t="0" r="635" b="1905"/>
            <wp:docPr id="2" name="图片 2" descr="70044b1d6671eb0e95d3744e9ba86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0044b1d6671eb0e95d3744e9ba8629b"/>
                    <pic:cNvPicPr>
                      <a:picLocks noChangeAspect="1"/>
                    </pic:cNvPicPr>
                  </pic:nvPicPr>
                  <pic:blipFill>
                    <a:blip r:embed="rId6"/>
                    <a:stretch>
                      <a:fillRect/>
                    </a:stretch>
                  </pic:blipFill>
                  <pic:spPr>
                    <a:xfrm>
                      <a:off x="0" y="0"/>
                      <a:ext cx="5272405" cy="1735455"/>
                    </a:xfrm>
                    <a:prstGeom prst="rect">
                      <a:avLst/>
                    </a:prstGeom>
                  </pic:spPr>
                </pic:pic>
              </a:graphicData>
            </a:graphic>
          </wp:inline>
        </w:drawing>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center"/>
        <w:textAlignment w:val="auto"/>
        <w:rPr>
          <w:rFonts w:hint="default" w:ascii="宋体" w:hAnsi="宋体" w:eastAsia="宋体" w:cs="宋体"/>
          <w:sz w:val="24"/>
          <w:szCs w:val="24"/>
          <w:lang w:val="en-US" w:eastAsia="zh-CN"/>
        </w:rPr>
      </w:pPr>
      <w:r>
        <w:rPr>
          <w:rFonts w:hint="eastAsia" w:cs="宋体"/>
          <w:sz w:val="24"/>
          <w:szCs w:val="24"/>
          <w:lang w:val="en-US" w:eastAsia="zh-CN"/>
        </w:rPr>
        <w:t>图3 sql时间维度输出图</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这些常规统计量的求得十分重要，为后续可视化提供基础。</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我们对Mysql所得的结果进行初步分析可得：</w:t>
      </w:r>
    </w:p>
    <w:p>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骑行时长分布差异:临时用户(casualriders)的平均骑行时长(2378.39秒)显著高于年度会员(1250.57秒)，且临时用户的中位数(738秒)亦大于会员中位数(527秒)，表明临时用户的骑行时长分布呈更强右偏态，存在大量长距离、休闲导向的骑行行为。</w:t>
      </w:r>
    </w:p>
    <w:p>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时间使用模式差异:临时用户的骑行次数集中于周末(周末占比35.7%，尤其星期日达到峰值33.6万次)，而会员的骑行高峰出现在工作日(星期四为42.4万次)，反映会员以通勤为主要目的，临时用户则更多用于周末休闲。</w:t>
      </w:r>
    </w:p>
    <w:p>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车辆类型偏好差异:临时用户对电动自行车的使用比例(62.5%)高于会员(51.5%)，说明临时用户更倾向选择省力、便捷的电动车型，可能与其休闲观光、非固定路线骑行需求相关。</w:t>
      </w:r>
    </w:p>
    <w:p>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潜在转化策略依据:临时用户中骑行时长超过30分钟(约1800秒)的群体，其单次租用成本已接近或超过会员日均成本，该群体具备最高的转化潜力。结合其周末高频、电动车型偏好的特征，可设计"周末无限骑会员卡"及”电动车专属会员套餐"，并在周日高峰站点部署线下推广。</w:t>
      </w:r>
    </w:p>
    <w:p>
      <w:pPr>
        <w:pStyle w:val="2"/>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数字媒体影响窗口:临时用户的骑行量在夏季及秋季周末呈现明显峰值，建议在该时段前一个月通过社交媒体、应用内推送等方式投放"早鸟会员折扣”，以提高转化率。</w:t>
      </w:r>
      <w:r>
        <w:rPr>
          <w:rFonts w:hint="eastAsia" w:ascii="宋体" w:hAnsi="宋体" w:eastAsia="宋体" w:cs="宋体"/>
          <w:sz w:val="24"/>
          <w:szCs w:val="24"/>
          <w:lang w:val="en-US" w:eastAsia="zh-CN"/>
        </w:rPr>
        <w:br w:type="textWrapping"/>
      </w:r>
      <w:r>
        <w:rPr>
          <w:rFonts w:hint="eastAsia" w:cs="宋体"/>
          <w:sz w:val="24"/>
          <w:szCs w:val="24"/>
          <w:lang w:val="en-US" w:eastAsia="zh-CN"/>
        </w:rPr>
        <w:t xml:space="preserve">    </w:t>
      </w:r>
      <w:r>
        <w:rPr>
          <w:rFonts w:hint="eastAsia" w:ascii="宋体" w:hAnsi="宋体" w:eastAsia="宋体" w:cs="宋体"/>
          <w:sz w:val="24"/>
          <w:szCs w:val="24"/>
          <w:lang w:val="en-US" w:eastAsia="zh-CN"/>
        </w:rPr>
        <w:t>利用sql分析我们可以得到初步的结果，但是本文将利用tableau进行更加深一步的数据分析，并展现为可视化</w:t>
      </w:r>
      <w:r>
        <w:rPr>
          <w:rFonts w:hint="eastAsia" w:cs="宋体"/>
          <w:sz w:val="24"/>
          <w:szCs w:val="24"/>
          <w:lang w:val="en-US" w:eastAsia="zh-CN"/>
        </w:rPr>
        <w:t>图表</w:t>
      </w:r>
      <w:r>
        <w:rPr>
          <w:rFonts w:hint="eastAsia" w:ascii="宋体" w:hAnsi="宋体" w:eastAsia="宋体" w:cs="宋体"/>
          <w:sz w:val="24"/>
          <w:szCs w:val="24"/>
          <w:lang w:val="en-US" w:eastAsia="zh-CN"/>
        </w:rPr>
        <w:t>为您呈现。</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3.4数据可视化</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sz w:val="24"/>
          <w:szCs w:val="24"/>
          <w:lang w:val="en-US" w:eastAsia="zh-CN"/>
        </w:rPr>
      </w:pPr>
      <w:r>
        <w:rPr>
          <w:rFonts w:hint="eastAsia" w:cs="宋体"/>
          <w:sz w:val="24"/>
          <w:szCs w:val="24"/>
          <w:lang w:val="en-US" w:eastAsia="zh-CN"/>
        </w:rPr>
        <w:t>1.数据导入</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sz w:val="24"/>
          <w:szCs w:val="24"/>
          <w:lang w:val="en-US" w:eastAsia="zh-CN"/>
        </w:rPr>
      </w:pPr>
      <w:r>
        <w:rPr>
          <w:rFonts w:hint="eastAsia" w:cs="宋体"/>
          <w:sz w:val="24"/>
          <w:szCs w:val="24"/>
          <w:lang w:val="en-US" w:eastAsia="zh-CN"/>
        </w:rPr>
        <w:t>由于数据量过大，导入tableau进行可视化处理会导致界面反应过慢，影响分析准确度与速度。因此本研究先通过mysql语句新增主键并建立索引，接着通过目的筛选删除在可视化中不需要的列，例如：start_lng,start_at,最终利用数据库将数据成功导入tableau进行可视化分析。</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sz w:val="24"/>
          <w:szCs w:val="24"/>
          <w:lang w:val="en-US" w:eastAsia="zh-CN"/>
        </w:rPr>
      </w:pP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sz w:val="24"/>
          <w:szCs w:val="24"/>
          <w:lang w:val="en-US" w:eastAsia="zh-CN"/>
        </w:rPr>
      </w:pP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default" w:cs="宋体"/>
          <w:sz w:val="24"/>
          <w:szCs w:val="24"/>
          <w:lang w:val="en-US" w:eastAsia="zh-CN"/>
        </w:rPr>
      </w:pPr>
    </w:p>
    <w:p>
      <w:pPr>
        <w:pStyle w:val="2"/>
        <w:keepNext w:val="0"/>
        <w:keepLines w:val="0"/>
        <w:pageBreakBefore w:val="0"/>
        <w:widowControl/>
        <w:numPr>
          <w:ilvl w:val="0"/>
          <w:numId w:val="3"/>
        </w:numPr>
        <w:suppressLineNumbers w:val="0"/>
        <w:tabs>
          <w:tab w:val="clear" w:pos="312"/>
        </w:tabs>
        <w:kinsoku/>
        <w:wordWrap/>
        <w:overflowPunct/>
        <w:topLinePunct w:val="0"/>
        <w:autoSpaceDE/>
        <w:autoSpaceDN/>
        <w:bidi w:val="0"/>
        <w:adjustRightInd/>
        <w:snapToGrid/>
        <w:spacing w:line="360" w:lineRule="auto"/>
        <w:ind w:left="0" w:leftChars="0" w:firstLine="480" w:firstLineChars="200"/>
        <w:textAlignment w:val="auto"/>
        <w:rPr>
          <w:rFonts w:hint="eastAsia" w:cs="宋体"/>
          <w:sz w:val="24"/>
          <w:szCs w:val="24"/>
          <w:lang w:val="en-US" w:eastAsia="zh-CN"/>
        </w:rPr>
      </w:pPr>
      <w:r>
        <w:rPr>
          <w:rFonts w:hint="eastAsia" w:cs="宋体"/>
          <w:sz w:val="24"/>
          <w:szCs w:val="24"/>
          <w:lang w:val="en-US" w:eastAsia="zh-CN"/>
        </w:rPr>
        <w:t>一周骑行时长分析图</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615" w:leftChars="-293" w:firstLine="415" w:firstLineChars="173"/>
        <w:textAlignment w:val="auto"/>
        <w:rPr>
          <w:rFonts w:hint="eastAsia" w:ascii="宋体" w:hAnsi="宋体" w:eastAsia="宋体" w:cs="宋体"/>
          <w:sz w:val="24"/>
          <w:szCs w:val="24"/>
          <w:lang w:val="en-US" w:eastAsia="zh-CN"/>
        </w:rPr>
      </w:pPr>
      <w:r>
        <w:rPr>
          <w:rFonts w:hint="default" w:cs="宋体"/>
          <w:sz w:val="24"/>
          <w:szCs w:val="24"/>
          <w:lang w:val="en-US" w:eastAsia="zh-CN"/>
        </w:rPr>
        <w:drawing>
          <wp:inline distT="0" distB="0" distL="114300" distR="114300">
            <wp:extent cx="5539105" cy="4140200"/>
            <wp:effectExtent l="0" t="0" r="8255" b="5080"/>
            <wp:docPr id="4" name="图片 4" descr="3d283cbd7a1dee6994dd422263b79e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d283cbd7a1dee6994dd422263b79e3c"/>
                    <pic:cNvPicPr>
                      <a:picLocks noChangeAspect="1"/>
                    </pic:cNvPicPr>
                  </pic:nvPicPr>
                  <pic:blipFill>
                    <a:blip r:embed="rId7"/>
                    <a:stretch>
                      <a:fillRect/>
                    </a:stretch>
                  </pic:blipFill>
                  <pic:spPr>
                    <a:xfrm>
                      <a:off x="0" y="0"/>
                      <a:ext cx="5539105" cy="4140200"/>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图4 tableau一周骑行时长分布表</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default" w:cs="宋体"/>
          <w:sz w:val="24"/>
          <w:szCs w:val="24"/>
          <w:lang w:val="en-US" w:eastAsia="zh-CN"/>
        </w:rPr>
      </w:pPr>
      <w:r>
        <w:rPr>
          <w:rFonts w:hint="eastAsia" w:cs="宋体"/>
          <w:sz w:val="24"/>
          <w:szCs w:val="24"/>
          <w:lang w:val="en-US" w:eastAsia="zh-CN"/>
        </w:rPr>
        <w:t>图像直观的呈现出两类用户在骑行行为上的差异，临时用户（casual riders，图中呈现为蓝色）</w:t>
      </w:r>
      <w:r>
        <w:rPr>
          <w:rFonts w:hint="default" w:cs="宋体"/>
          <w:sz w:val="24"/>
          <w:szCs w:val="24"/>
          <w:lang w:val="en-US" w:eastAsia="zh-CN"/>
        </w:rPr>
        <w:t>：其活动高度集中于周末，星期日占比高达80%，骑行时长也同步达到峰值。表明临时用户以休闲、观光为主要目的，骑行决策受闲暇时间影响较大。</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default" w:cs="宋体"/>
          <w:sz w:val="24"/>
          <w:szCs w:val="24"/>
          <w:lang w:val="en-US" w:eastAsia="zh-CN"/>
        </w:rPr>
      </w:pPr>
      <w:r>
        <w:rPr>
          <w:rFonts w:hint="default" w:cs="宋体"/>
          <w:sz w:val="24"/>
          <w:szCs w:val="24"/>
          <w:lang w:val="en-US" w:eastAsia="zh-CN"/>
        </w:rPr>
        <w:t>年度会员（member）：由于临时用户占比在周末达到80%，可推知会员在工作日（星期一至星期五）的占比相对更高（约35%–45%），且其骑行时长在全周分布较为均匀。这表明会员的骑行行为具有通勤规律性，受工作日影响较小。</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sz w:val="24"/>
          <w:szCs w:val="24"/>
          <w:lang w:val="en-US" w:eastAsia="zh-CN"/>
        </w:rPr>
      </w:pPr>
      <w:r>
        <w:rPr>
          <w:rFonts w:hint="eastAsia" w:cs="宋体"/>
          <w:sz w:val="24"/>
          <w:szCs w:val="24"/>
          <w:lang w:val="en-US" w:eastAsia="zh-CN"/>
        </w:rPr>
        <w:t>因此针对两者所呈现出的差异特征，我们可以充分采用以下措施：</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default" w:cs="宋体"/>
          <w:sz w:val="24"/>
          <w:szCs w:val="24"/>
          <w:lang w:val="en-US" w:eastAsia="zh-CN"/>
        </w:rPr>
      </w:pPr>
      <w:r>
        <w:rPr>
          <w:rFonts w:hint="eastAsia" w:cs="宋体"/>
          <w:sz w:val="24"/>
          <w:szCs w:val="24"/>
          <w:lang w:val="en-US" w:eastAsia="zh-CN"/>
        </w:rPr>
        <w:t>周末场景精准触达</w:t>
      </w:r>
      <w:r>
        <w:rPr>
          <w:rFonts w:hint="default" w:cs="宋体"/>
          <w:sz w:val="24"/>
          <w:szCs w:val="24"/>
          <w:lang w:val="en-US" w:eastAsia="zh-CN"/>
        </w:rPr>
        <w:t>：利用社交媒体（如Instagram、TikTok）及应用内推送，在周六上午向活跃临时用户推送“周末无限骑会员体验卡”优惠，在周日下午向长时骑行用户推送“升级会员可节省本次费用”的实时比较信息，以培养周末骑行习惯并降低转化门槛。</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eastAsia" w:cs="宋体"/>
          <w:sz w:val="24"/>
          <w:szCs w:val="24"/>
          <w:lang w:val="en-US" w:eastAsia="zh-CN"/>
        </w:rPr>
      </w:pPr>
      <w:bookmarkStart w:id="0" w:name="_GoBack"/>
      <w:bookmarkEnd w:id="0"/>
    </w:p>
    <w:p>
      <w:pPr>
        <w:pStyle w:val="2"/>
        <w:keepNext w:val="0"/>
        <w:keepLines w:val="0"/>
        <w:pageBreakBefore w:val="0"/>
        <w:widowControl/>
        <w:numPr>
          <w:ilvl w:val="0"/>
          <w:numId w:val="3"/>
        </w:numPr>
        <w:suppressLineNumbers w:val="0"/>
        <w:tabs>
          <w:tab w:val="clear" w:pos="312"/>
        </w:tabs>
        <w:kinsoku/>
        <w:wordWrap/>
        <w:overflowPunct/>
        <w:topLinePunct w:val="0"/>
        <w:autoSpaceDE/>
        <w:autoSpaceDN/>
        <w:bidi w:val="0"/>
        <w:adjustRightInd/>
        <w:snapToGrid/>
        <w:spacing w:line="360" w:lineRule="auto"/>
        <w:ind w:left="0" w:leftChars="0" w:firstLine="480" w:firstLineChars="200"/>
        <w:textAlignment w:val="auto"/>
        <w:rPr>
          <w:rFonts w:hint="eastAsia" w:cs="宋体"/>
          <w:sz w:val="24"/>
          <w:szCs w:val="24"/>
          <w:lang w:val="en-US" w:eastAsia="zh-CN"/>
        </w:rPr>
      </w:pPr>
      <w:r>
        <w:rPr>
          <w:rFonts w:hint="eastAsia" w:cs="宋体"/>
          <w:sz w:val="24"/>
          <w:szCs w:val="24"/>
          <w:lang w:val="en-US" w:eastAsia="zh-CN"/>
        </w:rPr>
        <w:t>骑行趋势分析图</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295" w:hanging="1039" w:hangingChars="433"/>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6193155" cy="3636010"/>
            <wp:effectExtent l="0" t="0" r="9525" b="6350"/>
            <wp:docPr id="5" name="图片 5" descr="64c5ac8b9438d679bcdfeec9fd00ff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4c5ac8b9438d679bcdfeec9fd00ff73"/>
                    <pic:cNvPicPr>
                      <a:picLocks noChangeAspect="1"/>
                    </pic:cNvPicPr>
                  </pic:nvPicPr>
                  <pic:blipFill>
                    <a:blip r:embed="rId8"/>
                    <a:stretch>
                      <a:fillRect/>
                    </a:stretch>
                  </pic:blipFill>
                  <pic:spPr>
                    <a:xfrm>
                      <a:off x="0" y="0"/>
                      <a:ext cx="6193155" cy="3636010"/>
                    </a:xfrm>
                    <a:prstGeom prst="rect">
                      <a:avLst/>
                    </a:prstGeom>
                  </pic:spPr>
                </pic:pic>
              </a:graphicData>
            </a:graphic>
          </wp:inline>
        </w:drawing>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420" w:leftChars="-495" w:hanging="1459" w:hangingChars="608"/>
        <w:jc w:val="center"/>
        <w:textAlignment w:val="auto"/>
        <w:rPr>
          <w:rFonts w:hint="eastAsia" w:cs="宋体"/>
          <w:sz w:val="24"/>
          <w:szCs w:val="24"/>
          <w:lang w:val="en-US" w:eastAsia="zh-CN"/>
        </w:rPr>
      </w:pPr>
      <w:r>
        <w:rPr>
          <w:rFonts w:hint="eastAsia" w:cs="宋体"/>
          <w:sz w:val="24"/>
          <w:szCs w:val="24"/>
          <w:lang w:val="en-US" w:eastAsia="zh-CN"/>
        </w:rPr>
        <w:t>图5 tableau骑行趋势仪表盘</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cs="宋体"/>
          <w:sz w:val="24"/>
          <w:szCs w:val="24"/>
          <w:lang w:val="en-US" w:eastAsia="zh-CN"/>
        </w:rPr>
      </w:pPr>
      <w:r>
        <w:rPr>
          <w:rFonts w:hint="eastAsia" w:cs="宋体"/>
          <w:sz w:val="24"/>
          <w:szCs w:val="24"/>
          <w:lang w:val="en-US" w:eastAsia="zh-CN"/>
        </w:rPr>
        <w:t xml:space="preserve">  为了方便进行结果分析，本研究在处理时将按人员分类的每周趋势折线走向图以及每日的骑行趋势热力图放在同一仪表盘中并进行微调。</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cs="宋体"/>
          <w:sz w:val="24"/>
          <w:szCs w:val="24"/>
          <w:lang w:val="en-US" w:eastAsia="zh-CN"/>
        </w:rPr>
      </w:pPr>
      <w:r>
        <w:rPr>
          <w:rFonts w:hint="eastAsia" w:cs="宋体"/>
          <w:sz w:val="24"/>
          <w:szCs w:val="24"/>
          <w:lang w:val="en-US" w:eastAsia="zh-CN"/>
        </w:rPr>
        <w:t xml:space="preserve">  这里针对每日骑车趋势进行着重分析，</w:t>
      </w:r>
      <w:r>
        <w:rPr>
          <w:rFonts w:ascii="宋体" w:hAnsi="宋体" w:eastAsia="宋体" w:cs="宋体"/>
          <w:sz w:val="24"/>
          <w:szCs w:val="24"/>
        </w:rPr>
        <w:t>年度会员的骑行高峰高度集中在早高峰（7-9 点）与晚高峰（17-19 点），完全匹配城市通勤作息，时段集中度极高；临时用户的骑行高峰则分散在日间（10-18 点）及晚间休闲时段，无明显早晚通勤高峰，以休闲、旅游、短途出行为主，时段分布更分散、灵活，无固定通勤规律。</w:t>
      </w:r>
      <w:r>
        <w:rPr>
          <w:rFonts w:hint="eastAsia" w:cs="宋体"/>
          <w:sz w:val="24"/>
          <w:szCs w:val="24"/>
          <w:lang w:val="en-US" w:eastAsia="zh-CN"/>
        </w:rPr>
        <w:t>基于此我们可以采用如下措施：</w:t>
      </w:r>
    </w:p>
    <w:p>
      <w:pPr>
        <w:pStyle w:val="2"/>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240" w:leftChars="0" w:firstLine="0" w:firstLineChars="0"/>
        <w:jc w:val="both"/>
        <w:textAlignment w:val="auto"/>
        <w:rPr>
          <w:rFonts w:hint="default" w:cs="宋体"/>
          <w:sz w:val="24"/>
          <w:szCs w:val="24"/>
          <w:lang w:val="en-US" w:eastAsia="zh-CN"/>
        </w:rPr>
      </w:pPr>
      <w:r>
        <w:rPr>
          <w:rFonts w:hint="eastAsia" w:cs="宋体"/>
          <w:sz w:val="24"/>
          <w:szCs w:val="24"/>
          <w:lang w:val="en-US" w:eastAsia="zh-CN"/>
        </w:rPr>
        <w:t>分时段精准投放，触达活跃用户：</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cs="宋体"/>
          <w:sz w:val="24"/>
          <w:szCs w:val="24"/>
          <w:lang w:val="en-US" w:eastAsia="zh-CN"/>
        </w:rPr>
      </w:pPr>
      <w:r>
        <w:rPr>
          <w:rFonts w:hint="eastAsia" w:cs="宋体"/>
          <w:sz w:val="24"/>
          <w:szCs w:val="24"/>
          <w:lang w:val="en-US" w:eastAsia="zh-CN"/>
        </w:rPr>
        <w:t>针对临时用户的周末、日间出行高峰，在周末10-18点的休闲时段，通过短视频平台、本地生活 APP、骑行社群等渠道，投放会员转化广告，精准触达活跃的临时用户群体，提升曝光效率与转化精准度。</w:t>
      </w:r>
    </w:p>
    <w:p>
      <w:pPr>
        <w:pStyle w:val="2"/>
        <w:keepNext w:val="0"/>
        <w:keepLines w:val="0"/>
        <w:pageBreakBefore w:val="0"/>
        <w:widowControl/>
        <w:numPr>
          <w:ilvl w:val="0"/>
          <w:numId w:val="5"/>
        </w:numPr>
        <w:suppressLineNumbers w:val="0"/>
        <w:kinsoku/>
        <w:wordWrap/>
        <w:overflowPunct/>
        <w:topLinePunct w:val="0"/>
        <w:autoSpaceDE/>
        <w:autoSpaceDN/>
        <w:bidi w:val="0"/>
        <w:adjustRightInd/>
        <w:snapToGrid/>
        <w:spacing w:line="360" w:lineRule="auto"/>
        <w:ind w:left="240" w:leftChars="0" w:firstLine="0" w:firstLineChars="0"/>
        <w:jc w:val="both"/>
        <w:textAlignment w:val="auto"/>
        <w:rPr>
          <w:rFonts w:hint="eastAsia" w:cs="宋体"/>
          <w:sz w:val="24"/>
          <w:szCs w:val="24"/>
          <w:lang w:val="en-US" w:eastAsia="zh-CN"/>
        </w:rPr>
      </w:pPr>
      <w:r>
        <w:rPr>
          <w:rFonts w:hint="eastAsia" w:cs="宋体"/>
          <w:sz w:val="24"/>
          <w:szCs w:val="24"/>
          <w:lang w:val="en-US" w:eastAsia="zh-CN"/>
        </w:rPr>
        <w:t>个性化权益推送，实现场景内即时转化：</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cs="宋体"/>
          <w:sz w:val="24"/>
          <w:szCs w:val="24"/>
          <w:lang w:val="en-US" w:eastAsia="zh-CN"/>
        </w:rPr>
      </w:pPr>
      <w:r>
        <w:rPr>
          <w:rFonts w:hint="eastAsia" w:cs="宋体"/>
          <w:sz w:val="24"/>
          <w:szCs w:val="24"/>
          <w:lang w:val="en-US" w:eastAsia="zh-CN"/>
        </w:rPr>
        <w:t>基于用户骑行数据，针对高频临时用户，例如：周末多次骑行、长时长骑行用户，通过 APP、短信推送专属会员优惠（如首月半价、周末骑行会员折扣）                      针对热门景点、交通枢纽的临时用户，推送扫码立享会员体验券，实现场景内即时转化。</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textAlignment w:val="auto"/>
        <w:rPr>
          <w:rFonts w:hint="default" w:cs="宋体"/>
          <w:sz w:val="24"/>
          <w:szCs w:val="24"/>
          <w:lang w:val="en-US" w:eastAsia="zh-CN"/>
        </w:rPr>
      </w:pPr>
      <w:r>
        <w:rPr>
          <w:rFonts w:hint="eastAsia" w:cs="宋体"/>
          <w:sz w:val="24"/>
          <w:szCs w:val="24"/>
          <w:lang w:val="en-US" w:eastAsia="zh-CN"/>
        </w:rPr>
        <w:t>4.统计量及车辆类型偏好</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0" w:leftChars="0" w:firstLine="0" w:firstLineChars="0"/>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5630545" cy="4500245"/>
            <wp:effectExtent l="0" t="0" r="8255" b="10795"/>
            <wp:docPr id="6" name="图片 6" descr="fc74d17d091c612074345953f2b9f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c74d17d091c612074345953f2b9ffc0"/>
                    <pic:cNvPicPr>
                      <a:picLocks noChangeAspect="1"/>
                    </pic:cNvPicPr>
                  </pic:nvPicPr>
                  <pic:blipFill>
                    <a:blip r:embed="rId9"/>
                    <a:stretch>
                      <a:fillRect/>
                    </a:stretch>
                  </pic:blipFill>
                  <pic:spPr>
                    <a:xfrm>
                      <a:off x="0" y="0"/>
                      <a:ext cx="5630545" cy="4500245"/>
                    </a:xfrm>
                    <a:prstGeom prst="rect">
                      <a:avLst/>
                    </a:prstGeom>
                  </pic:spPr>
                </pic:pic>
              </a:graphicData>
            </a:graphic>
          </wp:inline>
        </w:drawing>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cs="宋体"/>
          <w:sz w:val="24"/>
          <w:szCs w:val="24"/>
          <w:lang w:val="en-US" w:eastAsia="zh-CN"/>
        </w:rPr>
      </w:pPr>
      <w:r>
        <w:rPr>
          <w:rFonts w:hint="eastAsia" w:cs="宋体"/>
          <w:sz w:val="24"/>
          <w:szCs w:val="24"/>
          <w:lang w:val="en-US" w:eastAsia="zh-CN"/>
        </w:rPr>
        <w:t>图6 tableau仪表盘2</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本研究通过两组可视化图表，从骑行时长特征与车辆类型偏好两个核心维度，对比 Cyclistic 年度会员（member）与临时用户（casual）的骑行行为差异：</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左侧为骑行时长统计柱状图：分为上下两个子图，分别呈现两类用户的中位数骑行时长与平均值骑行时长（单位：秒），直观反映单次骑行的时长集中趋势与分布特征。</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右侧为车辆类型偏好堆叠柱状图：以骑行 ID 计数为纵轴，堆叠展示三类车型（classic_bike经典单车、docked_bike桩式单车、electric_bike电动单车）的使用占比，清晰呈现用户的车型选择结构。</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由于左侧图表内所包含的统计量已经在数据分析中提及过了，因此在此我们着重对车辆类型偏好的角度进行分析。</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从堆叠柱状图的结构可见，三类车型中，electric_bike（电动单车）的总骑行量最高，占据总骑行量的主体；classic_bike（经典单车）为第二大常用车型；docked_bike（桩式单车）的使用占比极低，仅为补充选项。结合两类用户的骑行时长特征可推知：临时用户因单次骑行时长久，更偏好省力的电动单车，以满足休闲、长距离出行需求；年度会员因单次骑行时长短，更偏好经典单车，适配日常通勤的短距离、高频次需求。</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结合两类用户的行为差异与临时用户的核心特征（长时长骑行、偏好电动单车、休闲出行属性），通过数字媒体精准触达、场景化营销，制定针对性转化策略：</w:t>
      </w:r>
    </w:p>
    <w:p>
      <w:pPr>
        <w:pStyle w:val="2"/>
        <w:keepNext w:val="0"/>
        <w:keepLines w:val="0"/>
        <w:pageBreakBefore w:val="0"/>
        <w:widowControl/>
        <w:numPr>
          <w:ilvl w:val="0"/>
          <w:numId w:val="6"/>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 xml:space="preserve">电动单车专属权益营销：围绕临时用户对电动单车的偏好，推出 “电动单车会员专属套餐”，通过数字媒体推送电动单车会员折扣、免押金、优先用车、免费升级等权益，精准触达偏好电动单车的临时用户群体，提升转化吸引力。  </w:t>
      </w:r>
    </w:p>
    <w:p>
      <w:pPr>
        <w:pStyle w:val="2"/>
        <w:keepNext w:val="0"/>
        <w:keepLines w:val="0"/>
        <w:pageBreakBefore w:val="0"/>
        <w:widowControl/>
        <w:numPr>
          <w:ilvl w:val="0"/>
          <w:numId w:val="6"/>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cs="宋体"/>
          <w:sz w:val="24"/>
          <w:szCs w:val="24"/>
          <w:lang w:val="en-US" w:eastAsia="zh-CN"/>
        </w:rPr>
      </w:pPr>
      <w:r>
        <w:rPr>
          <w:rFonts w:hint="eastAsia" w:cs="宋体"/>
          <w:sz w:val="24"/>
          <w:szCs w:val="24"/>
          <w:lang w:val="en-US" w:eastAsia="zh-CN"/>
        </w:rPr>
        <w:t>场景化内容营销：围绕临时用户的休闲出行场景（城市漫游、景点打卡、周末出游），制作 “会员专属骑行路线”“电动单车会员出行体验” 等内容，通过短视频、小红书等平台传播，强化临时用户对会员权益的场景共鸣，提升转化意愿。</w:t>
      </w:r>
    </w:p>
    <w:p>
      <w:pPr>
        <w:pStyle w:val="2"/>
        <w:keepNext w:val="0"/>
        <w:keepLines w:val="0"/>
        <w:pageBreakBefore w:val="0"/>
        <w:widowControl/>
        <w:numPr>
          <w:ilvl w:val="0"/>
          <w:numId w:val="6"/>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default" w:cs="宋体"/>
          <w:sz w:val="24"/>
          <w:szCs w:val="24"/>
          <w:lang w:val="en-US" w:eastAsia="zh-CN"/>
        </w:rPr>
      </w:pPr>
      <w:r>
        <w:rPr>
          <w:rFonts w:hint="eastAsia" w:cs="宋体"/>
          <w:sz w:val="24"/>
          <w:szCs w:val="24"/>
          <w:lang w:val="en-US" w:eastAsia="zh-CN"/>
        </w:rPr>
        <w:t>车型升级权益营销：针对临时用户对电动单车的需求，推出 “会员专属电动单车升级权益”，如会员可免费升级电动单车、享受电动单车优先调度等，通过数字媒体宣传，吸引临时用户为了更好的车型体验转化为会员。</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cs="宋体"/>
          <w:sz w:val="24"/>
          <w:szCs w:val="24"/>
          <w:lang w:val="en-US" w:eastAsia="zh-CN"/>
        </w:rPr>
      </w:pPr>
    </w:p>
    <w:p>
      <w:pPr>
        <w:pStyle w:val="2"/>
        <w:keepNext w:val="0"/>
        <w:keepLines w:val="0"/>
        <w:pageBreakBefore w:val="0"/>
        <w:widowControl/>
        <w:numPr>
          <w:ilvl w:val="0"/>
          <w:numId w:val="7"/>
        </w:numPr>
        <w:suppressLineNumbers w:val="0"/>
        <w:kinsoku/>
        <w:wordWrap/>
        <w:overflowPunct/>
        <w:topLinePunct w:val="0"/>
        <w:autoSpaceDE/>
        <w:autoSpaceDN/>
        <w:bidi w:val="0"/>
        <w:adjustRightInd/>
        <w:snapToGrid/>
        <w:spacing w:line="360" w:lineRule="auto"/>
        <w:jc w:val="both"/>
        <w:textAlignment w:val="auto"/>
        <w:rPr>
          <w:rFonts w:hint="eastAsia" w:cs="宋体"/>
          <w:sz w:val="28"/>
          <w:szCs w:val="28"/>
          <w:lang w:val="en-US" w:eastAsia="zh-CN"/>
        </w:rPr>
      </w:pPr>
      <w:r>
        <w:rPr>
          <w:rFonts w:hint="eastAsia" w:cs="宋体"/>
          <w:sz w:val="28"/>
          <w:szCs w:val="28"/>
          <w:lang w:val="en-US" w:eastAsia="zh-CN"/>
        </w:rPr>
        <w:t>总结</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本研究基于 Cyclistic 共享单车 2022—2023 年全年骑行数据，通过数据清洗、特征工程、SQL 统计分析与 Tableau 可视化建模，系统解析了年度会员与临时用户的骑行行为差异，并围绕转化目标形成针对性的数字媒体营销策略，为企业实现用户结构优化与盈利提升提供数据支撑与决策依据。</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针对研究核心问题，结论如下：</w:t>
      </w:r>
    </w:p>
    <w:p>
      <w:pPr>
        <w:pStyle w:val="2"/>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年度会员与临时用户在共享单车使用方式上存在显著的行为分异。</w:t>
      </w:r>
    </w:p>
    <w:p>
      <w:pPr>
        <w:pStyle w:val="2"/>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在时间使用特征上，年度会员骑行集中于工作日，早晚高峰（7—9 点、17—19 点）呈现典型通勤峰值，骑行频次稳定且时段集中度高；临时用户骑行高度集中于周末，日间休闲时段（10—18 点）为主要活跃区间，无明显通勤规律，骑行随机性与场景化特征突出。</w:t>
      </w:r>
    </w:p>
    <w:p>
      <w:pPr>
        <w:pStyle w:val="2"/>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在骑行时长特征上，临时用户平均骑行时长与中位数骑行时长均显著高于年度会员，长时骑行占比更高，时长分布呈明显右偏态。</w:t>
      </w:r>
    </w:p>
    <w:p>
      <w:pPr>
        <w:pStyle w:val="2"/>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在车辆类型偏好上，临时用户对电动单车的使用比例高于年度会员，更倾向选择便捷省力的车型以适配休闲出行需求；年度会员则以经典单车为主要选择，契合短途通勤的使用场景。</w:t>
      </w:r>
    </w:p>
    <w:p>
      <w:pPr>
        <w:pStyle w:val="2"/>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宋体"/>
          <w:sz w:val="24"/>
          <w:szCs w:val="24"/>
          <w:lang w:val="en-US" w:eastAsia="zh-CN"/>
        </w:rPr>
      </w:pPr>
      <w:r>
        <w:rPr>
          <w:rFonts w:hint="eastAsia" w:cs="宋体"/>
          <w:sz w:val="24"/>
          <w:szCs w:val="24"/>
          <w:lang w:val="en-US" w:eastAsia="zh-CN"/>
        </w:rPr>
        <w:t>临时用户具备转化为年度会员的核心动机与现实基础。</w:t>
      </w:r>
    </w:p>
    <w:p>
      <w:pPr>
        <w:pStyle w:val="2"/>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从成本效益角度，临时用户中大量长时骑行（超过 1800 秒）群体的单次骑行成本已接近或超过会员日均成本，会员订阅可显著降低长期出行成本，具备明确的经济激励。</w:t>
      </w:r>
    </w:p>
    <w:p>
      <w:pPr>
        <w:pStyle w:val="2"/>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从需求匹配角度，临时用户以周末休闲、城市观光、景点漫游为核心出行目的，对高频次、长时长、多场景骑行存在稳定需求，会员所提供的无限次骑行、专属权益与用车保障可精准满足该类需求。从体验升级角度，临时用户对电动单车的偏好显著，会员专属的电动车优先使用、免费升级等权益，可进一步提升骑行体验，构成转化的重要驱动力。</w:t>
      </w:r>
    </w:p>
    <w:p>
      <w:pPr>
        <w:pStyle w:val="2"/>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cs="宋体"/>
          <w:sz w:val="24"/>
          <w:szCs w:val="24"/>
          <w:lang w:val="en-US" w:eastAsia="zh-CN"/>
        </w:rPr>
      </w:pPr>
      <w:r>
        <w:rPr>
          <w:rFonts w:hint="eastAsia" w:cs="宋体"/>
          <w:sz w:val="24"/>
          <w:szCs w:val="24"/>
          <w:lang w:val="en-US" w:eastAsia="zh-CN"/>
        </w:rPr>
        <w:t>Cyclistic 可通过精准化、场景化的数字媒体策略实现临时用户高效转化。</w:t>
      </w:r>
    </w:p>
    <w:p>
      <w:pPr>
        <w:pStyle w:val="2"/>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依托用户行为数据洞察，企业应聚焦临时用户周末日间的活跃时段，在短视频平台、本地生活应用、骑行社群与 APP 内开展分时段精准投放；</w:t>
      </w:r>
    </w:p>
    <w:p>
      <w:pPr>
        <w:pStyle w:val="2"/>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围绕周末休闲、城市漫游、电动骑行等核心场景，制作会员性价比对比、专属骑行路线、权益套餐等内容，强化场景共鸣；</w:t>
      </w:r>
    </w:p>
    <w:p>
      <w:pPr>
        <w:pStyle w:val="2"/>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针对高频临时用户、长时骑行用户与热门站点活跃用户，通过个性化推送实现首月半价、周末专属折扣、电动车会员套餐等即时转化；</w:t>
      </w:r>
    </w:p>
    <w:p>
      <w:pPr>
        <w:pStyle w:val="2"/>
        <w:keepNext w:val="0"/>
        <w:keepLines w:val="0"/>
        <w:pageBreakBefore w:val="0"/>
        <w:widowControl/>
        <w:numPr>
          <w:ilvl w:val="0"/>
          <w:numId w:val="11"/>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同时结合电动单车偏好推出专属会员权益，依托骑行社群打造会员身份认同，形成全链路、多维度的数字媒体转化体系。</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80" w:firstLineChars="200"/>
        <w:jc w:val="both"/>
        <w:textAlignment w:val="auto"/>
        <w:rPr>
          <w:rFonts w:hint="eastAsia" w:cs="宋体"/>
          <w:sz w:val="24"/>
          <w:szCs w:val="24"/>
          <w:lang w:val="en-US" w:eastAsia="zh-CN"/>
        </w:rPr>
      </w:pPr>
      <w:r>
        <w:rPr>
          <w:rFonts w:hint="eastAsia" w:cs="宋体"/>
          <w:sz w:val="24"/>
          <w:szCs w:val="24"/>
          <w:lang w:val="en-US" w:eastAsia="zh-CN"/>
        </w:rPr>
        <w:t>综上，本研究通过数据驱动的分析方法，明确了两类用户的行为差异与转化逻辑，所提出的策略兼具针对性与可操作性，能够有效支撑 Cyclistic 将临时用户转化为年度会员的核心业务目标，助力企业优化用户结构、提升长期盈利能力与市场竞争力。</w:t>
      </w:r>
    </w:p>
    <w:p>
      <w:pPr>
        <w:pStyle w:val="2"/>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default"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CF8F5BC"/>
    <w:multiLevelType w:val="singleLevel"/>
    <w:tmpl w:val="9CF8F5BC"/>
    <w:lvl w:ilvl="0" w:tentative="0">
      <w:start w:val="1"/>
      <w:numFmt w:val="decimal"/>
      <w:suff w:val="nothing"/>
      <w:lvlText w:val="（%1）"/>
      <w:lvlJc w:val="left"/>
    </w:lvl>
  </w:abstractNum>
  <w:abstractNum w:abstractNumId="1">
    <w:nsid w:val="9EE8C146"/>
    <w:multiLevelType w:val="singleLevel"/>
    <w:tmpl w:val="9EE8C146"/>
    <w:lvl w:ilvl="0" w:tentative="0">
      <w:start w:val="1"/>
      <w:numFmt w:val="decimal"/>
      <w:suff w:val="nothing"/>
      <w:lvlText w:val="（%1）"/>
      <w:lvlJc w:val="left"/>
    </w:lvl>
  </w:abstractNum>
  <w:abstractNum w:abstractNumId="2">
    <w:nsid w:val="C43B8AB1"/>
    <w:multiLevelType w:val="singleLevel"/>
    <w:tmpl w:val="C43B8AB1"/>
    <w:lvl w:ilvl="0" w:tentative="0">
      <w:start w:val="1"/>
      <w:numFmt w:val="decimal"/>
      <w:suff w:val="nothing"/>
      <w:lvlText w:val="（%1）"/>
      <w:lvlJc w:val="left"/>
    </w:lvl>
  </w:abstractNum>
  <w:abstractNum w:abstractNumId="3">
    <w:nsid w:val="F8C03700"/>
    <w:multiLevelType w:val="singleLevel"/>
    <w:tmpl w:val="F8C03700"/>
    <w:lvl w:ilvl="0" w:tentative="0">
      <w:start w:val="4"/>
      <w:numFmt w:val="chineseCounting"/>
      <w:suff w:val="nothing"/>
      <w:lvlText w:val="%1，"/>
      <w:lvlJc w:val="left"/>
      <w:rPr>
        <w:rFonts w:hint="eastAsia"/>
      </w:rPr>
    </w:lvl>
  </w:abstractNum>
  <w:abstractNum w:abstractNumId="4">
    <w:nsid w:val="14E4830E"/>
    <w:multiLevelType w:val="singleLevel"/>
    <w:tmpl w:val="14E4830E"/>
    <w:lvl w:ilvl="0" w:tentative="0">
      <w:start w:val="1"/>
      <w:numFmt w:val="chineseCounting"/>
      <w:suff w:val="nothing"/>
      <w:lvlText w:val="%1．"/>
      <w:lvlJc w:val="left"/>
      <w:rPr>
        <w:rFonts w:hint="eastAsia"/>
      </w:rPr>
    </w:lvl>
  </w:abstractNum>
  <w:abstractNum w:abstractNumId="5">
    <w:nsid w:val="24AC7F3C"/>
    <w:multiLevelType w:val="singleLevel"/>
    <w:tmpl w:val="24AC7F3C"/>
    <w:lvl w:ilvl="0" w:tentative="0">
      <w:start w:val="1"/>
      <w:numFmt w:val="chineseCounting"/>
      <w:suff w:val="nothing"/>
      <w:lvlText w:val="第%1，"/>
      <w:lvlJc w:val="left"/>
      <w:rPr>
        <w:rFonts w:hint="eastAsia"/>
      </w:rPr>
    </w:lvl>
  </w:abstractNum>
  <w:abstractNum w:abstractNumId="6">
    <w:nsid w:val="4F1B8769"/>
    <w:multiLevelType w:val="singleLevel"/>
    <w:tmpl w:val="4F1B8769"/>
    <w:lvl w:ilvl="0" w:tentative="0">
      <w:start w:val="1"/>
      <w:numFmt w:val="decimal"/>
      <w:suff w:val="nothing"/>
      <w:lvlText w:val="（%1）"/>
      <w:lvlJc w:val="left"/>
      <w:pPr>
        <w:ind w:left="240" w:leftChars="0" w:firstLine="0" w:firstLineChars="0"/>
      </w:pPr>
    </w:lvl>
  </w:abstractNum>
  <w:abstractNum w:abstractNumId="7">
    <w:nsid w:val="5AFAF150"/>
    <w:multiLevelType w:val="singleLevel"/>
    <w:tmpl w:val="5AFAF150"/>
    <w:lvl w:ilvl="0" w:tentative="0">
      <w:start w:val="1"/>
      <w:numFmt w:val="decimal"/>
      <w:lvlText w:val="%1."/>
      <w:lvlJc w:val="left"/>
      <w:pPr>
        <w:tabs>
          <w:tab w:val="left" w:pos="312"/>
        </w:tabs>
      </w:pPr>
    </w:lvl>
  </w:abstractNum>
  <w:abstractNum w:abstractNumId="8">
    <w:nsid w:val="5E5E5260"/>
    <w:multiLevelType w:val="singleLevel"/>
    <w:tmpl w:val="5E5E5260"/>
    <w:lvl w:ilvl="0" w:tentative="0">
      <w:start w:val="1"/>
      <w:numFmt w:val="decimal"/>
      <w:suff w:val="nothing"/>
      <w:lvlText w:val="（%1）"/>
      <w:lvlJc w:val="left"/>
    </w:lvl>
  </w:abstractNum>
  <w:abstractNum w:abstractNumId="9">
    <w:nsid w:val="712AAAED"/>
    <w:multiLevelType w:val="singleLevel"/>
    <w:tmpl w:val="712AAAED"/>
    <w:lvl w:ilvl="0" w:tentative="0">
      <w:start w:val="1"/>
      <w:numFmt w:val="decimal"/>
      <w:lvlText w:val="%1."/>
      <w:lvlJc w:val="left"/>
      <w:pPr>
        <w:tabs>
          <w:tab w:val="left" w:pos="312"/>
        </w:tabs>
      </w:pPr>
    </w:lvl>
  </w:abstractNum>
  <w:abstractNum w:abstractNumId="10">
    <w:nsid w:val="7A1487D0"/>
    <w:multiLevelType w:val="singleLevel"/>
    <w:tmpl w:val="7A1487D0"/>
    <w:lvl w:ilvl="0" w:tentative="0">
      <w:start w:val="1"/>
      <w:numFmt w:val="decimal"/>
      <w:suff w:val="nothing"/>
      <w:lvlText w:val="（%1）"/>
      <w:lvlJc w:val="left"/>
    </w:lvl>
  </w:abstractNum>
  <w:num w:numId="1">
    <w:abstractNumId w:val="4"/>
  </w:num>
  <w:num w:numId="2">
    <w:abstractNumId w:val="7"/>
  </w:num>
  <w:num w:numId="3">
    <w:abstractNumId w:val="9"/>
  </w:num>
  <w:num w:numId="4">
    <w:abstractNumId w:val="0"/>
  </w:num>
  <w:num w:numId="5">
    <w:abstractNumId w:val="6"/>
  </w:num>
  <w:num w:numId="6">
    <w:abstractNumId w:val="2"/>
  </w:num>
  <w:num w:numId="7">
    <w:abstractNumId w:val="3"/>
  </w:num>
  <w:num w:numId="8">
    <w:abstractNumId w:val="5"/>
  </w:num>
  <w:num w:numId="9">
    <w:abstractNumId w:val="10"/>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8256DA"/>
    <w:rsid w:val="39ED192E"/>
    <w:rsid w:val="3B7742F2"/>
    <w:rsid w:val="45BF583D"/>
    <w:rsid w:val="59910526"/>
    <w:rsid w:val="5FAC3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rPr>
      <w:sz w:val="24"/>
    </w:rPr>
  </w:style>
  <w:style w:type="character" w:styleId="6">
    <w:name w:val="Strong"/>
    <w:basedOn w:val="5"/>
    <w:qFormat/>
    <w:uiPriority w:val="0"/>
    <w:rPr>
      <w:b/>
    </w:rPr>
  </w:style>
  <w:style w:type="character" w:styleId="7">
    <w:name w:val="HTML Code"/>
    <w:basedOn w:val="5"/>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Office_11.8.2.8808_F1E327BC-269C-435d-A152-05C5408002CA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2026-04-07T12:02:00Z</dcterms:created>
  <dc:creator>区凯丽</dc:creator>
  <cp:lastModifiedBy>区凯丽</cp:lastModifiedBy>
  <dcterms:modified xsi:type="dcterms:W3CDTF">2026-04-14T13:54:29Z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