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12B" w:rsidRPr="00FD76F7" w:rsidRDefault="00F3312B" w:rsidP="00F3312B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F3312B" w:rsidRPr="00FD76F7" w:rsidRDefault="00F3312B" w:rsidP="00F3312B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9.25pt" o:ole="">
            <v:imagedata r:id="rId4" o:title=""/>
          </v:shape>
          <o:OLEObject Type="Embed" ProgID="CorelDRAW.Graphic.13" ShapeID="_x0000_i1025" DrawAspect="Content" ObjectID="_1792345833" r:id="rId5"/>
        </w:object>
      </w:r>
    </w:p>
    <w:p w:rsidR="00F3312B" w:rsidRPr="00FD76F7" w:rsidRDefault="00F3312B" w:rsidP="00F3312B">
      <w:pPr>
        <w:spacing w:line="240" w:lineRule="auto"/>
        <w:ind w:firstLine="2"/>
        <w:jc w:val="center"/>
        <w:rPr>
          <w:rFonts w:cs="Times New Roman"/>
        </w:rPr>
      </w:pPr>
    </w:p>
    <w:p w:rsidR="00F3312B" w:rsidRPr="00FD76F7" w:rsidRDefault="00F3312B" w:rsidP="00F3312B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F3312B" w:rsidRDefault="00F3312B" w:rsidP="00F3312B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:rsidR="00F3312B" w:rsidRPr="00CA782F" w:rsidRDefault="00F3312B" w:rsidP="00F3312B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:rsidR="00F3312B" w:rsidRPr="00FD76F7" w:rsidRDefault="00F3312B" w:rsidP="00F3312B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F3312B" w:rsidRDefault="00F3312B" w:rsidP="00F3312B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F3312B" w:rsidRPr="00CA782F" w:rsidRDefault="00F3312B" w:rsidP="00F3312B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:rsidR="00F3312B" w:rsidRPr="00CA782F" w:rsidRDefault="00F3312B" w:rsidP="00F3312B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:rsidR="00F3312B" w:rsidRPr="00CA782F" w:rsidRDefault="00F3312B" w:rsidP="00F3312B">
      <w:pPr>
        <w:spacing w:line="240" w:lineRule="auto"/>
        <w:ind w:firstLine="0"/>
        <w:jc w:val="center"/>
        <w:rPr>
          <w:rFonts w:cs="Times New Roman"/>
          <w:b/>
          <w:bCs/>
        </w:rPr>
      </w:pPr>
      <w:r w:rsidRPr="00CA782F">
        <w:rPr>
          <w:rFonts w:cs="Times New Roman"/>
          <w:b/>
          <w:bCs/>
        </w:rPr>
        <w:t>Лабораторная работа №1</w:t>
      </w:r>
    </w:p>
    <w:p w:rsidR="00F3312B" w:rsidRPr="00FD76F7" w:rsidRDefault="00F3312B" w:rsidP="00F3312B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F3312B" w:rsidRPr="00FD76F7" w:rsidRDefault="00F3312B" w:rsidP="00F3312B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F3312B" w:rsidRPr="00EB0F6C" w:rsidTr="003641E5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3312B" w:rsidRPr="00EB0F6C" w:rsidRDefault="00F3312B" w:rsidP="003641E5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Теплообмен</w:t>
            </w:r>
          </w:p>
        </w:tc>
      </w:tr>
      <w:tr w:rsidR="00F3312B" w:rsidRPr="00EB0F6C" w:rsidTr="003641E5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:rsidR="00F3312B" w:rsidRDefault="00F3312B" w:rsidP="00F3312B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F3312B" w:rsidRPr="00EB0F6C" w:rsidRDefault="00F3312B" w:rsidP="00F3312B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F3312B" w:rsidRPr="00EB0F6C" w:rsidTr="003641E5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3312B" w:rsidRPr="00CA782F" w:rsidRDefault="00F3312B" w:rsidP="003641E5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3312B" w:rsidRPr="00EB0F6C" w:rsidRDefault="00F3312B" w:rsidP="003641E5">
            <w:pPr>
              <w:spacing w:line="240" w:lineRule="auto"/>
              <w:ind w:right="-10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Определение коэффициента теплоотдачи при свободном движении воздуха</w:t>
            </w:r>
          </w:p>
        </w:tc>
      </w:tr>
    </w:tbl>
    <w:p w:rsidR="00F3312B" w:rsidRDefault="00F3312B" w:rsidP="00F3312B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F3312B" w:rsidRPr="00EB0F6C" w:rsidRDefault="00F3312B" w:rsidP="00F3312B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F3312B" w:rsidRPr="00EB0F6C" w:rsidTr="003641E5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F3312B" w:rsidRPr="00EB0F6C" w:rsidRDefault="00F3312B" w:rsidP="003641E5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12B" w:rsidRPr="00EB0F6C" w:rsidRDefault="00F3312B" w:rsidP="003641E5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3312B" w:rsidRPr="00EB0F6C" w:rsidRDefault="00F3312B" w:rsidP="003641E5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F3312B" w:rsidRPr="00EB0F6C" w:rsidTr="003641E5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F3312B" w:rsidRPr="00EB0F6C" w:rsidTr="003641E5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F3312B" w:rsidRPr="00EB0F6C" w:rsidRDefault="00F3312B" w:rsidP="00F3312B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F3312B" w:rsidRPr="00EB0F6C" w:rsidTr="003641E5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3312B" w:rsidRPr="00EB0F6C" w:rsidRDefault="00F3312B" w:rsidP="003641E5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F3312B" w:rsidRPr="00EB0F6C" w:rsidTr="003641E5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3312B" w:rsidRPr="00EB0F6C" w:rsidRDefault="00F3312B" w:rsidP="00F3312B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:rsidR="00F3312B" w:rsidRPr="00EB0F6C" w:rsidRDefault="00F3312B" w:rsidP="00F3312B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7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1865"/>
        <w:gridCol w:w="374"/>
        <w:gridCol w:w="1446"/>
        <w:gridCol w:w="425"/>
        <w:gridCol w:w="2409"/>
      </w:tblGrid>
      <w:tr w:rsidR="00F3312B" w:rsidRPr="00EB0F6C" w:rsidTr="003641E5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3312B" w:rsidRPr="00CA782F" w:rsidRDefault="00F3312B" w:rsidP="003641E5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:rsidR="00F3312B" w:rsidRPr="00EB0F6C" w:rsidRDefault="00F3312B" w:rsidP="003641E5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ассистент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F3312B" w:rsidRPr="00CA782F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CA782F">
              <w:rPr>
                <w:rFonts w:eastAsia="Times New Roman" w:cs="Times New Roman"/>
                <w:szCs w:val="28"/>
                <w:lang w:eastAsia="ru-RU"/>
              </w:rPr>
              <w:t>Лебедик</w:t>
            </w:r>
            <w:proofErr w:type="spellEnd"/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 Е.А.</w:t>
            </w:r>
          </w:p>
        </w:tc>
      </w:tr>
      <w:tr w:rsidR="00F3312B" w:rsidRPr="00EB0F6C" w:rsidTr="003641E5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3312B" w:rsidRPr="00EB0F6C" w:rsidRDefault="00F3312B" w:rsidP="003641E5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F3312B" w:rsidRPr="00EB0F6C" w:rsidRDefault="00F3312B" w:rsidP="003641E5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:rsidR="00F3312B" w:rsidRPr="00FD76F7" w:rsidRDefault="00F3312B" w:rsidP="00F3312B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F3312B" w:rsidRPr="00FD76F7" w:rsidRDefault="00F3312B" w:rsidP="00F3312B">
      <w:pPr>
        <w:spacing w:line="240" w:lineRule="auto"/>
        <w:ind w:firstLine="108"/>
        <w:rPr>
          <w:rFonts w:cs="Times New Roman"/>
          <w:sz w:val="24"/>
          <w:szCs w:val="24"/>
        </w:rPr>
      </w:pPr>
    </w:p>
    <w:p w:rsidR="00F3312B" w:rsidRPr="00FD76F7" w:rsidRDefault="00F3312B" w:rsidP="00F3312B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F3312B" w:rsidRDefault="00F3312B" w:rsidP="00F3312B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F3312B" w:rsidRDefault="00F3312B" w:rsidP="00F3312B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:rsidR="00F3312B" w:rsidRDefault="00F3312B" w:rsidP="00F3312B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F3312B" w:rsidRPr="00FD76F7" w:rsidRDefault="00F3312B" w:rsidP="00F3312B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F3312B" w:rsidRDefault="00F3312B" w:rsidP="00F3312B">
      <w:pPr>
        <w:jc w:val="center"/>
      </w:pPr>
      <w:r w:rsidRPr="00FD76F7">
        <w:t>Санкт-Петербург</w:t>
      </w:r>
      <w:r>
        <w:t xml:space="preserve"> </w:t>
      </w:r>
    </w:p>
    <w:p w:rsidR="00F3312B" w:rsidRDefault="00F3312B" w:rsidP="00F3312B">
      <w:pPr>
        <w:jc w:val="center"/>
      </w:pPr>
      <w:r>
        <w:t>2024</w:t>
      </w:r>
      <w:r>
        <w:br w:type="page"/>
      </w:r>
    </w:p>
    <w:p w:rsidR="00080FF6" w:rsidRDefault="00F3312B" w:rsidP="00F3312B">
      <w:pPr>
        <w:pStyle w:val="a4"/>
      </w:pPr>
      <w:r>
        <w:lastRenderedPageBreak/>
        <w:t xml:space="preserve">Цель работы </w:t>
      </w:r>
    </w:p>
    <w:p w:rsidR="00F3312B" w:rsidRDefault="00F3312B" w:rsidP="00F3312B">
      <w:r>
        <w:t>Определение коэффициента теплоотдачи при свободной конвекции воздуха вблизи горизонтальной трубы.</w:t>
      </w:r>
    </w:p>
    <w:p w:rsidR="00F3312B" w:rsidRDefault="00F3312B" w:rsidP="00F3312B">
      <w:pPr>
        <w:pStyle w:val="a4"/>
      </w:pPr>
      <w:r>
        <w:t>Основные теоретические сведения</w:t>
      </w:r>
    </w:p>
    <w:p w:rsidR="00F3312B" w:rsidRPr="009F5DA9" w:rsidRDefault="00F3312B" w:rsidP="009F5DA9">
      <w:pPr>
        <w:rPr>
          <w:szCs w:val="28"/>
        </w:rPr>
      </w:pPr>
      <w:r w:rsidRPr="009F5DA9">
        <w:rPr>
          <w:szCs w:val="28"/>
        </w:rPr>
        <w:t>Процесс конвективного теплообмена между поверхностью твердого тела и окружающей средой (жидкостью, газом) подчиняется весьма сложным закономерностям. Интенсивность этого процесса зависит от многих параметров, характеризующих свойства, состояние и режим перемещения среды, а также форму и размеры твердого тела. Так как математическое описание процесса конвективного теплообмена встречает непреодолимые затруднения, при его изучении за основу принимают более простую общую закономерность, называемую уравнением Ньютона-</w:t>
      </w:r>
      <w:proofErr w:type="spellStart"/>
      <w:r w:rsidRPr="009F5DA9">
        <w:rPr>
          <w:szCs w:val="28"/>
        </w:rPr>
        <w:t>Рихмана</w:t>
      </w:r>
      <w:proofErr w:type="spellEnd"/>
      <w:r w:rsidRPr="009F5DA9">
        <w:rPr>
          <w:szCs w:val="28"/>
        </w:rPr>
        <w:t>.</w:t>
      </w:r>
    </w:p>
    <w:p w:rsidR="00F3312B" w:rsidRPr="009F5DA9" w:rsidRDefault="00F3312B" w:rsidP="009F5DA9">
      <w:pPr>
        <w:rPr>
          <w:szCs w:val="28"/>
        </w:rPr>
      </w:pPr>
      <w:r w:rsidRPr="009F5DA9">
        <w:rPr>
          <w:szCs w:val="28"/>
        </w:rPr>
        <w:t xml:space="preserve">Согласно закону Ньютона (1643-1717) и </w:t>
      </w:r>
      <w:proofErr w:type="spellStart"/>
      <w:r w:rsidRPr="009F5DA9">
        <w:rPr>
          <w:szCs w:val="28"/>
        </w:rPr>
        <w:t>Рихмана</w:t>
      </w:r>
      <w:proofErr w:type="spellEnd"/>
      <w:r w:rsidRPr="009F5DA9">
        <w:rPr>
          <w:szCs w:val="28"/>
        </w:rPr>
        <w:t xml:space="preserve"> (1711-1753гг.) тепловой поток от нагретой поверхности в окружающую среду в процессе теплоотдачи определяется по уравнению:</w:t>
      </w:r>
    </w:p>
    <w:p w:rsidR="00F3312B" w:rsidRPr="009F5DA9" w:rsidRDefault="00F3312B" w:rsidP="009F5DA9">
      <w:pPr>
        <w:pStyle w:val="a8"/>
      </w:pPr>
      <w:r w:rsidRPr="009F5DA9">
        <w:rPr>
          <w:noProof/>
          <w:lang w:eastAsia="ru-RU"/>
        </w:rPr>
        <w:drawing>
          <wp:inline distT="0" distB="0" distL="0" distR="0" wp14:anchorId="57B754B8" wp14:editId="2F39FC13">
            <wp:extent cx="2137144" cy="217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02"/>
                    <a:stretch/>
                  </pic:blipFill>
                  <pic:spPr bwMode="auto">
                    <a:xfrm>
                      <a:off x="0" y="0"/>
                      <a:ext cx="2230741" cy="2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12B" w:rsidRPr="009F5DA9" w:rsidRDefault="00F3312B" w:rsidP="009F5DA9">
      <w:pPr>
        <w:rPr>
          <w:szCs w:val="28"/>
        </w:rPr>
      </w:pPr>
      <w:r w:rsidRPr="009F5DA9">
        <w:rPr>
          <w:szCs w:val="28"/>
        </w:rPr>
        <w:t>Каждый из безразмерных параметров имеет определенный физический смысл. Их принято обозначать первыми буквами фамилий ученых, внесших существенный вклад в изучение процессов теплопереноса и гидродинамики, и называть в честь этих ученых. Число Нуссельта (1887—1957 гг.):</w:t>
      </w:r>
    </w:p>
    <w:p w:rsidR="00F3312B" w:rsidRPr="009F5DA9" w:rsidRDefault="00F3312B" w:rsidP="009F5DA9">
      <w:pPr>
        <w:pStyle w:val="a8"/>
      </w:pPr>
      <w:r w:rsidRPr="009F5DA9">
        <w:rPr>
          <w:noProof/>
          <w:lang w:eastAsia="ru-RU"/>
        </w:rPr>
        <w:drawing>
          <wp:inline distT="0" distB="0" distL="0" distR="0" wp14:anchorId="5E882796" wp14:editId="286398A9">
            <wp:extent cx="60007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2B" w:rsidRPr="009F5DA9" w:rsidRDefault="00F3312B" w:rsidP="009F5DA9">
      <w:pPr>
        <w:rPr>
          <w:szCs w:val="28"/>
        </w:rPr>
      </w:pPr>
      <w:r w:rsidRPr="009F5DA9">
        <w:rPr>
          <w:szCs w:val="28"/>
        </w:rPr>
        <w:t>Число Прандтля (1875—1953):</w:t>
      </w:r>
    </w:p>
    <w:p w:rsidR="00F3312B" w:rsidRPr="009F5DA9" w:rsidRDefault="00F3312B" w:rsidP="009F5DA9">
      <w:pPr>
        <w:pStyle w:val="a8"/>
      </w:pPr>
      <w:r w:rsidRPr="009F5DA9">
        <w:rPr>
          <w:noProof/>
          <w:lang w:eastAsia="ru-RU"/>
        </w:rPr>
        <w:drawing>
          <wp:inline distT="0" distB="0" distL="0" distR="0" wp14:anchorId="0FE445D8" wp14:editId="435816A8">
            <wp:extent cx="64770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2B" w:rsidRPr="009F5DA9" w:rsidRDefault="00F3312B" w:rsidP="009F5DA9">
      <w:pPr>
        <w:rPr>
          <w:szCs w:val="28"/>
        </w:rPr>
      </w:pPr>
      <w:r w:rsidRPr="009F5DA9">
        <w:rPr>
          <w:szCs w:val="28"/>
        </w:rPr>
        <w:t xml:space="preserve">Число </w:t>
      </w:r>
      <w:proofErr w:type="spellStart"/>
      <w:r w:rsidRPr="009F5DA9">
        <w:rPr>
          <w:szCs w:val="28"/>
        </w:rPr>
        <w:t>Грасгофа</w:t>
      </w:r>
      <w:proofErr w:type="spellEnd"/>
      <w:r w:rsidRPr="009F5DA9">
        <w:rPr>
          <w:szCs w:val="28"/>
        </w:rPr>
        <w:t>:</w:t>
      </w:r>
    </w:p>
    <w:p w:rsidR="00F3312B" w:rsidRPr="009F5DA9" w:rsidRDefault="00F3312B" w:rsidP="009F5DA9">
      <w:pPr>
        <w:pStyle w:val="a8"/>
      </w:pPr>
      <w:r w:rsidRPr="009F5DA9">
        <w:rPr>
          <w:noProof/>
          <w:lang w:eastAsia="ru-RU"/>
        </w:rPr>
        <w:drawing>
          <wp:inline distT="0" distB="0" distL="0" distR="0" wp14:anchorId="256A04CC" wp14:editId="6F46D0CF">
            <wp:extent cx="1150974" cy="35625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4452" cy="3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2B" w:rsidRPr="009F5DA9" w:rsidRDefault="00F3312B" w:rsidP="009F5DA9">
      <w:pPr>
        <w:rPr>
          <w:szCs w:val="28"/>
        </w:rPr>
      </w:pPr>
      <w:r w:rsidRPr="009F5DA9">
        <w:rPr>
          <w:szCs w:val="28"/>
        </w:rPr>
        <w:t xml:space="preserve">При свободной конвекции температура жидкости (газа) в пограничном слое изменяется от </w:t>
      </w:r>
      <w:proofErr w:type="spellStart"/>
      <w:r w:rsidRPr="009F5DA9">
        <w:rPr>
          <w:szCs w:val="28"/>
        </w:rPr>
        <w:t>t</w:t>
      </w:r>
      <w:r w:rsidRPr="009F5DA9">
        <w:rPr>
          <w:szCs w:val="28"/>
          <w:vertAlign w:val="subscript"/>
        </w:rPr>
        <w:t>c</w:t>
      </w:r>
      <w:proofErr w:type="spellEnd"/>
      <w:r w:rsidRPr="009F5DA9">
        <w:rPr>
          <w:szCs w:val="28"/>
        </w:rPr>
        <w:t xml:space="preserve"> до </w:t>
      </w:r>
      <w:proofErr w:type="spellStart"/>
      <w:proofErr w:type="gramStart"/>
      <w:r w:rsidRPr="009F5DA9">
        <w:rPr>
          <w:szCs w:val="28"/>
        </w:rPr>
        <w:t>t</w:t>
      </w:r>
      <w:r w:rsidRPr="009F5DA9">
        <w:rPr>
          <w:szCs w:val="28"/>
          <w:vertAlign w:val="subscript"/>
        </w:rPr>
        <w:t>ж</w:t>
      </w:r>
      <w:proofErr w:type="spellEnd"/>
      <w:proofErr w:type="gramEnd"/>
      <w:r w:rsidRPr="009F5DA9">
        <w:rPr>
          <w:szCs w:val="28"/>
        </w:rPr>
        <w:t xml:space="preserve"> а ее скорость, равная нулю у стенки, проходит через максимум и снова падает до нуля на некотором удалении от стенки.</w:t>
      </w:r>
    </w:p>
    <w:p w:rsidR="00F3312B" w:rsidRPr="009F5DA9" w:rsidRDefault="00F3312B" w:rsidP="009F5DA9">
      <w:pPr>
        <w:rPr>
          <w:b/>
          <w:szCs w:val="28"/>
        </w:rPr>
      </w:pPr>
      <w:r w:rsidRPr="009F5DA9">
        <w:rPr>
          <w:szCs w:val="28"/>
        </w:rPr>
        <w:t xml:space="preserve">Для расчета средних коэффициентов теплоотдачи в случае </w:t>
      </w:r>
      <w:proofErr w:type="spellStart"/>
      <w:r w:rsidRPr="009F5DA9">
        <w:rPr>
          <w:szCs w:val="28"/>
        </w:rPr>
        <w:t>ньютоновских</w:t>
      </w:r>
      <w:proofErr w:type="spellEnd"/>
      <w:r w:rsidRPr="009F5DA9">
        <w:rPr>
          <w:szCs w:val="28"/>
        </w:rPr>
        <w:t xml:space="preserve"> жидкостей (газов) пользуются следующей формулой:</w:t>
      </w:r>
    </w:p>
    <w:p w:rsidR="00F3312B" w:rsidRPr="009F5DA9" w:rsidRDefault="00F3312B" w:rsidP="009F5DA9">
      <w:pPr>
        <w:pStyle w:val="a8"/>
      </w:pPr>
      <w:r w:rsidRPr="009F5DA9">
        <w:rPr>
          <w:noProof/>
          <w:lang w:eastAsia="ru-RU"/>
        </w:rPr>
        <w:drawing>
          <wp:inline distT="0" distB="0" distL="0" distR="0" wp14:anchorId="0AC59914" wp14:editId="598E3BC0">
            <wp:extent cx="1158063" cy="19852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9700" cy="2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2B" w:rsidRPr="009F5DA9" w:rsidRDefault="00F3312B" w:rsidP="009F5DA9">
      <w:pPr>
        <w:rPr>
          <w:szCs w:val="28"/>
        </w:rPr>
      </w:pPr>
      <w:r w:rsidRPr="009F5DA9">
        <w:rPr>
          <w:szCs w:val="28"/>
        </w:rPr>
        <w:lastRenderedPageBreak/>
        <w:t>Количество тепла, передаваемое конвекцией от наружной поверхности трубы, определяется по уравнению:</w:t>
      </w:r>
    </w:p>
    <w:p w:rsidR="00F3312B" w:rsidRPr="009F5DA9" w:rsidRDefault="00F3312B" w:rsidP="009F5DA9">
      <w:pPr>
        <w:pStyle w:val="a8"/>
      </w:pPr>
      <w:r w:rsidRPr="009F5DA9">
        <w:rPr>
          <w:noProof/>
          <w:lang w:eastAsia="ru-RU"/>
        </w:rPr>
        <w:drawing>
          <wp:inline distT="0" distB="0" distL="0" distR="0" wp14:anchorId="40972A63" wp14:editId="0241F88D">
            <wp:extent cx="819509" cy="197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953" cy="20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12B" w:rsidRDefault="00F3312B" w:rsidP="00F3312B">
      <w:pPr>
        <w:pStyle w:val="a4"/>
      </w:pPr>
      <w:r>
        <w:t>Ход работы</w:t>
      </w:r>
    </w:p>
    <w:p w:rsidR="009F5DA9" w:rsidRDefault="009F5DA9" w:rsidP="009F5DA9">
      <w:r>
        <w:t>Длина рабочего участка трубы, м -0,02</w:t>
      </w:r>
    </w:p>
    <w:p w:rsidR="009F5DA9" w:rsidRDefault="009F5DA9" w:rsidP="009F5DA9">
      <w:r>
        <w:t>Диаметр трубы, м – 0,5</w:t>
      </w:r>
    </w:p>
    <w:p w:rsidR="009F5DA9" w:rsidRPr="009F5DA9" w:rsidRDefault="009F5DA9" w:rsidP="009F5DA9">
      <w:r>
        <w:t>Степень черноты трубы – 0,35</w:t>
      </w:r>
    </w:p>
    <w:p w:rsidR="00F3312B" w:rsidRPr="009F5DA9" w:rsidRDefault="009F5DA9" w:rsidP="00F3312B">
      <w:pPr>
        <w:pStyle w:val="2"/>
        <w:rPr>
          <w:i/>
          <w:color w:val="auto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</w:rPr>
                <m:t>н</m:t>
              </m:r>
            </m:sub>
          </m:sSub>
          <m:r>
            <w:rPr>
              <w:rFonts w:ascii="Cambria Math" w:hAnsi="Cambria Math"/>
              <w:color w:val="auto"/>
              <w:sz w:val="28"/>
            </w:rPr>
            <m:t>=U∙I;</m:t>
          </m:r>
        </m:oMath>
      </m:oMathPara>
    </w:p>
    <w:p w:rsidR="009F5DA9" w:rsidRPr="009F5DA9" w:rsidRDefault="009F5DA9" w:rsidP="009F5DA9">
      <w:r>
        <w:t>Таблица 1 – Исходные данные</w:t>
      </w:r>
    </w:p>
    <w:tbl>
      <w:tblPr>
        <w:tblW w:w="9067" w:type="dxa"/>
        <w:tblInd w:w="704" w:type="dxa"/>
        <w:tblLook w:val="04A0" w:firstRow="1" w:lastRow="0" w:firstColumn="1" w:lastColumn="0" w:noHBand="0" w:noVBand="1"/>
      </w:tblPr>
      <w:tblGrid>
        <w:gridCol w:w="846"/>
        <w:gridCol w:w="1134"/>
        <w:gridCol w:w="1134"/>
        <w:gridCol w:w="1276"/>
        <w:gridCol w:w="1134"/>
        <w:gridCol w:w="1134"/>
        <w:gridCol w:w="1134"/>
        <w:gridCol w:w="1275"/>
      </w:tblGrid>
      <w:tr w:rsidR="009F5DA9" w:rsidRPr="009F5DA9" w:rsidTr="009F5DA9">
        <w:trPr>
          <w:trHeight w:val="37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U, B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I, 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Q(н), Вт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Т(1), 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Т(2), С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Т(3), 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Т(ср), С</w:t>
            </w:r>
          </w:p>
        </w:tc>
      </w:tr>
      <w:tr w:rsidR="009F5DA9" w:rsidRPr="009F5DA9" w:rsidTr="009F5DA9">
        <w:trPr>
          <w:trHeight w:val="37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22,2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21,7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22,2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22,03</w:t>
            </w:r>
          </w:p>
        </w:tc>
      </w:tr>
      <w:tr w:rsidR="009F5DA9" w:rsidRPr="009F5DA9" w:rsidTr="009F5DA9">
        <w:trPr>
          <w:trHeight w:val="37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0,09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24,2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23,7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24,2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24,03</w:t>
            </w:r>
          </w:p>
        </w:tc>
      </w:tr>
      <w:tr w:rsidR="009F5DA9" w:rsidRPr="009F5DA9" w:rsidTr="009F5DA9">
        <w:trPr>
          <w:trHeight w:val="37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0,12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1,8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28,2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27,7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28,2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28,03</w:t>
            </w:r>
          </w:p>
        </w:tc>
      </w:tr>
      <w:tr w:rsidR="009F5DA9" w:rsidRPr="009F5DA9" w:rsidTr="009F5DA9">
        <w:trPr>
          <w:trHeight w:val="37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0,18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30,7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30,2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30,7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30,53</w:t>
            </w:r>
          </w:p>
        </w:tc>
      </w:tr>
      <w:tr w:rsidR="009F5DA9" w:rsidRPr="009F5DA9" w:rsidTr="009F5DA9">
        <w:trPr>
          <w:trHeight w:val="37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0,2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35,7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35,2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35,7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F5DA9" w:rsidRPr="009F5DA9" w:rsidRDefault="009F5DA9" w:rsidP="009F5DA9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35,53</w:t>
            </w:r>
          </w:p>
        </w:tc>
      </w:tr>
    </w:tbl>
    <w:p w:rsidR="009F5DA9" w:rsidRDefault="009F5DA9" w:rsidP="009F5DA9"/>
    <w:p w:rsidR="009F5DA9" w:rsidRDefault="009F5DA9" w:rsidP="009F5DA9">
      <w:r>
        <w:t>Далее рассчитаем тепловой поток излучения и теплоотдачи. В таблице 2 представлены результаты расчётов.</w:t>
      </w:r>
    </w:p>
    <w:p w:rsidR="009F5DA9" w:rsidRPr="00710990" w:rsidRDefault="00710990" w:rsidP="009F5DA9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auto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н</m:t>
              </m:r>
            </m:sub>
          </m:sSub>
          <m:r>
            <w:rPr>
              <w:rFonts w:ascii="Cambria Math" w:eastAsiaTheme="majorEastAsia" w:hAnsi="Cambria Math" w:cstheme="majorBidi"/>
              <w:color w:val="auto"/>
              <w:szCs w:val="26"/>
            </w:rPr>
            <m:t>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auto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л</m:t>
              </m:r>
            </m:sub>
          </m:sSub>
        </m:oMath>
      </m:oMathPara>
    </w:p>
    <w:p w:rsidR="00F3312B" w:rsidRDefault="00710990" w:rsidP="00F3312B">
      <w:r>
        <w:t>, где:</w:t>
      </w:r>
    </w:p>
    <w:p w:rsidR="00710990" w:rsidRPr="00710990" w:rsidRDefault="00710990" w:rsidP="00F3312B">
      <w:pPr>
        <w:rPr>
          <w:rFonts w:eastAsiaTheme="minorEastAsia"/>
          <w:i/>
          <w:color w:val="auto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auto"/>
                  <w:szCs w:val="26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л</m:t>
              </m:r>
            </m:sub>
          </m:sSub>
          <m:r>
            <w:rPr>
              <w:rFonts w:ascii="Cambria Math" w:eastAsiaTheme="majorEastAsia" w:hAnsi="Cambria Math" w:cstheme="majorBidi"/>
              <w:color w:val="auto"/>
              <w:szCs w:val="26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auto"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auto"/>
                  <w:szCs w:val="26"/>
                </w:rPr>
                <m:t>ε</m:t>
              </m:r>
            </m:e>
            <m:sub>
              <m:r>
                <w:rPr>
                  <w:rFonts w:ascii="Cambria Math" w:eastAsiaTheme="majorEastAsia" w:hAnsi="Cambria Math" w:cstheme="majorBidi"/>
                  <w:color w:val="auto"/>
                  <w:szCs w:val="26"/>
                </w:rPr>
                <m:t>пр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auto"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auto"/>
                  <w:szCs w:val="26"/>
                </w:rPr>
                <m:t>С</m:t>
              </m:r>
            </m:e>
            <m:sub>
              <m:r>
                <w:rPr>
                  <w:rFonts w:ascii="Cambria Math" w:eastAsiaTheme="majorEastAsia" w:hAnsi="Cambria Math" w:cstheme="majorBidi"/>
                  <w:color w:val="auto"/>
                  <w:szCs w:val="26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color w:val="auto"/>
              <w:szCs w:val="26"/>
              <w:lang w:val="en-US"/>
            </w:rPr>
            <m:t>F(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auto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auto"/>
                      <w:szCs w:val="2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auto"/>
                          <w:szCs w:val="2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auto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auto"/>
                              <w:szCs w:val="2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color w:val="auto"/>
                              <w:szCs w:val="26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color w:val="auto"/>
                          <w:szCs w:val="26"/>
                          <w:lang w:val="en-US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color w:val="auto"/>
                  <w:szCs w:val="26"/>
                  <w:lang w:val="en-US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  <w:color w:val="auto"/>
              <w:szCs w:val="26"/>
              <w:lang w:val="en-US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color w:val="auto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color w:val="auto"/>
                      <w:szCs w:val="2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color w:val="auto"/>
                          <w:szCs w:val="26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color w:val="auto"/>
                              <w:szCs w:val="26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color w:val="auto"/>
                              <w:szCs w:val="26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color w:val="auto"/>
                              <w:szCs w:val="26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color w:val="auto"/>
                          <w:szCs w:val="26"/>
                          <w:lang w:val="en-US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  <w:color w:val="auto"/>
                  <w:szCs w:val="26"/>
                  <w:lang w:val="en-US"/>
                </w:rPr>
                <m:t>4</m:t>
              </m:r>
            </m:sup>
          </m:sSup>
          <m:r>
            <w:rPr>
              <w:rFonts w:ascii="Cambria Math" w:eastAsiaTheme="majorEastAsia" w:hAnsi="Cambria Math" w:cstheme="majorBidi"/>
              <w:color w:val="auto"/>
              <w:szCs w:val="26"/>
              <w:lang w:val="en-US"/>
            </w:rPr>
            <m:t>)</m:t>
          </m:r>
        </m:oMath>
      </m:oMathPara>
    </w:p>
    <w:p w:rsidR="00710990" w:rsidRPr="00710990" w:rsidRDefault="00710990" w:rsidP="00F3312B">
      <w:pPr>
        <w:rPr>
          <w:rFonts w:eastAsiaTheme="minorEastAsia"/>
          <w:i/>
          <w:color w:val="auto"/>
          <w:szCs w:val="26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auto"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auto"/>
                  <w:szCs w:val="26"/>
                </w:rPr>
                <m:t>С</m:t>
              </m:r>
            </m:e>
            <m:sub>
              <m:r>
                <w:rPr>
                  <w:rFonts w:ascii="Cambria Math" w:eastAsiaTheme="majorEastAsia" w:hAnsi="Cambria Math" w:cstheme="majorBidi"/>
                  <w:color w:val="auto"/>
                  <w:szCs w:val="26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color w:val="auto"/>
              <w:szCs w:val="26"/>
            </w:rPr>
            <m:t>=5,67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color w:val="auto"/>
                  <w:szCs w:val="26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color w:val="auto"/>
                  <w:szCs w:val="26"/>
                </w:rPr>
                <m:t>Вт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auto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color w:val="auto"/>
                      <w:szCs w:val="26"/>
                    </w:rPr>
                    <m:t>м</m:t>
                  </m:r>
                  <m:ctrlPr>
                    <w:rPr>
                      <w:rFonts w:ascii="Cambria Math" w:eastAsiaTheme="majorEastAsia" w:hAnsi="Cambria Math" w:cstheme="majorBidi"/>
                      <w:i/>
                      <w:color w:val="auto"/>
                      <w:szCs w:val="26"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  <w:color w:val="auto"/>
                      <w:szCs w:val="26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auto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color w:val="auto"/>
                      <w:szCs w:val="26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color w:val="auto"/>
                      <w:szCs w:val="26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:rsidR="00710990" w:rsidRPr="00710990" w:rsidRDefault="00710990" w:rsidP="00F3312B">
      <w:pPr>
        <w:rPr>
          <w:rFonts w:eastAsiaTheme="minorEastAsia"/>
          <w:i/>
          <w:color w:val="auto"/>
          <w:szCs w:val="26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color w:val="auto"/>
                  <w:szCs w:val="26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color w:val="auto"/>
                  <w:szCs w:val="26"/>
                </w:rPr>
                <m:t>ε</m:t>
              </m:r>
            </m:e>
            <m:sub>
              <m:r>
                <w:rPr>
                  <w:rFonts w:ascii="Cambria Math" w:eastAsiaTheme="majorEastAsia" w:hAnsi="Cambria Math" w:cstheme="majorBidi"/>
                  <w:color w:val="auto"/>
                  <w:szCs w:val="26"/>
                </w:rPr>
                <m:t>пр</m:t>
              </m:r>
            </m:sub>
          </m:sSub>
          <m:r>
            <w:rPr>
              <w:rFonts w:ascii="Cambria Math" w:eastAsiaTheme="majorEastAsia" w:hAnsi="Cambria Math" w:cstheme="majorBidi"/>
              <w:color w:val="auto"/>
              <w:szCs w:val="26"/>
            </w:rPr>
            <m:t>=0,35 (Степень черноты трубы)</m:t>
          </m:r>
        </m:oMath>
      </m:oMathPara>
    </w:p>
    <w:p w:rsidR="00710990" w:rsidRPr="00710990" w:rsidRDefault="00710990" w:rsidP="00CF00A7">
      <w:r>
        <w:t xml:space="preserve">Таблица 2 - </w:t>
      </w:r>
      <w:r>
        <w:t>Расчёты теплового потока</w:t>
      </w:r>
    </w:p>
    <w:tbl>
      <w:tblPr>
        <w:tblW w:w="5760" w:type="dxa"/>
        <w:tblInd w:w="2263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B10907" w:rsidRPr="00710990" w:rsidTr="00710990">
        <w:trPr>
          <w:trHeight w:val="37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FF"/>
            <w:vAlign w:val="center"/>
          </w:tcPr>
          <w:p w:rsidR="00B10907" w:rsidRPr="009F5DA9" w:rsidRDefault="00B10907" w:rsidP="00B1090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B10907" w:rsidRPr="00710990" w:rsidRDefault="00B10907" w:rsidP="00B1090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10990">
              <w:rPr>
                <w:rFonts w:eastAsia="Times New Roman" w:cs="Times New Roman"/>
                <w:color w:val="000000"/>
                <w:szCs w:val="28"/>
                <w:lang w:eastAsia="ru-RU"/>
              </w:rPr>
              <w:t>Q(н), Вт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FF"/>
            <w:vAlign w:val="center"/>
          </w:tcPr>
          <w:p w:rsidR="00B10907" w:rsidRDefault="00B10907" w:rsidP="00B1090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Q(л), Вт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FF"/>
            <w:vAlign w:val="center"/>
          </w:tcPr>
          <w:p w:rsidR="00B10907" w:rsidRDefault="00B10907" w:rsidP="00B10907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Q(к), Вт</w:t>
            </w:r>
          </w:p>
        </w:tc>
      </w:tr>
      <w:tr w:rsidR="00B10907" w:rsidRPr="00710990" w:rsidTr="0071099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Pr="009F5DA9" w:rsidRDefault="00B10907" w:rsidP="00B1090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907" w:rsidRPr="00710990" w:rsidRDefault="00B10907" w:rsidP="00B1090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10990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Default="00B10907" w:rsidP="00B10907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0,0013182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Default="00B10907" w:rsidP="00B10907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0,2486818</w:t>
            </w:r>
          </w:p>
        </w:tc>
      </w:tr>
      <w:tr w:rsidR="00B10907" w:rsidRPr="00710990" w:rsidTr="0071099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Pr="009F5DA9" w:rsidRDefault="00B10907" w:rsidP="00B1090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907" w:rsidRPr="00710990" w:rsidRDefault="00B10907" w:rsidP="00B1090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10990">
              <w:rPr>
                <w:rFonts w:eastAsia="Times New Roman" w:cs="Times New Roman"/>
                <w:color w:val="000000"/>
                <w:szCs w:val="28"/>
                <w:lang w:eastAsia="ru-RU"/>
              </w:rPr>
              <w:t>0,9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Default="00B10907" w:rsidP="00B10907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0,0017123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Default="00B10907" w:rsidP="00B10907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0,8982877</w:t>
            </w:r>
          </w:p>
        </w:tc>
      </w:tr>
      <w:tr w:rsidR="00B10907" w:rsidRPr="00710990" w:rsidTr="0071099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Pr="009F5DA9" w:rsidRDefault="00B10907" w:rsidP="00B1090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907" w:rsidRPr="00710990" w:rsidRDefault="00B10907" w:rsidP="00B1090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10990">
              <w:rPr>
                <w:rFonts w:eastAsia="Times New Roman" w:cs="Times New Roman"/>
                <w:color w:val="000000"/>
                <w:szCs w:val="28"/>
                <w:lang w:eastAsia="ru-RU"/>
              </w:rPr>
              <w:t>1,8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Default="00B10907" w:rsidP="00B10907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0,0027214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Default="00B10907" w:rsidP="00B10907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1,7972786</w:t>
            </w:r>
          </w:p>
        </w:tc>
      </w:tr>
      <w:tr w:rsidR="00B10907" w:rsidRPr="00710990" w:rsidTr="0071099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Pr="009F5DA9" w:rsidRDefault="00B10907" w:rsidP="00B1090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907" w:rsidRPr="00710990" w:rsidRDefault="00B10907" w:rsidP="00B1090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10990">
              <w:rPr>
                <w:rFonts w:eastAsia="Times New Roman" w:cs="Times New Roman"/>
                <w:color w:val="000000"/>
                <w:szCs w:val="28"/>
                <w:lang w:eastAsia="ru-RU"/>
              </w:rPr>
              <w:t>3,6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Default="00B10907" w:rsidP="00B10907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0,0035189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Default="00B10907" w:rsidP="00B10907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3,5964811</w:t>
            </w:r>
          </w:p>
        </w:tc>
      </w:tr>
      <w:tr w:rsidR="00B10907" w:rsidRPr="00710990" w:rsidTr="00710990">
        <w:trPr>
          <w:trHeight w:val="375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Pr="009F5DA9" w:rsidRDefault="00B10907" w:rsidP="00B1090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5DA9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907" w:rsidRPr="00710990" w:rsidRDefault="00B10907" w:rsidP="00B1090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1099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Default="00B10907" w:rsidP="00B10907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0,0055524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0907" w:rsidRDefault="00B10907" w:rsidP="00B10907">
            <w:pPr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4,9944476</w:t>
            </w:r>
          </w:p>
        </w:tc>
      </w:tr>
    </w:tbl>
    <w:p w:rsidR="00CF00A7" w:rsidRDefault="00CF00A7" w:rsidP="00CF00A7"/>
    <w:p w:rsidR="00CF00A7" w:rsidRDefault="00710990" w:rsidP="00CF00A7">
      <w:r>
        <w:t xml:space="preserve">Рассчитаем безразмерные характеристики </w:t>
      </w:r>
      <w:r>
        <w:rPr>
          <w:lang w:val="en-US"/>
        </w:rPr>
        <w:t>Nu</w:t>
      </w:r>
      <w:r w:rsidRPr="00AB3E15">
        <w:t xml:space="preserve"> </w:t>
      </w:r>
      <w:r>
        <w:t xml:space="preserve">и </w:t>
      </w:r>
      <w:r>
        <w:rPr>
          <w:lang w:val="en-US"/>
        </w:rPr>
        <w:t>Gr</w:t>
      </w:r>
      <w:r w:rsidRPr="00AB3E15">
        <w:t xml:space="preserve">. </w:t>
      </w:r>
      <w:r>
        <w:rPr>
          <w:lang w:val="en-US"/>
        </w:rPr>
        <w:t>Pr</w:t>
      </w:r>
      <w:r w:rsidRPr="00AB3E15">
        <w:t xml:space="preserve"> </w:t>
      </w:r>
      <w:r>
        <w:t>можно подобрать по таблице, зная температуру воздуха</w:t>
      </w:r>
      <w:r w:rsidR="00CF00A7">
        <w:t xml:space="preserve">. </w:t>
      </w:r>
    </w:p>
    <w:p w:rsidR="00CF00A7" w:rsidRPr="00B10907" w:rsidRDefault="00CF00A7" w:rsidP="00CF00A7">
      <w:pPr>
        <w:rPr>
          <w:lang w:val="en-US"/>
        </w:rPr>
      </w:pPr>
    </w:p>
    <w:p w:rsidR="00F3312B" w:rsidRDefault="00710990" w:rsidP="00CF00A7">
      <w:r>
        <w:t>Результаты расчётов представлены в таблице 3.</w:t>
      </w:r>
      <w:r w:rsidRPr="001D6D3D">
        <w:t xml:space="preserve"> </w:t>
      </w:r>
      <w:r>
        <w:t>Требуемая характеристика представлена на рисунке 2.</w:t>
      </w:r>
    </w:p>
    <w:p w:rsidR="00CF00A7" w:rsidRPr="004B103A" w:rsidRDefault="00B10907" w:rsidP="00CF00A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color w:val="auto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н</m:t>
                  </m:r>
                </m:sub>
              </m:sSub>
              <m:r>
                <w:rPr>
                  <w:rFonts w:ascii="Cambria Math" w:eastAsiaTheme="majorEastAsia" w:hAnsi="Cambria Math" w:cstheme="majorBidi"/>
                  <w:color w:val="auto"/>
                  <w:szCs w:val="26"/>
                </w:rPr>
                <m:t>∙F</m:t>
              </m:r>
            </m:num>
            <m:den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color w:val="auto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н</m:t>
                  </m:r>
                </m:sub>
              </m:sSub>
              <m:r>
                <w:rPr>
                  <w:rFonts w:ascii="Cambria Math" w:eastAsiaTheme="majorEastAsia" w:hAnsi="Cambria Math" w:cstheme="majorBidi"/>
                  <w:color w:val="auto"/>
                  <w:szCs w:val="26"/>
                </w:rPr>
                <m:t>∙</m:t>
              </m:r>
              <m:r>
                <w:rPr>
                  <w:rFonts w:ascii="Cambria Math" w:eastAsiaTheme="majorEastAsia" w:hAnsi="Cambria Math" w:cstheme="majorBidi"/>
                  <w:color w:val="auto"/>
                  <w:szCs w:val="26"/>
                </w:rPr>
                <m:t>π∙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color w:val="auto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color w:val="auto"/>
                      <w:szCs w:val="26"/>
                      <w:lang w:val="en-US"/>
                    </w:rPr>
                    <m:t>d</m:t>
                  </m:r>
                  <m:ctrlPr>
                    <w:rPr>
                      <w:rFonts w:ascii="Cambria Math" w:eastAsiaTheme="majorEastAsia" w:hAnsi="Cambria Math" w:cstheme="majorBidi"/>
                      <w:i/>
                      <w:color w:val="auto"/>
                      <w:szCs w:val="26"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  <w:color w:val="auto"/>
                      <w:szCs w:val="26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4∙</m:t>
              </m:r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ж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:rsidR="004B103A" w:rsidRPr="004B103A" w:rsidRDefault="004B103A" w:rsidP="00CF00A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α∙l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004B103A" w:rsidRPr="00DA347B" w:rsidRDefault="004B103A" w:rsidP="00CF00A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Gr=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gβ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ж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DA347B" w:rsidRPr="00DA347B" w:rsidRDefault="00DA347B" w:rsidP="00CF00A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:rsidR="00DA347B" w:rsidRDefault="00DA347B" w:rsidP="00DA347B">
      <w:r>
        <w:t>Таблица 3 – Расчёты безразмерных характеристик</w:t>
      </w:r>
    </w:p>
    <w:tbl>
      <w:tblPr>
        <w:tblW w:w="6600" w:type="dxa"/>
        <w:tblInd w:w="2263" w:type="dxa"/>
        <w:tblLook w:val="04A0" w:firstRow="1" w:lastRow="0" w:firstColumn="1" w:lastColumn="0" w:noHBand="0" w:noVBand="1"/>
      </w:tblPr>
      <w:tblGrid>
        <w:gridCol w:w="2020"/>
        <w:gridCol w:w="1440"/>
        <w:gridCol w:w="1700"/>
        <w:gridCol w:w="1440"/>
      </w:tblGrid>
      <w:tr w:rsidR="00DA347B" w:rsidRPr="00DA347B" w:rsidTr="00DA347B">
        <w:trPr>
          <w:trHeight w:val="37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α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Nu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Gr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Pr</w:t>
            </w:r>
            <w:proofErr w:type="spellEnd"/>
          </w:p>
        </w:tc>
      </w:tr>
      <w:tr w:rsidR="00DA347B" w:rsidRPr="00DA347B" w:rsidTr="00DA347B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1,472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0,011193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500,7371134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0,702</w:t>
            </w:r>
          </w:p>
        </w:tc>
      </w:tr>
      <w:tr w:rsidR="00DA347B" w:rsidRPr="00DA347B" w:rsidTr="00DA347B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0,087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0,0006606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30544,96391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0,702</w:t>
            </w:r>
          </w:p>
        </w:tc>
      </w:tr>
      <w:tr w:rsidR="00DA347B" w:rsidRPr="00DA347B" w:rsidTr="00DA347B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0,059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0,0004452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90633,41752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0,702</w:t>
            </w:r>
          </w:p>
        </w:tc>
      </w:tr>
      <w:tr w:rsidR="00DA347B" w:rsidRPr="00DA347B" w:rsidTr="00DA347B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0,083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0,0006088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128188,701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0,7</w:t>
            </w:r>
          </w:p>
        </w:tc>
      </w:tr>
      <w:tr w:rsidR="00DA347B" w:rsidRPr="00DA347B" w:rsidTr="00DA347B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0,073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0,0005331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203299,268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47B" w:rsidRPr="00DA347B" w:rsidRDefault="00DA347B" w:rsidP="00DA347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A347B">
              <w:rPr>
                <w:rFonts w:eastAsia="Times New Roman" w:cs="Times New Roman"/>
                <w:color w:val="000000"/>
                <w:szCs w:val="28"/>
                <w:lang w:eastAsia="ru-RU"/>
              </w:rPr>
              <w:t>0,7</w:t>
            </w:r>
          </w:p>
        </w:tc>
      </w:tr>
    </w:tbl>
    <w:p w:rsidR="00DA347B" w:rsidRDefault="00DA347B" w:rsidP="00DA347B"/>
    <w:p w:rsidR="00DA347B" w:rsidRDefault="00DA347B" w:rsidP="00DA347B">
      <w:pPr>
        <w:pStyle w:val="a8"/>
      </w:pPr>
      <w:r>
        <w:rPr>
          <w:noProof/>
          <w:lang w:eastAsia="ru-RU"/>
        </w:rPr>
        <w:drawing>
          <wp:inline distT="0" distB="0" distL="0" distR="0" wp14:anchorId="513A25EF" wp14:editId="075AF427">
            <wp:extent cx="4572000" cy="30861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5277C" w:rsidRPr="00B5277C" w:rsidRDefault="00B5277C" w:rsidP="00B5277C">
      <w:pPr>
        <w:pStyle w:val="a8"/>
      </w:pPr>
      <w:r>
        <w:t>Рисунок 2 – График зависимости безразмерных характеристик</w:t>
      </w:r>
    </w:p>
    <w:p w:rsidR="00DA347B" w:rsidRPr="00B5277C" w:rsidRDefault="00B5277C" w:rsidP="00DA347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145°</m:t>
              </m:r>
            </m:e>
          </m:d>
          <m:r>
            <w:rPr>
              <w:rFonts w:ascii="Cambria Math" w:hAnsi="Cambria Math"/>
              <w:lang w:val="en-US"/>
            </w:rPr>
            <m:t>=-0,7</m:t>
          </m:r>
        </m:oMath>
      </m:oMathPara>
    </w:p>
    <w:p w:rsidR="00B5277C" w:rsidRPr="00B5277C" w:rsidRDefault="00B5277C" w:rsidP="00DA34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А=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Gr*Pr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-0,7</m:t>
                  </m:r>
                </m:sup>
              </m:sSup>
            </m:den>
          </m:f>
        </m:oMath>
      </m:oMathPara>
    </w:p>
    <w:p w:rsidR="00B5277C" w:rsidRDefault="00B5277C" w:rsidP="00DA347B">
      <w:pPr>
        <w:rPr>
          <w:rFonts w:eastAsiaTheme="minorEastAsia"/>
        </w:rPr>
      </w:pPr>
    </w:p>
    <w:p w:rsidR="00B5277C" w:rsidRDefault="00B5277C" w:rsidP="00B5277C">
      <w:r>
        <w:lastRenderedPageBreak/>
        <w:t>Таблица 3 – Расчёты безразмерных характеристик</w:t>
      </w:r>
    </w:p>
    <w:tbl>
      <w:tblPr>
        <w:tblW w:w="8040" w:type="dxa"/>
        <w:tblInd w:w="1271" w:type="dxa"/>
        <w:tblLook w:val="04A0" w:firstRow="1" w:lastRow="0" w:firstColumn="1" w:lastColumn="0" w:noHBand="0" w:noVBand="1"/>
      </w:tblPr>
      <w:tblGrid>
        <w:gridCol w:w="2020"/>
        <w:gridCol w:w="1440"/>
        <w:gridCol w:w="1700"/>
        <w:gridCol w:w="1440"/>
        <w:gridCol w:w="1440"/>
      </w:tblGrid>
      <w:tr w:rsidR="00B5277C" w:rsidRPr="00B5277C" w:rsidTr="00B5277C">
        <w:trPr>
          <w:trHeight w:val="375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α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Nu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Gr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Pr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FF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A</w:t>
            </w:r>
          </w:p>
        </w:tc>
      </w:tr>
      <w:tr w:rsidR="00B5277C" w:rsidRPr="00B5277C" w:rsidTr="00B5277C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1,472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0,011193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500,7371134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0,702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0,67781</w:t>
            </w:r>
          </w:p>
        </w:tc>
      </w:tr>
      <w:tr w:rsidR="00B5277C" w:rsidRPr="00B5277C" w:rsidTr="00B5277C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0,087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0,0006606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30544,96391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0,702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0,710905</w:t>
            </w:r>
          </w:p>
        </w:tc>
      </w:tr>
      <w:tr w:rsidR="00B5277C" w:rsidRPr="00B5277C" w:rsidTr="00B5277C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0,059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0,0004452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90633,41752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0,702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1,0259753</w:t>
            </w:r>
          </w:p>
        </w:tc>
      </w:tr>
      <w:tr w:rsidR="00B5277C" w:rsidRPr="00B5277C" w:rsidTr="00B5277C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0,083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0,0006088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128188,701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1,7845059</w:t>
            </w:r>
          </w:p>
        </w:tc>
      </w:tr>
      <w:tr w:rsidR="00B5277C" w:rsidRPr="00B5277C" w:rsidTr="00B5277C">
        <w:trPr>
          <w:trHeight w:val="37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0,073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0,0005331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203299,268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0,7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277C" w:rsidRPr="00B5277C" w:rsidRDefault="00B5277C" w:rsidP="00B5277C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277C">
              <w:rPr>
                <w:rFonts w:eastAsia="Times New Roman" w:cs="Times New Roman"/>
                <w:color w:val="000000"/>
                <w:szCs w:val="28"/>
                <w:lang w:eastAsia="ru-RU"/>
              </w:rPr>
              <w:t>2,1582397</w:t>
            </w:r>
          </w:p>
        </w:tc>
      </w:tr>
    </w:tbl>
    <w:p w:rsidR="00B5277C" w:rsidRDefault="00B5277C" w:rsidP="00DA347B"/>
    <w:p w:rsidR="00B5277C" w:rsidRDefault="00B5277C" w:rsidP="00B5277C">
      <w:pPr>
        <w:pStyle w:val="a4"/>
      </w:pPr>
      <w:r>
        <w:t>Вывод</w:t>
      </w:r>
      <w:r w:rsidRPr="00903828">
        <w:t xml:space="preserve"> </w:t>
      </w:r>
    </w:p>
    <w:p w:rsidR="00B5277C" w:rsidRPr="00903828" w:rsidRDefault="00B5277C" w:rsidP="00B5277C">
      <w:r>
        <w:t>В</w:t>
      </w:r>
      <w:r w:rsidRPr="00903828">
        <w:t xml:space="preserve"> ходе выполнения работы</w:t>
      </w:r>
      <w:r>
        <w:t xml:space="preserve"> были определены</w:t>
      </w:r>
      <w:r w:rsidRPr="00903828">
        <w:t xml:space="preserve"> </w:t>
      </w:r>
      <w:r>
        <w:t>коэффициента теплоотдачи при свободной конвекции воздуха вблизи горизонтальной трубы. Построен график зависимости безразмерных характеристик.</w:t>
      </w:r>
      <w:bookmarkStart w:id="2" w:name="_GoBack"/>
      <w:bookmarkEnd w:id="2"/>
    </w:p>
    <w:p w:rsidR="00B5277C" w:rsidRPr="00B5277C" w:rsidRDefault="00B5277C" w:rsidP="00DA347B"/>
    <w:sectPr w:rsidR="00B5277C" w:rsidRPr="00B52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C7"/>
    <w:rsid w:val="00080FF6"/>
    <w:rsid w:val="002F210B"/>
    <w:rsid w:val="004B103A"/>
    <w:rsid w:val="00710990"/>
    <w:rsid w:val="00813016"/>
    <w:rsid w:val="009F5DA9"/>
    <w:rsid w:val="00A27CA3"/>
    <w:rsid w:val="00B10907"/>
    <w:rsid w:val="00B25F13"/>
    <w:rsid w:val="00B5277C"/>
    <w:rsid w:val="00CA7BC7"/>
    <w:rsid w:val="00CF00A7"/>
    <w:rsid w:val="00DA347B"/>
    <w:rsid w:val="00F3312B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834C"/>
  <w15:chartTrackingRefBased/>
  <w15:docId w15:val="{464E206A-B80F-43CD-90C1-B3DD5012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7C"/>
    <w:pPr>
      <w:spacing w:after="0" w:line="30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paragraph" w:customStyle="1" w:styleId="a9">
    <w:name w:val="текст"/>
    <w:basedOn w:val="a8"/>
    <w:link w:val="aa"/>
    <w:qFormat/>
    <w:rsid w:val="00F3312B"/>
    <w:pPr>
      <w:spacing w:before="0" w:after="0" w:line="360" w:lineRule="auto"/>
      <w:jc w:val="both"/>
    </w:pPr>
    <w:rPr>
      <w:sz w:val="24"/>
    </w:rPr>
  </w:style>
  <w:style w:type="character" w:customStyle="1" w:styleId="aa">
    <w:name w:val="текст Знак"/>
    <w:basedOn w:val="a0"/>
    <w:link w:val="a9"/>
    <w:rsid w:val="00F3312B"/>
    <w:rPr>
      <w:rFonts w:ascii="Times New Roman" w:hAnsi="Times New Roman"/>
      <w:sz w:val="24"/>
    </w:rPr>
  </w:style>
  <w:style w:type="character" w:styleId="ab">
    <w:name w:val="Placeholder Text"/>
    <w:basedOn w:val="a0"/>
    <w:uiPriority w:val="99"/>
    <w:semiHidden/>
    <w:rsid w:val="009F5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c\5%20&#1089;&#1077;&#1084;&#1072;&#1082;\&#1058;&#1077;&#1087;&#1083;&#1086;&#1086;&#1073;&#1084;&#1077;&#1085;\&#1051;&#1072;&#1073;&#1072;_2\&#1051;&#1072;&#1073;&#1072;_2_&#1058;&#1077;&#1087;&#1083;&#1086;&#1086;&#1073;&#1084;&#1077;&#108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Лист1!$C$9:$C$13</c:f>
              <c:numCache>
                <c:formatCode>General</c:formatCode>
                <c:ptCount val="5"/>
                <c:pt idx="0">
                  <c:v>2.5459468935229652</c:v>
                </c:pt>
                <c:pt idx="1">
                  <c:v>4.3312767285337568</c:v>
                </c:pt>
                <c:pt idx="2">
                  <c:v>4.8036254683921742</c:v>
                </c:pt>
                <c:pt idx="3">
                  <c:v>4.9529477867192915</c:v>
                </c:pt>
                <c:pt idx="4">
                  <c:v>5.1532338549846362</c:v>
                </c:pt>
              </c:numCache>
            </c:numRef>
          </c:xVal>
          <c:yVal>
            <c:numRef>
              <c:f>Лист1!$B$9:$B$13</c:f>
              <c:numCache>
                <c:formatCode>General</c:formatCode>
                <c:ptCount val="5"/>
                <c:pt idx="0">
                  <c:v>-1.9510548240167618</c:v>
                </c:pt>
                <c:pt idx="1">
                  <c:v>-3.1800821582602659</c:v>
                </c:pt>
                <c:pt idx="2">
                  <c:v>-3.3514009024547025</c:v>
                </c:pt>
                <c:pt idx="3">
                  <c:v>-3.2155454527778273</c:v>
                </c:pt>
                <c:pt idx="4">
                  <c:v>-3.2731640174744405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C8-4096-B177-1DDB71AA56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5815928"/>
        <c:axId val="495812648"/>
      </c:scatterChart>
      <c:valAx>
        <c:axId val="495815928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0" baseline="0">
                    <a:solidFill>
                      <a:sysClr val="windowText" lastClr="000000"/>
                    </a:solidFill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lg(Gr*Pr)</a:t>
                </a:r>
                <a:endParaRPr lang="ru-RU">
                  <a:solidFill>
                    <a:sysClr val="windowText" lastClr="000000"/>
                  </a:solidFill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812648"/>
        <c:crosses val="autoZero"/>
        <c:crossBetween val="midCat"/>
      </c:valAx>
      <c:valAx>
        <c:axId val="495812648"/>
        <c:scaling>
          <c:orientation val="minMax"/>
          <c:max val="-1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lg(Nu)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815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5</cp:revision>
  <dcterms:created xsi:type="dcterms:W3CDTF">2024-11-05T16:31:00Z</dcterms:created>
  <dcterms:modified xsi:type="dcterms:W3CDTF">2024-11-05T18:04:00Z</dcterms:modified>
</cp:coreProperties>
</file>