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Georgia" w:hAnsi="Georgia"/>
          <w:b/>
          <w:color w:val="0A0F2C"/>
          <w:sz w:val="108"/>
        </w:rPr>
        <w:t>NEXA</w:t>
      </w:r>
    </w:p>
    <w:p>
      <w:pPr>
        <w:jc w:val="center"/>
      </w:pPr>
      <w:r>
        <w:rPr>
          <w:color w:val="7C3AED"/>
          <w:sz w:val="40"/>
        </w:rPr>
        <w:t>Strategy &amp; Product Roadmap</w:t>
      </w:r>
    </w:p>
    <w:p>
      <w:pPr>
        <w:jc w:val="center"/>
      </w:pPr>
      <w:r>
        <w:rPr>
          <w:color w:val="6B7280"/>
          <w:sz w:val="26"/>
        </w:rPr>
        <w:t>The AI Workforce Operating System</w:t>
      </w:r>
    </w:p>
    <w:p>
      <w:pPr>
        <w:jc w:val="center"/>
      </w:pPr>
      <w:r>
        <w:rPr>
          <w:color w:val="6B7280"/>
          <w:sz w:val="22"/>
        </w:rPr>
        <w:t>2026  ·  Confidential</w:t>
      </w:r>
    </w:p>
    <w:p>
      <w:r>
        <w:br w:type="page"/>
      </w:r>
    </w:p>
    <w:p>
      <w:pPr>
        <w:pStyle w:val="Heading1"/>
      </w:pPr>
      <w:r>
        <w:rPr>
          <w:rFonts w:ascii="Calibri" w:hAnsi="Calibri"/>
          <w:color w:val="0A0F2C"/>
          <w:sz w:val="36"/>
        </w:rPr>
        <w:t>Executive summary</w:t>
      </w:r>
    </w:p>
    <w:p>
      <w:pPr>
        <w:spacing w:after="160"/>
      </w:pPr>
      <w:r>
        <w:t>NEXA is an AI workforce operating system: instead of yet another dashboard, it deploys autonomous "AI employees" that carry out real operational work — handling email, updating the CRM, chasing invoices, resolving tickets, screening candidates and generating documents — inside the tools a company already uses.</w:t>
      </w:r>
    </w:p>
    <w:p>
      <w:pPr>
        <w:spacing w:after="160"/>
      </w:pPr>
      <w:r>
        <w:t>The product is already built and working end to end: a marketing site, a marketplace where AI employees are installed like apps, a Command Center with live activity and metrics, a document engine that produces real Excel, Word and PowerPoint files, a human-in-the-loop approval queue, a full audit log, a per-employee autonomy dial and a live ROI view. A zero-dependency server persists state and runs an execution engine; connectors run in a safe sandbox today with a clean path to live OAuth integrations.</w:t>
      </w:r>
    </w:p>
    <w:p>
      <w:pPr>
        <w:spacing w:after="160"/>
      </w:pPr>
      <w:r>
        <w:t>The opportunity now is to convert a polished, working product into a fundable, revenue-generating company by shipping a small number of real integrations, landing two to three lighthouse customers, and hardening trust and security.</w:t>
      </w:r>
    </w:p>
    <w:p>
      <w:pPr>
        <w:pStyle w:val="Heading1"/>
      </w:pPr>
      <w:r>
        <w:rPr>
          <w:rFonts w:ascii="Calibri" w:hAnsi="Calibri"/>
          <w:color w:val="0A0F2C"/>
          <w:sz w:val="36"/>
        </w:rPr>
        <w:t>The opportunity</w:t>
      </w:r>
    </w:p>
    <w:p>
      <w:pPr>
        <w:pStyle w:val="Heading2"/>
      </w:pPr>
      <w:r>
        <w:rPr>
          <w:rFonts w:ascii="Calibri" w:hAnsi="Calibri"/>
          <w:color w:val="2563EB"/>
          <w:sz w:val="27"/>
        </w:rPr>
        <w:t>The problem</w:t>
      </w:r>
    </w:p>
    <w:p>
      <w:pPr>
        <w:spacing w:after="160"/>
      </w:pPr>
      <w:r>
        <w:t>Growing companies lose thousands of hours a year to repetitive back-office work. Hiring does not scale cleanly with operational load, and almost all software stops at showing information rather than doing the work. The result is expensive headcount spent on tasks that should be automated.</w:t>
      </w:r>
    </w:p>
    <w:p>
      <w:pPr>
        <w:pStyle w:val="Heading2"/>
      </w:pPr>
      <w:r>
        <w:rPr>
          <w:rFonts w:ascii="Calibri" w:hAnsi="Calibri"/>
          <w:color w:val="2563EB"/>
          <w:sz w:val="27"/>
        </w:rPr>
        <w:t>Why now</w:t>
      </w:r>
    </w:p>
    <w:p>
      <w:pPr>
        <w:spacing w:after="160"/>
      </w:pPr>
      <w:r>
        <w:t>Frontier models have become reliable enough to act, not merely suggest. Buyers increasingly want outcomes rather than another seat to manage, and budgets are shifting from software licences toward "digital labour". The window to establish a trusted execution platform — rather than a copilot — is open.</w:t>
      </w:r>
    </w:p>
    <w:p>
      <w:pPr>
        <w:pStyle w:val="Heading1"/>
      </w:pPr>
      <w:r>
        <w:rPr>
          <w:rFonts w:ascii="Calibri" w:hAnsi="Calibri"/>
          <w:color w:val="0A0F2C"/>
          <w:sz w:val="36"/>
        </w:rPr>
        <w:t>Product</w:t>
      </w:r>
    </w:p>
    <w:p>
      <w:pPr>
        <w:spacing w:after="160"/>
      </w:pPr>
      <w:r>
        <w:t>NEXA is organised around named AI employees, each owning a function: Emma (Operations), Liam (Sales), Sophie (Finance), Noah (Support), Maya (Recruiting) and Ava (Documents). New specialists are installed from the Marketplace in one click. The Command Center is the single cockpit for the whole digital workforce.</w:t>
      </w:r>
    </w:p>
    <w:p>
      <w:pPr>
        <w:pStyle w:val="Heading2"/>
      </w:pPr>
      <w:r>
        <w:rPr>
          <w:rFonts w:ascii="Calibri" w:hAnsi="Calibri"/>
          <w:color w:val="2563EB"/>
          <w:sz w:val="27"/>
        </w:rPr>
        <w:t>How it works — and why it can be trusted</w:t>
      </w:r>
    </w:p>
    <w:p>
      <w:pPr>
        <w:spacing w:after="160"/>
      </w:pPr>
      <w:r>
        <w:t>Every request runs through the same loop: Understand (read the relevant context), Decide (choose the next best action against goals and policy) and Execute (carry it out in live systems). Trust is built in: each employee has an autonomy dial from Supervised to Autonomous. Supervised actions enter an approval queue and only run after a human approves them; autonomous employees act directly. Either way, every command, execution, approval and change is written to a complete, traceable audit log.</w:t>
      </w:r>
    </w:p>
    <w:p>
      <w:pPr>
        <w:pStyle w:val="Heading2"/>
      </w:pPr>
      <w:r>
        <w:rPr>
          <w:rFonts w:ascii="Calibri" w:hAnsi="Calibri"/>
          <w:color w:val="2563EB"/>
          <w:sz w:val="27"/>
        </w:rPr>
        <w:t>Document engine</w:t>
      </w:r>
    </w:p>
    <w:p>
      <w:pPr>
        <w:spacing w:after="160"/>
      </w:pPr>
      <w:r>
        <w:t>Ava turns connected data into finished deliverables — Excel models with live formulas, formatted Word reports and PowerPoint decks — on demand or on a schedule. This is the clearest, most demonstrable wedge: it produces tangible output a buyer can hold on day one.</w:t>
      </w:r>
    </w:p>
    <w:p>
      <w:pPr>
        <w:pStyle w:val="Heading1"/>
      </w:pPr>
      <w:r>
        <w:rPr>
          <w:rFonts w:ascii="Calibri" w:hAnsi="Calibri"/>
          <w:color w:val="0A0F2C"/>
          <w:sz w:val="36"/>
        </w:rPr>
        <w:t>Business model</w:t>
      </w:r>
    </w:p>
    <w:p>
      <w:pPr>
        <w:spacing w:after="160"/>
      </w:pPr>
      <w:r>
        <w:t>NEXA is priced like headcount rather than software. Plans run from Starter (€499/month for one AI employee), to Growth (€1,499/month for five), to Scale (€4,999/month for twenty-five, including a free MacBook on annual billing), with a custom Enterprise tier for unlimited workforce and private infrastructure. Revenue expands naturally as customers add more employees and seats, and annual plans improve both cash position and retention.</w:t>
      </w:r>
    </w:p>
    <w:p>
      <w:pPr>
        <w:pStyle w:val="Heading1"/>
      </w:pPr>
      <w:r>
        <w:rPr>
          <w:rFonts w:ascii="Calibri" w:hAnsi="Calibri"/>
          <w:color w:val="0A0F2C"/>
          <w:sz w:val="36"/>
        </w:rPr>
        <w:t>Go-to-market</w:t>
      </w:r>
    </w:p>
    <w:p>
      <w:pPr>
        <w:spacing w:after="160"/>
      </w:pPr>
      <w:r>
        <w:t>The initial motion is founder-led sales into EU SMB and mid-market teams that feel operational pain most acutely. The document engine and the live ROI view shorten the sales cycle by making value tangible immediately. Land with a single high-value employee (Operations or Documents), prove hours and euros saved, then expand across functions. Reference customers and published ROI become the primary growth engine.</w:t>
      </w:r>
    </w:p>
    <w:p>
      <w:pPr>
        <w:pStyle w:val="Heading1"/>
      </w:pPr>
      <w:r>
        <w:rPr>
          <w:rFonts w:ascii="Calibri" w:hAnsi="Calibri"/>
          <w:color w:val="0A0F2C"/>
          <w:sz w:val="36"/>
        </w:rPr>
        <w:t>Product roadmap</w:t>
      </w:r>
    </w:p>
    <w:p>
      <w:pPr>
        <w:pStyle w:val="Heading2"/>
      </w:pPr>
      <w:r>
        <w:rPr>
          <w:rFonts w:ascii="Calibri" w:hAnsi="Calibri"/>
          <w:color w:val="2563EB"/>
          <w:sz w:val="27"/>
        </w:rPr>
        <w:t>Now — working product</w:t>
      </w:r>
    </w:p>
    <w:p>
      <w:pPr>
        <w:spacing w:after="160"/>
      </w:pPr>
      <w:r>
        <w:t>Command Center, marketplace, document engine, approval queue, audit log, autonomy dial and live ROI are all live today, on a multilingual (EN/DE/NL) product surface with a polished brand.</w:t>
      </w:r>
    </w:p>
    <w:p>
      <w:pPr>
        <w:pStyle w:val="Heading2"/>
      </w:pPr>
      <w:r>
        <w:rPr>
          <w:rFonts w:ascii="Calibri" w:hAnsi="Calibri"/>
          <w:color w:val="2563EB"/>
          <w:sz w:val="27"/>
        </w:rPr>
        <w:t>Next — real integrations and first customers</w:t>
      </w:r>
    </w:p>
    <w:p>
      <w:pPr>
        <w:spacing w:after="160"/>
      </w:pPr>
      <w:r>
        <w:t>Ship production Gmail, HubSpot and Google Calendar connectors via OAuth behind the existing approval and audit layer; onboard two to three pilot customers; add usage-based options alongside per-employee pricing; complete a first security review.</w:t>
      </w:r>
    </w:p>
    <w:p>
      <w:pPr>
        <w:pStyle w:val="Heading2"/>
      </w:pPr>
      <w:r>
        <w:rPr>
          <w:rFonts w:ascii="Calibri" w:hAnsi="Calibri"/>
          <w:color w:val="2563EB"/>
          <w:sz w:val="27"/>
        </w:rPr>
        <w:t>Later — scale and network effects</w:t>
      </w:r>
    </w:p>
    <w:p>
      <w:pPr>
        <w:spacing w:after="160"/>
      </w:pPr>
      <w:r>
        <w:t>Add per-employee memory and learning from corrections, multi-agent hand-offs so employees collaborate on a task, and a community marketplace where third parties publish AI employees under a revenue-share model — creating a defensible network effect.</w:t>
      </w:r>
    </w:p>
    <w:p>
      <w:pPr>
        <w:pStyle w:val="Heading1"/>
      </w:pPr>
      <w:r>
        <w:rPr>
          <w:rFonts w:ascii="Calibri" w:hAnsi="Calibri"/>
          <w:color w:val="0A0F2C"/>
          <w:sz w:val="36"/>
        </w:rPr>
        <w:t>Financial highlights</w:t>
      </w:r>
    </w:p>
    <w:p>
      <w:pPr>
        <w:spacing w:after="160"/>
      </w:pPr>
      <w:r>
        <w:t>The accompanying financial model (NEXA-Financial-Model.xlsx) projects 36 months from a small pilot base, with per-employee ARPA, monthly logo churn and opex growth as adjustable assumptions. It outputs MRR, ARR, gross profit, EBITDA and cumulative cash, plus an indicative valuation range at 5×, 8× and 12× Year-3 ARR. The figures are illustrative and intended to be stress-tested, not relied upon as forecasts or financial advice.</w:t>
      </w:r>
    </w:p>
    <w:p>
      <w:pPr>
        <w:pStyle w:val="Heading1"/>
      </w:pPr>
      <w:r>
        <w:rPr>
          <w:rFonts w:ascii="Calibri" w:hAnsi="Calibri"/>
          <w:color w:val="0A0F2C"/>
          <w:sz w:val="36"/>
        </w:rPr>
        <w:t>Risks and mitigations</w:t>
      </w:r>
    </w:p>
    <w:p>
      <w:pPr>
        <w:spacing w:after="160"/>
      </w:pPr>
      <w:r>
        <w:t>Execution reliability is the central risk: acting in customers’ live systems must be trustworthy. This is mitigated by the supervised-by-default autonomy dial, the approval queue and the audit log, and by going live one connector at a time. Trust and security are addressed by least-privilege access and a planned SOC 2 process. Competitive risk from larger players is mitigated by focusing on real execution with built-in governance rather than generic copilots, and by speed to reference customers.</w:t>
      </w:r>
    </w:p>
    <w:p>
      <w:pPr>
        <w:pStyle w:val="Heading1"/>
      </w:pPr>
      <w:r>
        <w:rPr>
          <w:rFonts w:ascii="Calibri" w:hAnsi="Calibri"/>
          <w:color w:val="0A0F2C"/>
          <w:sz w:val="36"/>
        </w:rPr>
        <w:t>The ask</w:t>
      </w:r>
    </w:p>
    <w:p>
      <w:pPr>
        <w:spacing w:after="160"/>
      </w:pPr>
      <w:r>
        <w:t>We are raising a pre-seed round to take NEXA from a proven product to a company with paying customers. Use of funds: engineering for real connectors and reliability; go-to-market for two to three lighthouse customers; and trust and security (SOC 2, permissions, audit). Contact: kkain25@gmail.com.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