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Logo Detection in News</w:t>
      </w:r>
    </w:p>
    <w:p>
      <w:pPr>
        <w:spacing w:after="600"/>
        <w:jc w:val="center"/>
      </w:pPr>
      <w:r>
        <w:rPr>
          <w:color w:val="595959"/>
          <w:sz w:val="28"/>
          <w:szCs w:val="28"/>
        </w:rPr>
        <w:t xml:space="preserve">Технический отчёт: обнаружение логотипов компаний на новостных изображениях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Тестовое задание · Компьютерное зрение</w:t>
      </w:r>
    </w:p>
    <w:p>
      <w:pPr>
        <w:spacing w:after="40"/>
        <w:jc w:val="center"/>
      </w:pPr>
      <w:r>
        <w:rPr>
          <w:sz w:val="22"/>
          <w:szCs w:val="22"/>
        </w:rPr>
        <w:t xml:space="preserve">Дата: август 2026</w:t>
      </w:r>
    </w:p>
    <w:p>
      <w:pPr>
        <w:jc w:val="center"/>
      </w:pPr>
      <w:r>
        <w:rPr>
          <w:sz w:val="22"/>
          <w:szCs w:val="22"/>
        </w:rPr>
        <w:t xml:space="preserve">Модель: YOLOv8n (fine-tuned) · Датасет: QMUL-OpenLogo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Резюме</w:t>
      </w:r>
    </w:p>
    <w:p>
      <w:pPr>
        <w:spacing w:after="160" w:line="300"/>
      </w:pPr>
      <w:r>
        <w:t xml:space="preserve">Задача — построить систему детекции логотипов компаний на новостных изображениях, формализуемую как функция VisualEntities(image) → [(entity, box, score)]. Решение включает: обзор и обоснованный выбор метода детекции, fine-tuned модель YOLOv8n на 15 классах брендов, FastAPI-инференс-сервис и практическую валидацию на внешних изображениях.</w:t>
      </w:r>
    </w:p>
    <w:p>
      <w:pPr>
        <w:pStyle w:val="Heading2"/>
        <w:spacing w:after="120" w:before="280"/>
      </w:pPr>
      <w:r>
        <w:t xml:space="preserve">Ключевые результаты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mAP50 = 0.843, precision = 0.902, recall = 0.773 на отложенной тестовой выборке (1076 изображений)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Скорость инференса: 22.4 мс/изображение (44.6 FPS) на GPU Tesla T4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Инференс-сервис на FastAPI с эндпоинтами /detect (URL) и /detect/file (загрузка), с дискретизацией score на low/medium/high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Валидация на внешних новостных/уличных фото подтвердила отсутствие ложных срабатываний на изображениях без целевых брендов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Выявлено и задокументировано слабое место: логотипы с минималистичной геометрией (nike) детектируются с заметно более низким recall (0.45)</w:t>
      </w:r>
    </w:p>
    <w:p>
      <w:pPr>
        <w:pStyle w:val="Heading1"/>
        <w:spacing w:after="160" w:before="360"/>
      </w:pPr>
      <w:r>
        <w:t xml:space="preserve">2. Постановка задачи</w:t>
      </w:r>
    </w:p>
    <w:p>
      <w:pPr>
        <w:spacing w:after="160" w:line="300"/>
      </w:pPr>
      <w:r>
        <w:t xml:space="preserve">Формальная задача, поставленная в задании: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</w:rPr>
        <w:t xml:space="preserve">VisualEntities(изображение) = [(сущность, box, score)]</w:t>
      </w:r>
    </w:p>
    <w:p>
      <w:pPr>
        <w:spacing w:after="160" w:line="300"/>
      </w:pPr>
      <w:r>
        <w:t xml:space="preserve">где изображение — фотография или иллюстрация из новостной публикации; сущность — компания/организация; box — координаты логотипа; score — уверенность модели от 0 до 1.</w:t>
      </w:r>
    </w:p>
    <w:p>
      <w:pPr>
        <w:pStyle w:val="Heading2"/>
        <w:spacing w:after="120" w:before="280"/>
      </w:pPr>
      <w:r>
        <w:t xml:space="preserve">Требования к решению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Определять отсутствие, одну или несколько целевых сущностей на изображении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Распознавать логотипы разного масштаба, при повороте, перекрытии и сжатии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Не определять сущность по контексту при отсутствии видимого логотипа (защита от false positive по ассоциации)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10-20 классов, лёгкий детектор (YOLO nano/small или аналог), решение в пределах 8 ГБ VRAM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FastAPI-сервис или скрипт, принимающий URL/локальное изображение, возвращающий 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Метрики: mAP50, precision, recall, F1 по классам, скорость инференса; дискретизация score на low/medium/high</w:t>
      </w:r>
    </w:p>
    <w:p>
      <w:pPr>
        <w:pStyle w:val="Heading1"/>
        <w:spacing w:after="160" w:before="360"/>
      </w:pPr>
      <w:r>
        <w:t xml:space="preserve">3. Обзор методов и обоснование выбора</w:t>
      </w:r>
    </w:p>
    <w:p>
      <w:pPr>
        <w:spacing w:after="160" w:line="300"/>
      </w:pPr>
      <w:r>
        <w:t xml:space="preserve">Для формирования обоснованного выбора архитектуры был проведён сравнительный анализ пяти классов подходов к детекции объектов, применимых к задаче распознавания логотипов.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30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Подход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Точность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Лёгкость</w:t>
            </w:r>
          </w:p>
        </w:tc>
        <w:tc>
          <w:tcPr>
            <w:tcW w:type="dxa" w:w="30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Риск FP по контексту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Template/feature matching (SIFT/ORB)</w:t>
            </w:r>
          </w:p>
        </w:tc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очень лёгкий</w:t>
            </w:r>
          </w:p>
        </w:tc>
        <w:tc>
          <w:tcPr>
            <w:tcW w:type="dxa" w:w="3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низкий (но пропускает деформации)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Faster R-CNN (two-stage)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тяжёлый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2400"/>
            <w:shd w:fill="E7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YOLO nano/small (one-stage) — выбор</w:t>
            </w:r>
          </w:p>
        </w:tc>
        <w:tc>
          <w:tcPr>
            <w:tcW w:type="dxa" w:w="1300"/>
            <w:shd w:fill="E7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средняя-высокая</w:t>
            </w:r>
          </w:p>
        </w:tc>
        <w:tc>
          <w:tcPr>
            <w:tcW w:type="dxa" w:w="1300"/>
            <w:shd w:fill="E7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300"/>
            <w:shd w:fill="E7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лёгкий</w:t>
            </w:r>
          </w:p>
        </w:tc>
        <w:tc>
          <w:tcPr>
            <w:tcW w:type="dxa" w:w="3060"/>
            <w:shd w:fill="E7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низкий (closed-set)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RT-DETR / DETR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средний-тяжёлый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Open-vocabulary (Grounding DINO, YOLO-World)</w:t>
            </w:r>
          </w:p>
        </w:tc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средняя-низкая</w:t>
            </w:r>
          </w:p>
        </w:tc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тяжёлый</w:t>
            </w:r>
          </w:p>
        </w:tc>
        <w:tc>
          <w:tcPr>
            <w:tcW w:type="dxa" w:w="3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высокий — угадывает бренд по контексту</w:t>
            </w:r>
          </w:p>
        </w:tc>
      </w:tr>
    </w:tbl>
    <w:p>
      <w:pPr>
        <w:spacing w:before="240"/>
      </w:pPr>
    </w:p>
    <w:p>
      <w:pPr>
        <w:pStyle w:val="Heading2"/>
        <w:spacing w:after="120" w:before="280"/>
      </w:pPr>
      <w:r>
        <w:t xml:space="preserve">Обоснование выбора YOLOv8n</w:t>
      </w:r>
    </w:p>
    <w:p>
      <w:pPr>
        <w:spacing w:after="160" w:line="300"/>
      </w:pPr>
      <w:r>
        <w:t xml:space="preserve">Выбор одноэтапного детектора семейства YOLO (nano) обоснован следующими факторами: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Прямое соответствие требованиям задания: лёгкая модель, помещающаяся в 8 ГБ VRAM, без необходимости обучения с нуля (fine-tune от весов, предобученных на COCO).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Multi-scale архитектура (backbone → neck с FPN/PANet-подобным слиянием признаков → three-scale detection head) обеспечивает устойчивое обнаружение логотипов разного размера — от крупных вывесок до мелких элементов на одежде.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Closed-set классификация (обучение на фиксированном наборе классов-брендов) структурно снижает риск ложного срабатывания по контексту в сравнении с open-vocabulary детекторами (Grounding DINO, YOLO-World), которые могут ассоциировать бренд со стилистическим контекстом при отсутствии видимого логотипа — это прямо запрещено условием задания.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One-stage архитектура даёт скорость, достаточную для батчевой обработки новостного потока (требование доп. пункта задания).</w:t>
      </w:r>
    </w:p>
    <w:p>
      <w:pPr>
        <w:spacing w:after="160" w:line="300"/>
      </w:pPr>
      <w:r>
        <w:t xml:space="preserve">Альтернативы (Faster R-CNN, RT-DETR) дают сопоставимую или незначительно более высокую точность на некоторых бенчмарках, но не проходят по требованию к лёгкости и скорости инференса при равном или большем объёме вычислений на кадр.</w:t>
      </w:r>
    </w:p>
    <w:p>
      <w:pPr>
        <w:pStyle w:val="Heading1"/>
        <w:spacing w:after="160" w:before="360"/>
      </w:pPr>
      <w:r>
        <w:t xml:space="preserve">4. Данные</w:t>
      </w:r>
    </w:p>
    <w:p>
      <w:pPr>
        <w:pStyle w:val="Heading2"/>
        <w:spacing w:after="120" w:before="280"/>
      </w:pPr>
      <w:r>
        <w:t xml:space="preserve">4.1. Источник</w:t>
      </w:r>
    </w:p>
    <w:p>
      <w:pPr>
        <w:spacing w:after="160" w:line="300"/>
      </w:pPr>
      <w:r>
        <w:t xml:space="preserve">Использован датасет QMUL-OpenLogo (27 083 изображения, 352 класса логотипов, разметка в формате PASCAL VOC XML) — один из двух источников, указанных в задании как рекомендуемый.</w:t>
      </w:r>
    </w:p>
    <w:p>
      <w:pPr>
        <w:pStyle w:val="Heading2"/>
        <w:spacing w:after="120" w:before="280"/>
      </w:pPr>
      <w:r>
        <w:t xml:space="preserve">4.2. Отбор классов</w:t>
      </w:r>
    </w:p>
    <w:p>
      <w:pPr>
        <w:spacing w:after="160" w:line="300"/>
      </w:pPr>
      <w:r>
        <w:t xml:space="preserve">Из 352 доступных классов отобраны 15 узнаваемых международных брендов из разных товарных категорий (напитки, фастфуд, технологии, спорт, автомобили, логистика), с достаточным количеством размеченных примеров на класс (224–784):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Кол-во изображений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</w:tr>
      <w:tr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cocacola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784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напитки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bmw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717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авто</w:t>
            </w:r>
          </w:p>
        </w:tc>
      </w:tr>
      <w:tr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starbucks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697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напитки/сети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541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техника</w:t>
            </w:r>
          </w:p>
        </w:tc>
      </w:tr>
      <w:tr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fedex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468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логистика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pepsi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447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напитки</w:t>
            </w:r>
          </w:p>
        </w:tc>
      </w:tr>
      <w:tr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nike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430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спорт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hp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392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техника</w:t>
            </w:r>
          </w:p>
        </w:tc>
      </w:tr>
      <w:tr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ups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360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логистика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volkswagen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авто</w:t>
            </w:r>
          </w:p>
        </w:tc>
      </w:tr>
      <w:tr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adidas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283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спорт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281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авто</w:t>
            </w:r>
          </w:p>
        </w:tc>
      </w:tr>
      <w:tr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mcdonalds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фастфуд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224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техника</w:t>
            </w:r>
          </w:p>
        </w:tc>
      </w:tr>
      <w:tr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nvidia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224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техника</w:t>
            </w:r>
          </w:p>
        </w:tc>
      </w:tr>
    </w:tbl>
    <w:p>
      <w:pPr>
        <w:spacing w:before="240"/>
      </w:pPr>
    </w:p>
    <w:p>
      <w:pPr>
        <w:pStyle w:val="Heading2"/>
        <w:spacing w:after="120" w:before="280"/>
      </w:pPr>
      <w:r>
        <w:t xml:space="preserve">4.3. Подготовка и разбиение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Из 27 083 размеченных изображений отобрано 6 516 с хотя бы одним из 15 целевых классов.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Дополнительно подмешано ~10% изображений без целевых логотипов (651 шт.) — намеренно, чтобы модель обучалась не находить сущность там, где логотип физически отсутствует.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Итоговое разбиение: train 5 016 / val 1 075 / test 1 076 изображений (стратифицированный случайный сплит 70/15/15, seed=42).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Координаты рамок сконвертированы из формата VOC (xmin/ymin/xmax/ymax, пиксели) в формат YOLO (нормализованный x_center/y_center/width/height).</w:t>
      </w:r>
    </w:p>
    <w:p>
      <w:pPr>
        <w:pStyle w:val="Heading1"/>
        <w:spacing w:after="160" w:before="360"/>
      </w:pPr>
      <w:r>
        <w:t xml:space="preserve">5. Модель и обучение</w:t>
      </w:r>
    </w:p>
    <w:p>
      <w:pPr>
        <w:pStyle w:val="Heading2"/>
        <w:spacing w:after="120" w:before="280"/>
      </w:pPr>
      <w:r>
        <w:t xml:space="preserve">5.1. Архитектура</w:t>
      </w:r>
    </w:p>
    <w:p>
      <w:pPr>
        <w:spacing w:after="160" w:line="300"/>
      </w:pPr>
      <w:r>
        <w:t xml:space="preserve">YOLOv8n (nano) — 73 слоя после fusion, 3 008 573 параметра, 8.1 GFLOPs. Backbone предобучен на COCO; голова переобучена под 15 целевых классов (fine-tuning, обучение с нуля не проводилось).</w:t>
      </w:r>
    </w:p>
    <w:p>
      <w:pPr>
        <w:pStyle w:val="Heading2"/>
        <w:spacing w:after="120" w:before="280"/>
      </w:pPr>
      <w:r>
        <w:t xml:space="preserve">5.2. Гиперпараметры обучения</w:t>
      </w:r>
    </w:p>
    <w:p>
      <w:pPr>
        <w:spacing w:after="60"/>
      </w:pPr>
      <w:r>
        <w:rPr>
          <w:b/>
          <w:bCs/>
        </w:rPr>
        <w:t xml:space="preserve">Разрешение входа: </w:t>
      </w:r>
      <w:r>
        <w:t xml:space="preserve">640×640</w:t>
      </w:r>
    </w:p>
    <w:p>
      <w:pPr>
        <w:spacing w:after="60"/>
      </w:pPr>
      <w:r>
        <w:rPr>
          <w:b/>
          <w:bCs/>
        </w:rPr>
        <w:t xml:space="preserve">Batch size: </w:t>
      </w:r>
      <w:r>
        <w:t xml:space="preserve">16</w:t>
      </w:r>
    </w:p>
    <w:p>
      <w:pPr>
        <w:spacing w:after="60"/>
      </w:pPr>
      <w:r>
        <w:rPr>
          <w:b/>
          <w:bCs/>
        </w:rPr>
        <w:t xml:space="preserve">Эпохи: </w:t>
      </w:r>
      <w:r>
        <w:t xml:space="preserve">60 (early stopping patience=15, не сработал — обучение прошло все 60 эпох)</w:t>
      </w:r>
    </w:p>
    <w:p>
      <w:pPr>
        <w:spacing w:after="60"/>
      </w:pPr>
      <w:r>
        <w:rPr>
          <w:b/>
          <w:bCs/>
        </w:rPr>
        <w:t xml:space="preserve">Оптимизатор: </w:t>
      </w:r>
      <w:r>
        <w:t xml:space="preserve">auto (SGD/AdamW, подбирается Ultralytics)</w:t>
      </w:r>
    </w:p>
    <w:p>
      <w:pPr>
        <w:spacing w:after="60"/>
      </w:pPr>
      <w:r>
        <w:rPr>
          <w:b/>
          <w:bCs/>
        </w:rPr>
        <w:t xml:space="preserve">Аугментации: </w:t>
      </w:r>
      <w:r>
        <w:t xml:space="preserve">mosaic=1.0, mixup=0.1, degrees=15°, scale=0.5, perspective=0.0005, fliplr=0.5, hsv (h=0.015, s=0.5, v=0.3)</w:t>
      </w:r>
    </w:p>
    <w:p>
      <w:pPr>
        <w:spacing w:after="160" w:line="300"/>
      </w:pPr>
      <w:r>
        <w:t xml:space="preserve">Аугментации подобраны целенаправленно под требование задания к устойчивости при повороте, масштабировании, перекрытии и сжатии: mosaic и scale имитируют разный размер логотипа в кадре, degrees и perspective — поворот и наклон, mixup — робастность к перекрытиям и шуму.</w:t>
      </w:r>
    </w:p>
    <w:p>
      <w:pPr>
        <w:pStyle w:val="Heading2"/>
        <w:spacing w:after="120" w:before="280"/>
      </w:pPr>
      <w:r>
        <w:t xml:space="preserve">5.3. Инфраструктура</w:t>
      </w:r>
    </w:p>
    <w:p>
      <w:pPr>
        <w:spacing w:after="60"/>
      </w:pPr>
      <w:r>
        <w:rPr>
          <w:b/>
          <w:bCs/>
        </w:rPr>
        <w:t xml:space="preserve">Среда обучения: </w:t>
      </w:r>
      <w:r>
        <w:t xml:space="preserve">Google Colab, GPU Tesla T4 (16 ГБ VRAM)</w:t>
      </w:r>
    </w:p>
    <w:p>
      <w:pPr>
        <w:spacing w:after="60"/>
      </w:pPr>
      <w:r>
        <w:rPr>
          <w:b/>
          <w:bCs/>
        </w:rPr>
        <w:t xml:space="preserve">Версии: </w:t>
      </w:r>
      <w:r>
        <w:t xml:space="preserve">Ultralytics 8.4.125, PyTorch 2.11.0+cu128, Python 3.12.13</w:t>
      </w:r>
    </w:p>
    <w:p>
      <w:pPr>
        <w:spacing w:after="60"/>
      </w:pPr>
      <w:r>
        <w:rPr>
          <w:b/>
          <w:bCs/>
        </w:rPr>
        <w:t xml:space="preserve">Время обучения: </w:t>
      </w:r>
      <w:r>
        <w:t xml:space="preserve">≈ 2 часа (60 эпох, полный датасет)</w:t>
      </w:r>
    </w:p>
    <w:p>
      <w:pPr>
        <w:pStyle w:val="Heading1"/>
        <w:spacing w:after="160" w:before="360"/>
      </w:pPr>
      <w:r>
        <w:t xml:space="preserve">6. Результаты оценки</w:t>
      </w:r>
    </w:p>
    <w:p>
      <w:pPr>
        <w:pStyle w:val="Heading2"/>
        <w:spacing w:after="120" w:before="280"/>
      </w:pPr>
      <w:r>
        <w:t xml:space="preserve">6.1. Общие метрики (тестовая выборка, 1076 изображений)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mAP50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mAP50-95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0.843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02A2A"/>
                <w:sz w:val="20"/>
                <w:szCs w:val="20"/>
              </w:rPr>
              <w:t xml:space="preserve">0.590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0.902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0.773</w:t>
            </w:r>
          </w:p>
        </w:tc>
      </w:tr>
    </w:tbl>
    <w:p>
      <w:pPr>
        <w:spacing w:before="240"/>
      </w:pPr>
    </w:p>
    <w:p>
      <w:pPr>
        <w:pStyle w:val="Heading2"/>
        <w:spacing w:after="120" w:before="280"/>
      </w:pPr>
      <w:r>
        <w:t xml:space="preserve">6.2. Метрики по классам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mAP50</w:t>
            </w:r>
          </w:p>
        </w:tc>
      </w:tr>
      <w:tr>
        <w:tc>
          <w:tcPr>
            <w:tcW w:type="dxa" w:w="2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ups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B34"/>
                <w:sz w:val="20"/>
                <w:szCs w:val="20"/>
              </w:rPr>
              <w:t xml:space="preserve">0.987</w:t>
            </w:r>
          </w:p>
        </w:tc>
      </w:tr>
      <w:tr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starbucks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0.909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0.924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0.916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B34"/>
                <w:sz w:val="20"/>
                <w:szCs w:val="20"/>
              </w:rPr>
              <w:t xml:space="preserve">0.946</w:t>
            </w:r>
          </w:p>
        </w:tc>
      </w:tr>
      <w:tr>
        <w:tc>
          <w:tcPr>
            <w:tcW w:type="dxa" w:w="2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hp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0.839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0.904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B34"/>
                <w:sz w:val="20"/>
                <w:szCs w:val="20"/>
              </w:rPr>
              <w:t xml:space="preserve">0.901</w:t>
            </w:r>
          </w:p>
        </w:tc>
      </w:tr>
      <w:tr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nvidia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0.765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0.845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0.803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B34"/>
                <w:sz w:val="20"/>
                <w:szCs w:val="20"/>
              </w:rPr>
              <w:t xml:space="preserve">0.911</w:t>
            </w:r>
          </w:p>
        </w:tc>
      </w:tr>
      <w:tr>
        <w:tc>
          <w:tcPr>
            <w:tcW w:type="dxa" w:w="2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ford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0.934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0.887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0.910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B34"/>
                <w:sz w:val="20"/>
                <w:szCs w:val="20"/>
              </w:rPr>
              <w:t xml:space="preserve">0.908</w:t>
            </w:r>
          </w:p>
        </w:tc>
      </w:tr>
      <w:tr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fedex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0.917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0.857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0.886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B34"/>
                <w:sz w:val="20"/>
                <w:szCs w:val="20"/>
              </w:rPr>
              <w:t xml:space="preserve">0.911</w:t>
            </w:r>
          </w:p>
        </w:tc>
      </w:tr>
      <w:tr>
        <w:tc>
          <w:tcPr>
            <w:tcW w:type="dxa" w:w="2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0.921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0.809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0.862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B34"/>
                <w:sz w:val="20"/>
                <w:szCs w:val="20"/>
              </w:rPr>
              <w:t xml:space="preserve">0.898</w:t>
            </w:r>
          </w:p>
        </w:tc>
      </w:tr>
      <w:tr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bmw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0.765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0.844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791F"/>
                <w:sz w:val="20"/>
                <w:szCs w:val="20"/>
              </w:rPr>
              <w:t xml:space="preserve">0.849</w:t>
            </w:r>
          </w:p>
        </w:tc>
      </w:tr>
      <w:tr>
        <w:tc>
          <w:tcPr>
            <w:tcW w:type="dxa" w:w="2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cocacola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0.862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0.768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0.812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791F"/>
                <w:sz w:val="20"/>
                <w:szCs w:val="20"/>
              </w:rPr>
              <w:t xml:space="preserve">0.848</w:t>
            </w:r>
          </w:p>
        </w:tc>
      </w:tr>
      <w:tr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pepsi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0.762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0.803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791F"/>
                <w:sz w:val="20"/>
                <w:szCs w:val="20"/>
              </w:rPr>
              <w:t xml:space="preserve">0.833</w:t>
            </w:r>
          </w:p>
        </w:tc>
      </w:tr>
      <w:tr>
        <w:tc>
          <w:tcPr>
            <w:tcW w:type="dxa" w:w="2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0.952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0.658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0.778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791F"/>
                <w:sz w:val="20"/>
                <w:szCs w:val="20"/>
              </w:rPr>
              <w:t xml:space="preserve">0.826</w:t>
            </w:r>
          </w:p>
        </w:tc>
      </w:tr>
      <w:tr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volkswagen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0.706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0.791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791F"/>
                <w:sz w:val="20"/>
                <w:szCs w:val="20"/>
              </w:rPr>
              <w:t xml:space="preserve">0.808</w:t>
            </w:r>
          </w:p>
        </w:tc>
      </w:tr>
      <w:tr>
        <w:tc>
          <w:tcPr>
            <w:tcW w:type="dxa" w:w="2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adidas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0.862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0.750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0.802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791F"/>
                <w:sz w:val="20"/>
                <w:szCs w:val="20"/>
              </w:rPr>
              <w:t xml:space="preserve">0.750</w:t>
            </w:r>
          </w:p>
        </w:tc>
      </w:tr>
      <w:tr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mcdonalds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2A2A"/>
                <w:sz w:val="20"/>
                <w:szCs w:val="20"/>
              </w:rPr>
              <w:t xml:space="preserve">0.598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0.695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2A2A"/>
                <w:sz w:val="20"/>
                <w:szCs w:val="20"/>
              </w:rPr>
              <w:t xml:space="preserve">0.667</w:t>
            </w:r>
          </w:p>
        </w:tc>
      </w:tr>
      <w:tr>
        <w:tc>
          <w:tcPr>
            <w:tcW w:type="dxa" w:w="2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nike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0.918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2A2A"/>
                <w:sz w:val="20"/>
                <w:szCs w:val="20"/>
              </w:rPr>
              <w:t xml:space="preserve">0.451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0.605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2A2A"/>
                <w:sz w:val="20"/>
                <w:szCs w:val="20"/>
              </w:rPr>
              <w:t xml:space="preserve">0.599</w:t>
            </w:r>
          </w:p>
        </w:tc>
      </w:tr>
    </w:tbl>
    <w:p>
      <w:pPr>
        <w:spacing w:before="240"/>
      </w:pPr>
    </w:p>
    <w:p>
      <w:pPr>
        <w:spacing w:after="160" w:line="300"/>
      </w:pPr>
      <w:r>
        <w:t xml:space="preserve">Классы отсортированы по mAP50. Красным выделен recall ниже 0.65 — зона повышенного риска пропуска (false negative).</w:t>
      </w:r>
    </w:p>
    <w:p>
      <w:pPr>
        <w:pStyle w:val="Heading2"/>
        <w:spacing w:after="120" w:before="280"/>
      </w:pPr>
      <w:r>
        <w:t xml:space="preserve">6.3. Скорость инференса</w:t>
      </w:r>
    </w:p>
    <w:p>
      <w:pPr>
        <w:spacing w:after="60"/>
      </w:pPr>
      <w:r>
        <w:rPr>
          <w:b/>
          <w:bCs/>
        </w:rPr>
        <w:t xml:space="preserve">Среднее время обработки: </w:t>
      </w:r>
      <w:r>
        <w:t xml:space="preserve">22.4 мс/изображение</w:t>
      </w:r>
    </w:p>
    <w:p>
      <w:pPr>
        <w:spacing w:after="60"/>
      </w:pPr>
      <w:r>
        <w:rPr>
          <w:b/>
          <w:bCs/>
        </w:rPr>
        <w:t xml:space="preserve">Пропускная способность: </w:t>
      </w:r>
      <w:r>
        <w:t xml:space="preserve">44.6 изображений/сек</w:t>
      </w:r>
    </w:p>
    <w:p>
      <w:pPr>
        <w:spacing w:after="60"/>
      </w:pPr>
      <w:r>
        <w:rPr>
          <w:b/>
          <w:bCs/>
        </w:rPr>
        <w:t xml:space="preserve">Условия замера: </w:t>
      </w:r>
      <w:r>
        <w:t xml:space="preserve">GPU Tesla T4, 50 изображений, разрешение 640×640, включая preprocess/postprocess</w:t>
      </w:r>
    </w:p>
    <w:p>
      <w:pPr>
        <w:pStyle w:val="Heading2"/>
        <w:spacing w:after="120" w:before="280"/>
      </w:pPr>
      <w:r>
        <w:t xml:space="preserve">6.4. Дискретизация score</w:t>
      </w:r>
    </w:p>
    <w:p>
      <w:pPr>
        <w:spacing w:after="160" w:line="300"/>
      </w:pPr>
      <w:r>
        <w:t xml:space="preserve">В соответствии с требованием задания, уверенность модели дискретизируется на три уровня: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low: 0.25 ≤ score &lt; 0.5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medium: 0.5 ≤ score &lt; 0.75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high: score ≥ 0.75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Детекции со score &lt; 0.25 отбрасываются на уровне модели (MIN_DETECTION_CONF)</w:t>
      </w:r>
    </w:p>
    <w:p>
      <w:pPr>
        <w:pStyle w:val="Heading1"/>
        <w:spacing w:after="160" w:before="360"/>
      </w:pPr>
      <w:r>
        <w:t xml:space="preserve">7. Качественная валидация на внешних изображениях</w:t>
      </w:r>
    </w:p>
    <w:p>
      <w:pPr>
        <w:spacing w:after="160" w:line="300"/>
      </w:pPr>
      <w:r>
        <w:t xml:space="preserve">Для проверки требования задания «показать корректные и ошибочные прогнозы» модель протестирована через развёрнутый FastAPI-сервис на 4 внешних изображениях (не входивших в датасет обучения), включая случай без целевых логотипов.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400"/>
        <w:gridCol w:w="1100"/>
        <w:gridCol w:w="1300"/>
        <w:gridCol w:w="2400"/>
      </w:tblGrid>
      <w:tr>
        <w:trPr>
          <w:tblHeader/>
        </w:trPr>
        <w:tc>
          <w:tcPr>
            <w:tcW w:type="dxa" w:w="3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Изображение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Найдено</w:t>
            </w:r>
          </w:p>
        </w:tc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Starbucks — вывеска кофейни (Сиэтл)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starbucks</w:t>
            </w:r>
          </w:p>
        </w:tc>
        <w:tc>
          <w:tcPr>
            <w:tcW w:type="dxa" w:w="11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0.948</w:t>
            </w:r>
          </w:p>
        </w:tc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Верно; найдено 2+ вхождения на одном фото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McDonald's — вывеска «золотые арки»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mcdonalds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Верно, крупный чёткий логотип</w:t>
            </w:r>
          </w:p>
        </w:tc>
      </w:tr>
      <w:tr>
        <w:tc>
          <w:tcPr>
            <w:tcW w:type="dxa" w:w="3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Прохожий в кроссовках Nike (street photo)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nike</w:t>
            </w:r>
          </w:p>
        </w:tc>
        <w:tc>
          <w:tcPr>
            <w:tcW w:type="dxa" w:w="11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0.412</w:t>
            </w:r>
          </w:p>
        </w:tc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Верно, но неуверенно — мелкий, частично видимый swoosh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Пейзаж Yosemite Valley (без логотипов)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detections: [] — ложных срабатываний нет</w:t>
            </w:r>
          </w:p>
        </w:tc>
      </w:tr>
    </w:tbl>
    <w:p>
      <w:pPr>
        <w:spacing w:before="240"/>
      </w:pPr>
    </w:p>
    <w:p>
      <w:pPr>
        <w:pStyle w:val="Heading2"/>
        <w:spacing w:after="120" w:before="280"/>
      </w:pPr>
      <w:r>
        <w:t xml:space="preserve">Интерпретация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Starbucks и McDonald's: уверенное обнаружение (score &gt; 0.89, high) на реальных уличных/новостных фото — подтверждает базовую работоспособность на данных, отличных от тренировочного домена.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Nike: логотип обнаружен, но с низкой уверенностью (score 0.41, low) — рамка занимает лишь ~42×32 px кадра. Согласуется с метрикой recall=0.45 для этого класса (см. раздел 6.2) и подтверждает гипотезу о том, что минималистичная геометрия swoosh хуже распознаётся на мелком масштабе.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Yosemite Valley (пейзаж без логотипов): detections = [] — ложных срабатываний не зафиксировано. Прямое подтверждение требования задания не определять сущность по контексту.</w:t>
      </w:r>
    </w:p>
    <w:p>
      <w:pPr>
        <w:pStyle w:val="Heading1"/>
        <w:spacing w:after="160" w:before="360"/>
      </w:pPr>
      <w:r>
        <w:t xml:space="preserve">8. Ограничения и анализ ошибок</w:t>
      </w:r>
    </w:p>
    <w:p>
      <w:pPr>
        <w:pStyle w:val="Heading2"/>
        <w:spacing w:after="120" w:before="280"/>
      </w:pPr>
      <w:r>
        <w:t xml:space="preserve">8.1. Слабые классы</w:t>
      </w:r>
    </w:p>
    <w:p>
      <w:pPr>
        <w:spacing w:after="160" w:line="300"/>
      </w:pPr>
      <w:r>
        <w:t xml:space="preserve">Классы nike (recall 0.45, mAP50 0.60) и mcdonalds (recall 0.60, mAP50 0.67) показывают заметно более низкое качество относительно остальных 13 классов. Вероятные причины: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Минималистичная геометрия логотипа (swoosh Nike — простая заливка без текста и внутренних деталей) даёт меньше признаков для уверенной детекции на мелком масштабе или при частичном перекрытии.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Вариативность стилизации McDonald's в реальных сценах (ракурс, частичное перекрытие M-арки другими объектами кадра) шире, чем представлено в обучающей выборке.</w:t>
      </w:r>
    </w:p>
    <w:p>
      <w:pPr>
        <w:pStyle w:val="Heading2"/>
        <w:spacing w:after="120" w:before="280"/>
      </w:pPr>
      <w:r>
        <w:t xml:space="preserve">8.2. Domain gap</w:t>
      </w:r>
    </w:p>
    <w:p>
      <w:pPr>
        <w:spacing w:after="160" w:line="300"/>
      </w:pPr>
      <w:r>
        <w:t xml:space="preserve">QMUL-OpenLogo не размечен специально под новостную фотографию — это смесь источников (product-фото, уличные снимки, спортивные трансляции). Несмотря на это, качественная валидация (раздел 7) показала перенос на внешние уличные/новостные фото без переобучения. При систематическом падении точности на реальном новостном потоке рекомендуется дообучение на дополнительном наборе новостных изображений.</w:t>
      </w:r>
    </w:p>
    <w:p>
      <w:pPr>
        <w:pStyle w:val="Heading2"/>
        <w:spacing w:after="120" w:before="280"/>
      </w:pPr>
      <w:r>
        <w:t xml:space="preserve">8.3. Архитектурное ограничение</w:t>
      </w:r>
    </w:p>
    <w:p>
      <w:pPr>
        <w:spacing w:after="160" w:line="300"/>
      </w:pPr>
      <w:r>
        <w:t xml:space="preserve">Модель — closed-set классификатор: логотипы брендов вне обучающих 15 классов не будут обнаружены без переобучения. Это осознанный trade-off в пользу устойчивости к ложным срабатываниям по контексту (см. раздел 3), а не недостаток реализации.</w:t>
      </w:r>
    </w:p>
    <w:p>
      <w:pPr>
        <w:pStyle w:val="Heading1"/>
        <w:spacing w:after="160" w:before="360"/>
      </w:pPr>
      <w:r>
        <w:t xml:space="preserve">9. Инференс-сервис</w:t>
      </w:r>
    </w:p>
    <w:p>
      <w:pPr>
        <w:pStyle w:val="Heading2"/>
        <w:spacing w:after="120" w:before="280"/>
      </w:pPr>
      <w:r>
        <w:t xml:space="preserve">9.1. API</w:t>
      </w:r>
    </w:p>
    <w:p>
      <w:pPr>
        <w:spacing w:after="160" w:line="300"/>
      </w:pPr>
      <w:r>
        <w:t xml:space="preserve">Реализован FastAPI-сервис с двумя эндпоинтами инференса: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/detect — принимает { "image_url": string }, скачивает изображение и возвращает детекции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/detect/file — принимает multipart-загрузку локального файла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/health — проверка доступности сервиса и пути к загруженным весам</w:t>
      </w:r>
    </w:p>
    <w:p>
      <w:pPr>
        <w:pStyle w:val="Heading2"/>
        <w:spacing w:after="120" w:before="280"/>
      </w:pPr>
      <w:r>
        <w:t xml:space="preserve">9.2. Формат ответа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2F2F2" w:val="clear"/>
        <w:spacing w:after="200" w:line="2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"detections": [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"entity": "starbucks",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"box": [0.4, 349.6, 1566.8, 2082.7],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"score": 0.9481,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"confidence_level": "high"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],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"num_detections": 1,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"inference_ms": 24.3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120" w:before="280"/>
      </w:pPr>
      <w:r>
        <w:t xml:space="preserve">9.3. Бонусный пункт: батчевый инференс и агрегация</w:t>
      </w:r>
    </w:p>
    <w:p>
      <w:pPr>
        <w:spacing w:after="160" w:line="300"/>
      </w:pPr>
      <w:r>
        <w:t xml:space="preserve">Дополнительно реализован скрипт batch_pipeline.py для потоковой обработки новостных изображений: дедупликация повторяющихся изображений по perceptual hash (устойчив к пересжатию/ресайзу) перед инференсом, батчевая обработка и агрегация упоминаний брендов по источнику и временному окну (день/час/неделя).</w:t>
      </w:r>
    </w:p>
    <w:p>
      <w:pPr>
        <w:pStyle w:val="Heading1"/>
        <w:spacing w:after="160" w:before="360"/>
      </w:pPr>
      <w:r>
        <w:t xml:space="preserve">10. Воспроизводимость</w:t>
      </w:r>
    </w:p>
    <w:p>
      <w:pPr>
        <w:spacing w:after="160" w:line="300"/>
      </w:pPr>
      <w:r>
        <w:t xml:space="preserve">Полный код проекта (подготовка данных, обучение, оценка, инференс-сервис, батч-пайплайн) находится в приложенном репозитории со следующей структурой: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2F2F2" w:val="clear"/>
        <w:spacing w:after="200" w:line="260"/>
      </w:pPr>
      <w:r>
        <w:rPr>
          <w:rFonts w:ascii="Consolas" w:cs="Consolas" w:eastAsia="Consolas" w:hAnsi="Consolas"/>
          <w:sz w:val="17"/>
          <w:szCs w:val="17"/>
        </w:rPr>
        <w:t xml:space="preserve">src/config.py                   — классы, пути, гиперпараметры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src/prepare_dataset.py          — конвертация VOC→YOLO, train/val/test split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src/train.py                    — fine-tuning YOLOv8n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src/evaluate.py                 — mAP50/precision/recall/F1, скорость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src/inference_service.py        — FastAPI-сервис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src/batch_pipeline.py           — батч-инференс + дедупликация + агрегация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weights/                        — обученные веса (best.pt)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outputs/evaluation_report.json  — полный отчёт метрик в JSON</w:t>
      </w:r>
    </w:p>
    <w:p>
      <w:pPr>
        <w:spacing w:after="160" w:line="300"/>
      </w:pPr>
      <w:r>
        <w:t xml:space="preserve">Инструкции по запуску каждого этапа приведены в README.md репозитория.</w:t>
      </w:r>
    </w:p>
    <w:p>
      <w:pPr>
        <w:pStyle w:val="Heading1"/>
        <w:spacing w:after="160" w:before="360"/>
      </w:pPr>
      <w:r>
        <w:t xml:space="preserve">11. Рекомендации по дальнейшему развитию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Дообучение на размеченных новостных изображениях для сокращения domain gap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Точечный сбор дополнительных примеров для слабых классов (nike, mcdonalds), в частности с малым масштабом логотипа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Рассмотреть yolov8s при необходимости повышения recall — остаётся в пределах требования по VRAM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Для продакшн-развёртывания — вынести дедупликацию и агрегацию (batch_pipeline.py) в отдельный воркер с очередью задач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Стр.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из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Logo Detection in News — технический отчёт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2E2E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2026-08-21T13:53:11.899Z</dcterms:created>
  <dcterms:modified xsi:type="dcterms:W3CDTF">2026-08-21T13:53:11.900Z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