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8429" w14:textId="2DB4B3B8" w:rsidR="007F20F2" w:rsidRPr="007F20F2" w:rsidRDefault="007F20F2" w:rsidP="007F20F2">
      <w:pPr>
        <w:pStyle w:val="oancuaDanhsach"/>
        <w:numPr>
          <w:ilvl w:val="0"/>
          <w:numId w:val="3"/>
        </w:numPr>
        <w:rPr>
          <w:b/>
          <w:bCs/>
        </w:rPr>
      </w:pPr>
      <w:r w:rsidRPr="007F20F2">
        <w:rPr>
          <w:b/>
          <w:bCs/>
        </w:rPr>
        <w:t>Giới thiệu:</w:t>
      </w:r>
    </w:p>
    <w:p w14:paraId="244CB47C" w14:textId="385CEF8D" w:rsidR="007F20F2" w:rsidRPr="007F20F2" w:rsidRDefault="007F20F2" w:rsidP="007F20F2">
      <w:r>
        <w:rPr>
          <w:b/>
          <w:bCs/>
          <w:i/>
          <w:iCs/>
        </w:rPr>
        <w:t>I.</w:t>
      </w:r>
      <w:r w:rsidRPr="007F20F2">
        <w:rPr>
          <w:b/>
          <w:bCs/>
          <w:i/>
          <w:iCs/>
        </w:rPr>
        <w:t xml:space="preserve"> Mục đích</w:t>
      </w:r>
      <w:r w:rsidRPr="007F20F2">
        <w:rPr>
          <w:b/>
          <w:bCs/>
          <w:i/>
          <w:iCs/>
        </w:rPr>
        <w:br/>
      </w:r>
      <w:r w:rsidRPr="007F20F2">
        <w:t>Tài liệu này đưa ra mô tả chi tiết cho phần mềm quản lý nhân khẩu và thu phí của chung</w:t>
      </w:r>
      <w:r w:rsidRPr="007F20F2">
        <w:br/>
        <w:t>cư Blue Moon. Tài liệu mô tả mục đích và các tính năng của hệ thống, các giao diện,</w:t>
      </w:r>
      <w:r w:rsidRPr="007F20F2">
        <w:br/>
        <w:t>ràng buộc của hệ thống cần thực hiện để phản ứng tới các kích thích bên ngoài.</w:t>
      </w:r>
      <w:r w:rsidRPr="007F20F2">
        <w:br/>
        <w:t>Tài liệu dành cho các bên liên quan (stakeholder) và các nhà phát triển phần mềm.</w:t>
      </w:r>
    </w:p>
    <w:p w14:paraId="52402BF3" w14:textId="0C8C020E" w:rsidR="007F20F2" w:rsidRPr="00963F13" w:rsidRDefault="007F20F2" w:rsidP="007F20F2">
      <w:pPr>
        <w:rPr>
          <w:b/>
          <w:bCs/>
        </w:rPr>
      </w:pPr>
      <w:r w:rsidRPr="00963F13">
        <w:rPr>
          <w:b/>
          <w:bCs/>
        </w:rPr>
        <w:t>I. Mục Tiêu và Phạm Vi của Ứng Dụng Quản Lý Chung Cư BlueMoon</w:t>
      </w:r>
    </w:p>
    <w:p w14:paraId="02E2EC1D" w14:textId="77777777" w:rsidR="007F20F2" w:rsidRPr="00963F13" w:rsidRDefault="007F20F2" w:rsidP="007F20F2">
      <w:pPr>
        <w:rPr>
          <w:b/>
          <w:bCs/>
        </w:rPr>
      </w:pPr>
      <w:r w:rsidRPr="00963F13">
        <w:rPr>
          <w:b/>
          <w:bCs/>
        </w:rPr>
        <w:t>1. Mục Tiêu (Goals)</w:t>
      </w:r>
    </w:p>
    <w:p w14:paraId="5688B80D" w14:textId="77777777" w:rsidR="007F20F2" w:rsidRPr="00963F13" w:rsidRDefault="007F20F2" w:rsidP="007F20F2">
      <w:pPr>
        <w:numPr>
          <w:ilvl w:val="0"/>
          <w:numId w:val="1"/>
        </w:numPr>
      </w:pPr>
      <w:r w:rsidRPr="00963F13">
        <w:rPr>
          <w:b/>
          <w:bCs/>
        </w:rPr>
        <w:t>Chuyển đổi số và Hiệu quả:</w:t>
      </w:r>
      <w:r w:rsidRPr="00963F13">
        <w:t xml:space="preserve"> Chuyển từ phương pháp quản lý và thu phí thủ công (chủ yếu bằng Excel) sang</w:t>
      </w:r>
      <w:r>
        <w:t xml:space="preserve"> website</w:t>
      </w:r>
      <w:r w:rsidRPr="00963F13">
        <w:t xml:space="preserve"> để nâng cao hiệu quả và tính chính xác.</w:t>
      </w:r>
    </w:p>
    <w:p w14:paraId="5609A84F" w14:textId="77777777" w:rsidR="007F20F2" w:rsidRPr="00963F13" w:rsidRDefault="007F20F2" w:rsidP="007F20F2">
      <w:pPr>
        <w:numPr>
          <w:ilvl w:val="0"/>
          <w:numId w:val="1"/>
        </w:numPr>
      </w:pPr>
      <w:r w:rsidRPr="00963F13">
        <w:rPr>
          <w:b/>
          <w:bCs/>
        </w:rPr>
        <w:t>Minh bạch và Thuận tiện:</w:t>
      </w:r>
      <w:r w:rsidRPr="00963F13">
        <w:t xml:space="preserve"> Cung cấp công cụ giúp Ban quản trị quản lý các khoản thu chi một cách minh bạch, thuận tiện.</w:t>
      </w:r>
    </w:p>
    <w:p w14:paraId="4B8ACA85" w14:textId="77777777" w:rsidR="007F20F2" w:rsidRPr="00963F13" w:rsidRDefault="007F20F2" w:rsidP="007F20F2">
      <w:pPr>
        <w:numPr>
          <w:ilvl w:val="0"/>
          <w:numId w:val="1"/>
        </w:numPr>
      </w:pPr>
      <w:r w:rsidRPr="00963F13">
        <w:rPr>
          <w:b/>
          <w:bCs/>
        </w:rPr>
        <w:t>Hỗ trợ Nghiệp vụ Đa dạng:</w:t>
      </w:r>
      <w:r w:rsidRPr="00963F13">
        <w:t xml:space="preserve"> Hỗ trợ các yêu cầu nghiệp vụ cốt lõi khác như quản lý thông tin cư dân (hộ khẩu, nhân khẩu).</w:t>
      </w:r>
    </w:p>
    <w:p w14:paraId="268838C5" w14:textId="77777777" w:rsidR="007F20F2" w:rsidRPr="00963F13" w:rsidRDefault="007F20F2" w:rsidP="007F20F2">
      <w:pPr>
        <w:numPr>
          <w:ilvl w:val="0"/>
          <w:numId w:val="1"/>
        </w:numPr>
      </w:pPr>
      <w:r w:rsidRPr="00963F13">
        <w:rPr>
          <w:b/>
          <w:bCs/>
        </w:rPr>
        <w:t>Nền tảng Mở rộng:</w:t>
      </w:r>
      <w:r w:rsidRPr="00963F13">
        <w:t xml:space="preserve"> Xây dựng một nền tảng vững chắc (v1.0) để dễ dàng mở rộng thêm các chức năng quản lý phí dịch vụ (phí gửi xe, phí thu hộ điện, nước, internet) trong tương lai (v2.0).</w:t>
      </w:r>
    </w:p>
    <w:p w14:paraId="52F698FC" w14:textId="77777777" w:rsidR="007F20F2" w:rsidRPr="00963F13" w:rsidRDefault="007F20F2" w:rsidP="007F20F2">
      <w:pPr>
        <w:rPr>
          <w:b/>
          <w:bCs/>
        </w:rPr>
      </w:pPr>
      <w:r w:rsidRPr="00963F13">
        <w:rPr>
          <w:b/>
          <w:bCs/>
        </w:rPr>
        <w:t>2. Phạm Vi (Scope)</w:t>
      </w:r>
    </w:p>
    <w:p w14:paraId="5957D6F5" w14:textId="77777777" w:rsidR="007F20F2" w:rsidRPr="00963F13" w:rsidRDefault="007F20F2" w:rsidP="007F20F2">
      <w:r w:rsidRPr="00963F13">
        <w:rPr>
          <w:b/>
          <w:bCs/>
        </w:rPr>
        <w:t>Phiên bản v1.0 (Cốt lõi):</w:t>
      </w:r>
    </w:p>
    <w:p w14:paraId="19DE65EC" w14:textId="77777777" w:rsidR="007F20F2" w:rsidRPr="00963F13" w:rsidRDefault="007F20F2" w:rsidP="007F20F2">
      <w:pPr>
        <w:numPr>
          <w:ilvl w:val="0"/>
          <w:numId w:val="2"/>
        </w:numPr>
      </w:pPr>
      <w:r w:rsidRPr="00963F13">
        <w:rPr>
          <w:b/>
          <w:bCs/>
        </w:rPr>
        <w:t>Quản lý Thu phí &amp; Đóng góp:</w:t>
      </w:r>
      <w:r w:rsidRPr="00963F13">
        <w:t xml:space="preserve"> Tạo, sửa, xóa khoản thu; Quản lý đợt thu phí và tính phí cho từng hộ.</w:t>
      </w:r>
    </w:p>
    <w:p w14:paraId="03F8DE50" w14:textId="77777777" w:rsidR="007F20F2" w:rsidRPr="00963F13" w:rsidRDefault="007F20F2" w:rsidP="007F20F2">
      <w:pPr>
        <w:numPr>
          <w:ilvl w:val="0"/>
          <w:numId w:val="2"/>
        </w:numPr>
      </w:pPr>
      <w:r w:rsidRPr="00963F13">
        <w:rPr>
          <w:b/>
          <w:bCs/>
        </w:rPr>
        <w:t>Quản lý Thanh toán:</w:t>
      </w:r>
      <w:r w:rsidRPr="00963F13">
        <w:t xml:space="preserve"> Ghi nhận các khoản phí, đóng góp đã thu từ hộ gia đình; Thống kê, báo cáo cơ bản về thu phí.</w:t>
      </w:r>
    </w:p>
    <w:p w14:paraId="7D7552CA" w14:textId="77777777" w:rsidR="007F20F2" w:rsidRPr="00963F13" w:rsidRDefault="007F20F2" w:rsidP="007F20F2">
      <w:pPr>
        <w:numPr>
          <w:ilvl w:val="0"/>
          <w:numId w:val="2"/>
        </w:numPr>
      </w:pPr>
      <w:r w:rsidRPr="00963F13">
        <w:rPr>
          <w:b/>
          <w:bCs/>
        </w:rPr>
        <w:t>Quản lý Cư dân:</w:t>
      </w:r>
      <w:r w:rsidRPr="00963F13">
        <w:t xml:space="preserve"> Lưu trữ thông tin hộ khẩu, nhân khẩu; Ghi nhận biến động (tạm trú, tạm vắng); Cung cấp thông tin khi cơ quan chức năng yêu cầu.</w:t>
      </w:r>
    </w:p>
    <w:p w14:paraId="18F60446" w14:textId="77777777" w:rsidR="007F20F2" w:rsidRPr="00963F13" w:rsidRDefault="007F20F2" w:rsidP="007F20F2">
      <w:pPr>
        <w:numPr>
          <w:ilvl w:val="0"/>
          <w:numId w:val="2"/>
        </w:numPr>
      </w:pPr>
      <w:r w:rsidRPr="00963F13">
        <w:rPr>
          <w:b/>
          <w:bCs/>
        </w:rPr>
        <w:t>Quản lý Hệ thống:</w:t>
      </w:r>
      <w:r w:rsidRPr="00963F13">
        <w:t xml:space="preserve"> Đăng nhập, phân quyền và quản lý tài khoản người dùng.</w:t>
      </w:r>
    </w:p>
    <w:p w14:paraId="310EB2B2" w14:textId="77777777" w:rsidR="007F20F2" w:rsidRPr="00963F13" w:rsidRDefault="007F20F2" w:rsidP="007F20F2">
      <w:pPr>
        <w:rPr>
          <w:b/>
          <w:bCs/>
        </w:rPr>
      </w:pPr>
      <w:r w:rsidRPr="00963F13">
        <w:rPr>
          <w:b/>
          <w:bCs/>
        </w:rPr>
        <w:t>II. Phân Tích Chức Năng Theo Đối Tượng Người Dùng</w:t>
      </w:r>
    </w:p>
    <w:p w14:paraId="1BEA1229" w14:textId="77777777" w:rsidR="007F20F2" w:rsidRDefault="007F20F2" w:rsidP="007F20F2">
      <w:r>
        <w:t>Website</w:t>
      </w:r>
      <w:r w:rsidRPr="00963F13">
        <w:t xml:space="preserve"> này chủ yếu là </w:t>
      </w:r>
      <w:r>
        <w:t>website</w:t>
      </w:r>
      <w:r w:rsidRPr="00963F13">
        <w:t xml:space="preserve"> dành cho Ban Quản trị/nhân viên, tuy nhiên, các chức năng cần được phân tách rõ ràng theo đối tượng sử dụng để đảm bảo tính bảo mật và hiệu quả công việc.</w:t>
      </w:r>
    </w:p>
    <w:p w14:paraId="7DC76AE9" w14:textId="77777777" w:rsidR="007F20F2" w:rsidRPr="00963F13" w:rsidRDefault="007F20F2" w:rsidP="007F20F2"/>
    <w:p w14:paraId="665D5970" w14:textId="77777777" w:rsidR="007F20F2" w:rsidRPr="00963F13" w:rsidRDefault="007F20F2" w:rsidP="007F20F2">
      <w:pPr>
        <w:rPr>
          <w:b/>
          <w:bCs/>
        </w:rPr>
      </w:pPr>
      <w:r w:rsidRPr="00963F13">
        <w:rPr>
          <w:b/>
          <w:bCs/>
        </w:rPr>
        <w:t>1. Chức Năng Cần Có Cho Quản Lý (Ban Quản trị / Kế toán / Nhân viên Quản lý)</w:t>
      </w:r>
    </w:p>
    <w:p w14:paraId="263D1400" w14:textId="77777777" w:rsidR="007F20F2" w:rsidRPr="00963F13" w:rsidRDefault="007F20F2" w:rsidP="007F20F2">
      <w:r w:rsidRPr="00963F13">
        <w:t>Đây là nhóm người dùng có vai trò thao tác chính và cần quyền hạn cao nhất để xử lý nghiệp vụ.</w:t>
      </w:r>
    </w:p>
    <w:tbl>
      <w:tblPr>
        <w:tblW w:w="9152" w:type="dxa"/>
        <w:tblCellSpacing w:w="15" w:type="dxa"/>
        <w:tblCellMar>
          <w:top w:w="15" w:type="dxa"/>
          <w:left w:w="15" w:type="dxa"/>
          <w:bottom w:w="15" w:type="dxa"/>
          <w:right w:w="15" w:type="dxa"/>
        </w:tblCellMar>
        <w:tblLook w:val="04A0" w:firstRow="1" w:lastRow="0" w:firstColumn="1" w:lastColumn="0" w:noHBand="0" w:noVBand="1"/>
      </w:tblPr>
      <w:tblGrid>
        <w:gridCol w:w="1893"/>
        <w:gridCol w:w="4685"/>
        <w:gridCol w:w="2574"/>
      </w:tblGrid>
      <w:tr w:rsidR="007F20F2" w:rsidRPr="00963F13" w14:paraId="12D16522" w14:textId="77777777" w:rsidTr="00F86F70">
        <w:trPr>
          <w:tblHeader/>
          <w:tblCellSpacing w:w="15" w:type="dxa"/>
        </w:trPr>
        <w:tc>
          <w:tcPr>
            <w:tcW w:w="1848" w:type="dxa"/>
            <w:vAlign w:val="center"/>
            <w:hideMark/>
          </w:tcPr>
          <w:p w14:paraId="10351693" w14:textId="77777777" w:rsidR="007F20F2" w:rsidRPr="00963F13" w:rsidRDefault="007F20F2" w:rsidP="00F86F70">
            <w:r w:rsidRPr="00963F13">
              <w:lastRenderedPageBreak/>
              <w:t>Nhóm Chức năng</w:t>
            </w:r>
          </w:p>
        </w:tc>
        <w:tc>
          <w:tcPr>
            <w:tcW w:w="0" w:type="auto"/>
            <w:vAlign w:val="center"/>
            <w:hideMark/>
          </w:tcPr>
          <w:p w14:paraId="5FAFBF52" w14:textId="77777777" w:rsidR="007F20F2" w:rsidRPr="00963F13" w:rsidRDefault="007F20F2" w:rsidP="00F86F70">
            <w:r w:rsidRPr="00963F13">
              <w:t>Chức năng Chi tiết</w:t>
            </w:r>
          </w:p>
        </w:tc>
        <w:tc>
          <w:tcPr>
            <w:tcW w:w="0" w:type="auto"/>
            <w:vAlign w:val="center"/>
            <w:hideMark/>
          </w:tcPr>
          <w:p w14:paraId="744B9649" w14:textId="77777777" w:rsidR="007F20F2" w:rsidRPr="00963F13" w:rsidRDefault="007F20F2" w:rsidP="00F86F70">
            <w:r w:rsidRPr="00963F13">
              <w:t>Mục đích</w:t>
            </w:r>
          </w:p>
        </w:tc>
      </w:tr>
      <w:tr w:rsidR="007F20F2" w:rsidRPr="00963F13" w14:paraId="7F5CC3B3" w14:textId="77777777" w:rsidTr="00F86F70">
        <w:trPr>
          <w:tblCellSpacing w:w="15" w:type="dxa"/>
        </w:trPr>
        <w:tc>
          <w:tcPr>
            <w:tcW w:w="1848" w:type="dxa"/>
            <w:vAlign w:val="center"/>
            <w:hideMark/>
          </w:tcPr>
          <w:p w14:paraId="06219183" w14:textId="77777777" w:rsidR="007F20F2" w:rsidRPr="00963F13" w:rsidRDefault="007F20F2" w:rsidP="00F86F70">
            <w:r w:rsidRPr="00963F13">
              <w:rPr>
                <w:b/>
                <w:bCs/>
              </w:rPr>
              <w:t>I. Quản lý Tài chính/Thu phí</w:t>
            </w:r>
          </w:p>
        </w:tc>
        <w:tc>
          <w:tcPr>
            <w:tcW w:w="0" w:type="auto"/>
            <w:vAlign w:val="center"/>
            <w:hideMark/>
          </w:tcPr>
          <w:p w14:paraId="50D7FEFE" w14:textId="77777777" w:rsidR="007F20F2" w:rsidRPr="00963F13" w:rsidRDefault="007F20F2" w:rsidP="00F86F70">
            <w:r w:rsidRPr="00963F13">
              <w:rPr>
                <w:b/>
                <w:bCs/>
              </w:rPr>
              <w:t>Quản lý Khoản thu:</w:t>
            </w:r>
            <w:r w:rsidRPr="00963F13">
              <w:t xml:space="preserve"> Thiết lập/sửa/xóa các loại phí (Phí quản lý, phí vệ sinh...).</w:t>
            </w:r>
          </w:p>
        </w:tc>
        <w:tc>
          <w:tcPr>
            <w:tcW w:w="0" w:type="auto"/>
            <w:vAlign w:val="center"/>
            <w:hideMark/>
          </w:tcPr>
          <w:p w14:paraId="095E3D27" w14:textId="77777777" w:rsidR="007F20F2" w:rsidRPr="00963F13" w:rsidRDefault="007F20F2" w:rsidP="00F86F70">
            <w:r w:rsidRPr="00963F13">
              <w:t>Đảm bảo tính linh hoạt trong việc thay đổi chính sách thu phí.</w:t>
            </w:r>
          </w:p>
        </w:tc>
      </w:tr>
      <w:tr w:rsidR="007F20F2" w:rsidRPr="00963F13" w14:paraId="6961AF76" w14:textId="77777777" w:rsidTr="00F86F70">
        <w:trPr>
          <w:tblCellSpacing w:w="15" w:type="dxa"/>
        </w:trPr>
        <w:tc>
          <w:tcPr>
            <w:tcW w:w="1848" w:type="dxa"/>
            <w:vAlign w:val="center"/>
            <w:hideMark/>
          </w:tcPr>
          <w:p w14:paraId="24CCB59F" w14:textId="77777777" w:rsidR="007F20F2" w:rsidRPr="00963F13" w:rsidRDefault="007F20F2" w:rsidP="00F86F70"/>
        </w:tc>
        <w:tc>
          <w:tcPr>
            <w:tcW w:w="0" w:type="auto"/>
            <w:vAlign w:val="center"/>
            <w:hideMark/>
          </w:tcPr>
          <w:p w14:paraId="5C605785" w14:textId="77777777" w:rsidR="007F20F2" w:rsidRPr="00963F13" w:rsidRDefault="007F20F2" w:rsidP="00F86F70">
            <w:r w:rsidRPr="00963F13">
              <w:rPr>
                <w:b/>
                <w:bCs/>
              </w:rPr>
              <w:t>Quản lý Đợt thu:</w:t>
            </w:r>
            <w:r w:rsidRPr="00963F13">
              <w:t xml:space="preserve"> Tạo đợt thu phí (theo tháng/quý), tính toán số tiền phải thu cho từng hộ.</w:t>
            </w:r>
          </w:p>
        </w:tc>
        <w:tc>
          <w:tcPr>
            <w:tcW w:w="0" w:type="auto"/>
            <w:vAlign w:val="center"/>
            <w:hideMark/>
          </w:tcPr>
          <w:p w14:paraId="770A8372" w14:textId="77777777" w:rsidR="007F20F2" w:rsidRPr="00963F13" w:rsidRDefault="007F20F2" w:rsidP="00F86F70">
            <w:r w:rsidRPr="00963F13">
              <w:t>Tự động hóa quá trình lập hóa đơn và theo dõi kỳ thu.</w:t>
            </w:r>
          </w:p>
        </w:tc>
      </w:tr>
      <w:tr w:rsidR="007F20F2" w:rsidRPr="00963F13" w14:paraId="277215FE" w14:textId="77777777" w:rsidTr="00F86F70">
        <w:trPr>
          <w:tblCellSpacing w:w="15" w:type="dxa"/>
        </w:trPr>
        <w:tc>
          <w:tcPr>
            <w:tcW w:w="1848" w:type="dxa"/>
            <w:vAlign w:val="center"/>
            <w:hideMark/>
          </w:tcPr>
          <w:p w14:paraId="6395363B" w14:textId="77777777" w:rsidR="007F20F2" w:rsidRPr="00963F13" w:rsidRDefault="007F20F2" w:rsidP="00F86F70"/>
        </w:tc>
        <w:tc>
          <w:tcPr>
            <w:tcW w:w="0" w:type="auto"/>
            <w:vAlign w:val="center"/>
            <w:hideMark/>
          </w:tcPr>
          <w:p w14:paraId="6E4E52A4" w14:textId="77777777" w:rsidR="007F20F2" w:rsidRPr="00963F13" w:rsidRDefault="007F20F2" w:rsidP="00F86F70">
            <w:r w:rsidRPr="00963F13">
              <w:rPr>
                <w:b/>
                <w:bCs/>
              </w:rPr>
              <w:t>Ghi nhận Thu phí:</w:t>
            </w:r>
            <w:r w:rsidRPr="00963F13">
              <w:t xml:space="preserve"> Ghi nhận chi tiết các khoản phí, đóng góp đã được hộ gia đình thanh toán.</w:t>
            </w:r>
          </w:p>
        </w:tc>
        <w:tc>
          <w:tcPr>
            <w:tcW w:w="0" w:type="auto"/>
            <w:vAlign w:val="center"/>
            <w:hideMark/>
          </w:tcPr>
          <w:p w14:paraId="4DC55C48" w14:textId="77777777" w:rsidR="007F20F2" w:rsidRPr="00963F13" w:rsidRDefault="007F20F2" w:rsidP="00F86F70">
            <w:r w:rsidRPr="00963F13">
              <w:t>Số hóa quá trình thu tiền, loại bỏ việc dùng Excel thủ công.</w:t>
            </w:r>
          </w:p>
        </w:tc>
      </w:tr>
      <w:tr w:rsidR="007F20F2" w:rsidRPr="00963F13" w14:paraId="32864467" w14:textId="77777777" w:rsidTr="00F86F70">
        <w:trPr>
          <w:tblCellSpacing w:w="15" w:type="dxa"/>
        </w:trPr>
        <w:tc>
          <w:tcPr>
            <w:tcW w:w="1848" w:type="dxa"/>
            <w:vAlign w:val="center"/>
            <w:hideMark/>
          </w:tcPr>
          <w:p w14:paraId="5EC270F6" w14:textId="77777777" w:rsidR="007F20F2" w:rsidRPr="00963F13" w:rsidRDefault="007F20F2" w:rsidP="00F86F70"/>
        </w:tc>
        <w:tc>
          <w:tcPr>
            <w:tcW w:w="0" w:type="auto"/>
            <w:vAlign w:val="center"/>
            <w:hideMark/>
          </w:tcPr>
          <w:p w14:paraId="64747657" w14:textId="77777777" w:rsidR="007F20F2" w:rsidRPr="00963F13" w:rsidRDefault="007F20F2" w:rsidP="00F86F70">
            <w:r w:rsidRPr="00963F13">
              <w:rPr>
                <w:b/>
                <w:bCs/>
              </w:rPr>
              <w:t>Thống kê &amp; Báo cáo:</w:t>
            </w:r>
            <w:r w:rsidRPr="00963F13">
              <w:t xml:space="preserve"> Xuất báo cáo tổng hợp thu chi, danh sách nợ phí, chi tiết thu theo hộ gia đình.</w:t>
            </w:r>
          </w:p>
        </w:tc>
        <w:tc>
          <w:tcPr>
            <w:tcW w:w="0" w:type="auto"/>
            <w:vAlign w:val="center"/>
            <w:hideMark/>
          </w:tcPr>
          <w:p w14:paraId="62ECD3CD" w14:textId="77777777" w:rsidR="007F20F2" w:rsidRPr="00963F13" w:rsidRDefault="007F20F2" w:rsidP="00F86F70">
            <w:r w:rsidRPr="00963F13">
              <w:t>Đảm bảo minh bạch và phục vụ công tác kiểm tra, quyết toán.</w:t>
            </w:r>
          </w:p>
        </w:tc>
      </w:tr>
      <w:tr w:rsidR="007F20F2" w:rsidRPr="00963F13" w14:paraId="07F4CBA0" w14:textId="77777777" w:rsidTr="00F86F70">
        <w:trPr>
          <w:tblCellSpacing w:w="15" w:type="dxa"/>
        </w:trPr>
        <w:tc>
          <w:tcPr>
            <w:tcW w:w="1848" w:type="dxa"/>
            <w:vAlign w:val="center"/>
            <w:hideMark/>
          </w:tcPr>
          <w:p w14:paraId="63FAF098" w14:textId="77777777" w:rsidR="007F20F2" w:rsidRPr="00963F13" w:rsidRDefault="007F20F2" w:rsidP="00F86F70">
            <w:r w:rsidRPr="00963F13">
              <w:rPr>
                <w:b/>
                <w:bCs/>
              </w:rPr>
              <w:t>II. Quản lý Cư dân/Hộ khẩu</w:t>
            </w:r>
          </w:p>
        </w:tc>
        <w:tc>
          <w:tcPr>
            <w:tcW w:w="0" w:type="auto"/>
            <w:vAlign w:val="center"/>
            <w:hideMark/>
          </w:tcPr>
          <w:p w14:paraId="2CECD482" w14:textId="77777777" w:rsidR="007F20F2" w:rsidRPr="00963F13" w:rsidRDefault="007F20F2" w:rsidP="00F86F70">
            <w:r w:rsidRPr="00963F13">
              <w:rPr>
                <w:b/>
                <w:bCs/>
              </w:rPr>
              <w:t>Quản lý Hộ khẩu:</w:t>
            </w:r>
            <w:r w:rsidRPr="00963F13">
              <w:t xml:space="preserve"> Thêm/sửa/xóa thông tin căn hộ và chủ hộ.</w:t>
            </w:r>
          </w:p>
        </w:tc>
        <w:tc>
          <w:tcPr>
            <w:tcW w:w="0" w:type="auto"/>
            <w:vAlign w:val="center"/>
            <w:hideMark/>
          </w:tcPr>
          <w:p w14:paraId="14A1382D" w14:textId="77777777" w:rsidR="007F20F2" w:rsidRPr="00963F13" w:rsidRDefault="007F20F2" w:rsidP="00F86F70">
            <w:r w:rsidRPr="00963F13">
              <w:t>Tạo cơ sở dữ liệu chính xác về đơn vị thu phí và cư dân.</w:t>
            </w:r>
          </w:p>
        </w:tc>
      </w:tr>
      <w:tr w:rsidR="007F20F2" w:rsidRPr="00963F13" w14:paraId="275529D1" w14:textId="77777777" w:rsidTr="00F86F70">
        <w:trPr>
          <w:tblCellSpacing w:w="15" w:type="dxa"/>
        </w:trPr>
        <w:tc>
          <w:tcPr>
            <w:tcW w:w="1848" w:type="dxa"/>
            <w:vAlign w:val="center"/>
            <w:hideMark/>
          </w:tcPr>
          <w:p w14:paraId="55347238" w14:textId="77777777" w:rsidR="007F20F2" w:rsidRPr="00963F13" w:rsidRDefault="007F20F2" w:rsidP="00F86F70"/>
        </w:tc>
        <w:tc>
          <w:tcPr>
            <w:tcW w:w="0" w:type="auto"/>
            <w:vAlign w:val="center"/>
            <w:hideMark/>
          </w:tcPr>
          <w:p w14:paraId="580EB7EB" w14:textId="77777777" w:rsidR="007F20F2" w:rsidRPr="00963F13" w:rsidRDefault="007F20F2" w:rsidP="00F86F70">
            <w:r w:rsidRPr="00963F13">
              <w:rPr>
                <w:b/>
                <w:bCs/>
              </w:rPr>
              <w:t>Quản lý Nhân khẩu:</w:t>
            </w:r>
            <w:r w:rsidRPr="00963F13">
              <w:t xml:space="preserve"> Thêm/sửa/xóa thông tin thành viên gia đình.</w:t>
            </w:r>
          </w:p>
        </w:tc>
        <w:tc>
          <w:tcPr>
            <w:tcW w:w="0" w:type="auto"/>
            <w:vAlign w:val="center"/>
            <w:hideMark/>
          </w:tcPr>
          <w:p w14:paraId="47B28996" w14:textId="77777777" w:rsidR="007F20F2" w:rsidRPr="00963F13" w:rsidRDefault="007F20F2" w:rsidP="00F86F70">
            <w:r w:rsidRPr="00963F13">
              <w:t>Quản lý được số lượng và chi tiết từng cư dân.</w:t>
            </w:r>
          </w:p>
        </w:tc>
      </w:tr>
      <w:tr w:rsidR="007F20F2" w:rsidRPr="00963F13" w14:paraId="79584545" w14:textId="77777777" w:rsidTr="00F86F70">
        <w:trPr>
          <w:tblCellSpacing w:w="15" w:type="dxa"/>
        </w:trPr>
        <w:tc>
          <w:tcPr>
            <w:tcW w:w="1848" w:type="dxa"/>
            <w:vAlign w:val="center"/>
            <w:hideMark/>
          </w:tcPr>
          <w:p w14:paraId="0932071A" w14:textId="77777777" w:rsidR="007F20F2" w:rsidRPr="00963F13" w:rsidRDefault="007F20F2" w:rsidP="00F86F70"/>
        </w:tc>
        <w:tc>
          <w:tcPr>
            <w:tcW w:w="0" w:type="auto"/>
            <w:vAlign w:val="center"/>
            <w:hideMark/>
          </w:tcPr>
          <w:p w14:paraId="5F47318E" w14:textId="77777777" w:rsidR="007F20F2" w:rsidRPr="00963F13" w:rsidRDefault="007F20F2" w:rsidP="00F86F70">
            <w:r w:rsidRPr="00963F13">
              <w:rPr>
                <w:b/>
                <w:bCs/>
              </w:rPr>
              <w:t>Quản lý Biến động:</w:t>
            </w:r>
            <w:r w:rsidRPr="00963F13">
              <w:t xml:space="preserve"> Ghi nhận và báo cáo chi tiết các trường hợp tạm trú, tạm vắng.</w:t>
            </w:r>
          </w:p>
        </w:tc>
        <w:tc>
          <w:tcPr>
            <w:tcW w:w="0" w:type="auto"/>
            <w:vAlign w:val="center"/>
            <w:hideMark/>
          </w:tcPr>
          <w:p w14:paraId="49450EDE" w14:textId="77777777" w:rsidR="007F20F2" w:rsidRPr="00963F13" w:rsidRDefault="007F20F2" w:rsidP="00F86F70">
            <w:r w:rsidRPr="00963F13">
              <w:t>Thực hiện đúng quy định pháp luật về quản lý cư trú.</w:t>
            </w:r>
          </w:p>
        </w:tc>
      </w:tr>
      <w:tr w:rsidR="007F20F2" w:rsidRPr="00963F13" w14:paraId="5DDEBA2F" w14:textId="77777777" w:rsidTr="00F86F70">
        <w:trPr>
          <w:tblCellSpacing w:w="15" w:type="dxa"/>
        </w:trPr>
        <w:tc>
          <w:tcPr>
            <w:tcW w:w="1848" w:type="dxa"/>
            <w:vAlign w:val="center"/>
            <w:hideMark/>
          </w:tcPr>
          <w:p w14:paraId="4A66541D" w14:textId="77777777" w:rsidR="007F20F2" w:rsidRPr="00963F13" w:rsidRDefault="007F20F2" w:rsidP="00F86F70">
            <w:r w:rsidRPr="00963F13">
              <w:rPr>
                <w:b/>
                <w:bCs/>
              </w:rPr>
              <w:t>III. Quản lý Hệ thống</w:t>
            </w:r>
          </w:p>
        </w:tc>
        <w:tc>
          <w:tcPr>
            <w:tcW w:w="0" w:type="auto"/>
            <w:vAlign w:val="center"/>
            <w:hideMark/>
          </w:tcPr>
          <w:p w14:paraId="52B5B3AD" w14:textId="77777777" w:rsidR="007F20F2" w:rsidRPr="00963F13" w:rsidRDefault="007F20F2" w:rsidP="00F86F70">
            <w:r w:rsidRPr="00963F13">
              <w:rPr>
                <w:b/>
                <w:bCs/>
              </w:rPr>
              <w:t>Phân quyền/Tài khoản:</w:t>
            </w:r>
            <w:r w:rsidRPr="00963F13">
              <w:t xml:space="preserve"> Cấp tài khoản, thiết lập vai trò (Admin, Kế toán) và phân quyền truy cập chức năng.</w:t>
            </w:r>
          </w:p>
        </w:tc>
        <w:tc>
          <w:tcPr>
            <w:tcW w:w="0" w:type="auto"/>
            <w:vAlign w:val="center"/>
            <w:hideMark/>
          </w:tcPr>
          <w:p w14:paraId="1FBAD734" w14:textId="77777777" w:rsidR="007F20F2" w:rsidRPr="00963F13" w:rsidRDefault="007F20F2" w:rsidP="00F86F70">
            <w:r w:rsidRPr="00963F13">
              <w:t>Đảm bảo bảo mật dữ liệu và phân công trách nhiệm rõ ràng.</w:t>
            </w:r>
          </w:p>
        </w:tc>
      </w:tr>
    </w:tbl>
    <w:p w14:paraId="4499842D" w14:textId="77777777" w:rsidR="007F20F2" w:rsidRDefault="007F20F2" w:rsidP="007F20F2"/>
    <w:p w14:paraId="507089CA" w14:textId="77777777" w:rsidR="007F20F2" w:rsidRDefault="007F20F2" w:rsidP="007F20F2"/>
    <w:p w14:paraId="0862E340" w14:textId="77777777" w:rsidR="007F20F2" w:rsidRDefault="007F20F2" w:rsidP="007F20F2"/>
    <w:p w14:paraId="54B4D20F" w14:textId="77777777" w:rsidR="007F20F2" w:rsidRPr="00963F13" w:rsidRDefault="007F20F2" w:rsidP="007F20F2">
      <w:pPr>
        <w:rPr>
          <w:b/>
          <w:bCs/>
        </w:rPr>
      </w:pPr>
      <w:r w:rsidRPr="00963F13">
        <w:rPr>
          <w:b/>
          <w:bCs/>
        </w:rPr>
        <w:t>2. Chức Năng Cho Người Dùng Cuối (End-User - Cư dân)</w:t>
      </w:r>
    </w:p>
    <w:p w14:paraId="37EB720D" w14:textId="77777777" w:rsidR="007F20F2" w:rsidRPr="00963F13" w:rsidRDefault="007F20F2" w:rsidP="007F20F2">
      <w:r w:rsidRPr="00963F13">
        <w:t xml:space="preserve">Do đây là ứng dụng </w:t>
      </w:r>
      <w:r w:rsidRPr="00963F13">
        <w:rPr>
          <w:b/>
          <w:bCs/>
        </w:rPr>
        <w:t>desktop</w:t>
      </w:r>
      <w:r w:rsidRPr="00963F13">
        <w:t xml:space="preserve"> dành cho Ban quản trị, nên cư dân (end-user) </w:t>
      </w:r>
      <w:r w:rsidRPr="00963F13">
        <w:rPr>
          <w:b/>
          <w:bCs/>
        </w:rPr>
        <w:t>không trực tiếp sử dụng</w:t>
      </w:r>
      <w:r w:rsidRPr="00963F13">
        <w:t xml:space="preserve"> giao diện desktop. Tuy nhiên, họ sẽ được hưởng lợi và tương tác qua các dịch vụ được ứng dụng hỗ trợ, cụ thể là: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5176"/>
        <w:gridCol w:w="2632"/>
      </w:tblGrid>
      <w:tr w:rsidR="007F20F2" w:rsidRPr="00963F13" w14:paraId="1478DFCF" w14:textId="77777777" w:rsidTr="00F86F70">
        <w:trPr>
          <w:tblHeader/>
          <w:tblCellSpacing w:w="15" w:type="dxa"/>
        </w:trPr>
        <w:tc>
          <w:tcPr>
            <w:tcW w:w="0" w:type="auto"/>
            <w:vAlign w:val="center"/>
            <w:hideMark/>
          </w:tcPr>
          <w:p w14:paraId="5E832613" w14:textId="77777777" w:rsidR="007F20F2" w:rsidRPr="00963F13" w:rsidRDefault="007F20F2" w:rsidP="00F86F70">
            <w:r w:rsidRPr="00963F13">
              <w:t>Hình thức tương tác</w:t>
            </w:r>
          </w:p>
        </w:tc>
        <w:tc>
          <w:tcPr>
            <w:tcW w:w="0" w:type="auto"/>
            <w:vAlign w:val="center"/>
            <w:hideMark/>
          </w:tcPr>
          <w:p w14:paraId="6858A06F" w14:textId="77777777" w:rsidR="007F20F2" w:rsidRPr="00963F13" w:rsidRDefault="007F20F2" w:rsidP="00F86F70">
            <w:r w:rsidRPr="00963F13">
              <w:t>Chức năng được Hỗ trợ bởi Ứng dụng</w:t>
            </w:r>
          </w:p>
        </w:tc>
        <w:tc>
          <w:tcPr>
            <w:tcW w:w="0" w:type="auto"/>
            <w:vAlign w:val="center"/>
            <w:hideMark/>
          </w:tcPr>
          <w:p w14:paraId="2B0FB3FE" w14:textId="77777777" w:rsidR="007F20F2" w:rsidRPr="00963F13" w:rsidRDefault="007F20F2" w:rsidP="00F86F70">
            <w:r w:rsidRPr="00963F13">
              <w:t>Lợi ích cho Cư dân</w:t>
            </w:r>
          </w:p>
        </w:tc>
      </w:tr>
      <w:tr w:rsidR="007F20F2" w:rsidRPr="00963F13" w14:paraId="6F173BE0" w14:textId="77777777" w:rsidTr="00F86F70">
        <w:trPr>
          <w:tblCellSpacing w:w="15" w:type="dxa"/>
        </w:trPr>
        <w:tc>
          <w:tcPr>
            <w:tcW w:w="0" w:type="auto"/>
            <w:vAlign w:val="center"/>
            <w:hideMark/>
          </w:tcPr>
          <w:p w14:paraId="7C2EB514" w14:textId="77777777" w:rsidR="007F20F2" w:rsidRPr="00963F13" w:rsidRDefault="007F20F2" w:rsidP="00F86F70">
            <w:r w:rsidRPr="00963F13">
              <w:rPr>
                <w:b/>
                <w:bCs/>
              </w:rPr>
              <w:t>Thông tin Thanh toán</w:t>
            </w:r>
          </w:p>
        </w:tc>
        <w:tc>
          <w:tcPr>
            <w:tcW w:w="0" w:type="auto"/>
            <w:vAlign w:val="center"/>
            <w:hideMark/>
          </w:tcPr>
          <w:p w14:paraId="26E5B8E7" w14:textId="77777777" w:rsidR="007F20F2" w:rsidRPr="00963F13" w:rsidRDefault="007F20F2" w:rsidP="00F86F70">
            <w:r w:rsidRPr="00963F13">
              <w:rPr>
                <w:b/>
                <w:bCs/>
              </w:rPr>
              <w:t>In/Xuất Biên lai:</w:t>
            </w:r>
            <w:r w:rsidRPr="00963F13">
              <w:t xml:space="preserve"> Ứng dụng tạo và in biên lai thu phí chính thức.</w:t>
            </w:r>
          </w:p>
        </w:tc>
        <w:tc>
          <w:tcPr>
            <w:tcW w:w="0" w:type="auto"/>
            <w:vAlign w:val="center"/>
            <w:hideMark/>
          </w:tcPr>
          <w:p w14:paraId="55F33A7A" w14:textId="77777777" w:rsidR="007F20F2" w:rsidRPr="00963F13" w:rsidRDefault="007F20F2" w:rsidP="00F86F70">
            <w:r w:rsidRPr="00963F13">
              <w:t>Nhận được bằng chứng thanh toán rõ ràng, minh bạch.</w:t>
            </w:r>
          </w:p>
        </w:tc>
      </w:tr>
      <w:tr w:rsidR="007F20F2" w:rsidRPr="00963F13" w14:paraId="32DF7412" w14:textId="77777777" w:rsidTr="00F86F70">
        <w:trPr>
          <w:tblCellSpacing w:w="15" w:type="dxa"/>
        </w:trPr>
        <w:tc>
          <w:tcPr>
            <w:tcW w:w="0" w:type="auto"/>
            <w:vAlign w:val="center"/>
            <w:hideMark/>
          </w:tcPr>
          <w:p w14:paraId="6960ED3E" w14:textId="77777777" w:rsidR="007F20F2" w:rsidRPr="00963F13" w:rsidRDefault="007F20F2" w:rsidP="00F86F70">
            <w:r w:rsidRPr="00963F13">
              <w:rPr>
                <w:b/>
                <w:bCs/>
              </w:rPr>
              <w:lastRenderedPageBreak/>
              <w:t>Tra cứu Công khai</w:t>
            </w:r>
          </w:p>
        </w:tc>
        <w:tc>
          <w:tcPr>
            <w:tcW w:w="0" w:type="auto"/>
            <w:vAlign w:val="center"/>
            <w:hideMark/>
          </w:tcPr>
          <w:p w14:paraId="467A60E1" w14:textId="77777777" w:rsidR="007F20F2" w:rsidRPr="00963F13" w:rsidRDefault="007F20F2" w:rsidP="00F86F70">
            <w:r w:rsidRPr="00963F13">
              <w:rPr>
                <w:b/>
                <w:bCs/>
              </w:rPr>
              <w:t>Báo cáo/Danh sách công khai:</w:t>
            </w:r>
            <w:r w:rsidRPr="00963F13">
              <w:t xml:space="preserve"> Ban quản trị có thể dễ dàng trích xuất thông tin nợ phí, tổng thu để công khai (qua bảng thông báo hoặc email).</w:t>
            </w:r>
          </w:p>
        </w:tc>
        <w:tc>
          <w:tcPr>
            <w:tcW w:w="0" w:type="auto"/>
            <w:vAlign w:val="center"/>
            <w:hideMark/>
          </w:tcPr>
          <w:p w14:paraId="5FE36D28" w14:textId="77777777" w:rsidR="007F20F2" w:rsidRPr="00963F13" w:rsidRDefault="007F20F2" w:rsidP="00F86F70">
            <w:r w:rsidRPr="00963F13">
              <w:t>Nắm rõ nghĩa vụ tài chính, kiểm tra tính minh bạch của việc thu phí.</w:t>
            </w:r>
          </w:p>
        </w:tc>
      </w:tr>
      <w:tr w:rsidR="007F20F2" w:rsidRPr="00963F13" w14:paraId="415B5F8A" w14:textId="77777777" w:rsidTr="00F86F70">
        <w:trPr>
          <w:tblCellSpacing w:w="15" w:type="dxa"/>
        </w:trPr>
        <w:tc>
          <w:tcPr>
            <w:tcW w:w="0" w:type="auto"/>
            <w:vAlign w:val="center"/>
            <w:hideMark/>
          </w:tcPr>
          <w:p w14:paraId="41749687" w14:textId="77777777" w:rsidR="007F20F2" w:rsidRPr="00963F13" w:rsidRDefault="007F20F2" w:rsidP="00F86F70">
            <w:r w:rsidRPr="00963F13">
              <w:rPr>
                <w:b/>
                <w:bCs/>
              </w:rPr>
              <w:t>Cập nhật Thông tin</w:t>
            </w:r>
          </w:p>
        </w:tc>
        <w:tc>
          <w:tcPr>
            <w:tcW w:w="0" w:type="auto"/>
            <w:vAlign w:val="center"/>
            <w:hideMark/>
          </w:tcPr>
          <w:p w14:paraId="30BF9787" w14:textId="77777777" w:rsidR="007F20F2" w:rsidRPr="00963F13" w:rsidRDefault="007F20F2" w:rsidP="00F86F70">
            <w:r w:rsidRPr="00963F13">
              <w:rPr>
                <w:b/>
                <w:bCs/>
              </w:rPr>
              <w:t>Hồ sơ cư trú:</w:t>
            </w:r>
            <w:r w:rsidRPr="00963F13">
              <w:t xml:space="preserve"> Việc đăng ký tạm trú/tạm vắng được Ban Quản lý ghi nhận nhanh chóng và chính xác.</w:t>
            </w:r>
          </w:p>
        </w:tc>
        <w:tc>
          <w:tcPr>
            <w:tcW w:w="0" w:type="auto"/>
            <w:vAlign w:val="center"/>
            <w:hideMark/>
          </w:tcPr>
          <w:p w14:paraId="4124F1C1" w14:textId="77777777" w:rsidR="007F20F2" w:rsidRPr="00963F13" w:rsidRDefault="007F20F2" w:rsidP="00F86F70">
            <w:r w:rsidRPr="00963F13">
              <w:t>Thủ tục hành chính liên quan đến cư trú được giải quyết nhanh.</w:t>
            </w:r>
          </w:p>
        </w:tc>
      </w:tr>
    </w:tbl>
    <w:p w14:paraId="696D1695" w14:textId="77777777" w:rsidR="007F20F2" w:rsidRDefault="007F20F2" w:rsidP="007F20F2"/>
    <w:p w14:paraId="3B80C7E0" w14:textId="77777777" w:rsidR="00D064F5" w:rsidRDefault="00D064F5"/>
    <w:sectPr w:rsidR="00D064F5" w:rsidSect="007F20F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3121"/>
    <w:multiLevelType w:val="multilevel"/>
    <w:tmpl w:val="E51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E000A"/>
    <w:multiLevelType w:val="hybridMultilevel"/>
    <w:tmpl w:val="7BA625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7EF64D6"/>
    <w:multiLevelType w:val="multilevel"/>
    <w:tmpl w:val="7B0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871276">
    <w:abstractNumId w:val="2"/>
  </w:num>
  <w:num w:numId="2" w16cid:durableId="801734212">
    <w:abstractNumId w:val="0"/>
  </w:num>
  <w:num w:numId="3" w16cid:durableId="45124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F5"/>
    <w:rsid w:val="00446DD2"/>
    <w:rsid w:val="007F20F2"/>
    <w:rsid w:val="00D064F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918F"/>
  <w15:chartTrackingRefBased/>
  <w15:docId w15:val="{B8EF1B96-0A46-4D8A-B5C7-22FCA65E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F20F2"/>
    <w:pPr>
      <w:spacing w:line="259" w:lineRule="auto"/>
    </w:pPr>
    <w:rPr>
      <w:rFonts w:ascii="Times New Roman" w:hAnsi="Times New Roman"/>
      <w:szCs w:val="22"/>
      <w:lang w:val="en-US"/>
    </w:rPr>
  </w:style>
  <w:style w:type="paragraph" w:styleId="u1">
    <w:name w:val="heading 1"/>
    <w:basedOn w:val="Binhthng"/>
    <w:next w:val="Binhthng"/>
    <w:link w:val="u1Char"/>
    <w:uiPriority w:val="9"/>
    <w:qFormat/>
    <w:rsid w:val="00D06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06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064F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064F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064F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064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064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064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064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64F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064F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064F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064F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064F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064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064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064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064F5"/>
    <w:rPr>
      <w:rFonts w:eastAsiaTheme="majorEastAsia" w:cstheme="majorBidi"/>
      <w:color w:val="272727" w:themeColor="text1" w:themeTint="D8"/>
    </w:rPr>
  </w:style>
  <w:style w:type="paragraph" w:styleId="Tiu">
    <w:name w:val="Title"/>
    <w:basedOn w:val="Binhthng"/>
    <w:next w:val="Binhthng"/>
    <w:link w:val="TiuChar"/>
    <w:uiPriority w:val="10"/>
    <w:qFormat/>
    <w:rsid w:val="00D06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064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064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064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064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064F5"/>
    <w:rPr>
      <w:i/>
      <w:iCs/>
      <w:color w:val="404040" w:themeColor="text1" w:themeTint="BF"/>
    </w:rPr>
  </w:style>
  <w:style w:type="paragraph" w:styleId="oancuaDanhsach">
    <w:name w:val="List Paragraph"/>
    <w:basedOn w:val="Binhthng"/>
    <w:uiPriority w:val="34"/>
    <w:qFormat/>
    <w:rsid w:val="00D064F5"/>
    <w:pPr>
      <w:ind w:left="720"/>
      <w:contextualSpacing/>
    </w:pPr>
  </w:style>
  <w:style w:type="character" w:styleId="NhnmnhThm">
    <w:name w:val="Intense Emphasis"/>
    <w:basedOn w:val="Phngmcinhcuaoanvn"/>
    <w:uiPriority w:val="21"/>
    <w:qFormat/>
    <w:rsid w:val="00D064F5"/>
    <w:rPr>
      <w:i/>
      <w:iCs/>
      <w:color w:val="0F4761" w:themeColor="accent1" w:themeShade="BF"/>
    </w:rPr>
  </w:style>
  <w:style w:type="paragraph" w:styleId="Nhaykepm">
    <w:name w:val="Intense Quote"/>
    <w:basedOn w:val="Binhthng"/>
    <w:next w:val="Binhthng"/>
    <w:link w:val="NhaykepmChar"/>
    <w:uiPriority w:val="30"/>
    <w:qFormat/>
    <w:rsid w:val="00D06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064F5"/>
    <w:rPr>
      <w:i/>
      <w:iCs/>
      <w:color w:val="0F4761" w:themeColor="accent1" w:themeShade="BF"/>
    </w:rPr>
  </w:style>
  <w:style w:type="character" w:styleId="ThamchiuNhnmnh">
    <w:name w:val="Intense Reference"/>
    <w:basedOn w:val="Phngmcinhcuaoanvn"/>
    <w:uiPriority w:val="32"/>
    <w:qFormat/>
    <w:rsid w:val="00D064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Khanh 20235752</dc:creator>
  <cp:keywords/>
  <dc:description/>
  <cp:lastModifiedBy>Dinh Ngoc Khanh 20235752</cp:lastModifiedBy>
  <cp:revision>2</cp:revision>
  <dcterms:created xsi:type="dcterms:W3CDTF">2025-10-14T11:12:00Z</dcterms:created>
  <dcterms:modified xsi:type="dcterms:W3CDTF">2025-10-14T11:13:00Z</dcterms:modified>
</cp:coreProperties>
</file>