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700"/>
        <w:ind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KORP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Sistema de Emissão de Notas Fiscais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 w:before="200"/>
        <w:ind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>Documentação Técnica da Versão 1.0.0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 w:before="700"/>
        <w:ind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Angular 19 + ASP.NET Core Web API (.NET 9) + PostgreSQL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 w:before="240"/>
        <w:ind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Documento complementar ao README do repositório.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br w:type="page" w:clear="all"/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1. Objetivo e escopo técnico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Objetivo.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Documentar as decisões e recursos técnicos efetivamente utilizados na versão 1.0.0 do projeto, complementando as instruções de execução presentes no README.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Frontend Angular integrado às APIs de estoque e faturamento.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StockApi responsável por produtos, saldos e débito transacional.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BillingApi responsável por notas fiscais e coordenação da impressão/finalização.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Persistência física em PostgreSQL através do Entity Framework Core.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Tratamento de falhas entre microsserviços com retorno HTTP apropriado ao frontend.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>Fora do escopo desta versão. Emissão fiscal oficial, SEFAZ, XML fiscal, impostos, autenticação, IA, idempotência distribuída e tratamento específico de concorrência não fazem parte do escopo da versão 1.0.0.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2. Arquitetura da solução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 solução possui três aplicações independentes: frontend Angular, StockApi e BillingApi. Cada API possui seu próprio DbContext e persistência. O BillingApi não acessa diretamente o banco do estoque; a comunicação ocorre por HTTP.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8"/>
        <w:pBdr>
          <w:top w:val="single" w:color="d9d9d9" w:sz="3" w:space="0"/>
          <w:left w:val="single" w:color="d9d9d9" w:sz="3" w:space="0"/>
          <w:bottom w:val="single" w:color="d9d9d9" w:sz="3" w:space="0"/>
          <w:right w:val="single" w:color="d9d9d9" w:sz="3" w:space="0"/>
        </w:pBdr>
        <w:shd w:val="clear" w:color="auto" w:fill="f3f4f6"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Angular Frontend</w:t>
        <w:br/>
        <w:t xml:space="preserve">      |</w:t>
        <w:br/>
        <w:t xml:space="preserve">      +--------------------+</w:t>
        <w:br/>
        <w:t xml:space="preserve">      |                    |</w:t>
        <w:br/>
        <w:t xml:space="preserve">      v            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      v</w:t>
        <w:br/>
        <w:t xml:space="preserve">  StockApi             BillingApi</w:t>
        <w:br/>
        <w:t xml:space="preserve">      ^                    |</w:t>
        <w:br/>
        <w:t xml:space="preserve">      |                    |</w:t>
        <w:br/>
        <w:t xml:space="preserve">      +------ HTTP --------+</w:t>
        <w:br/>
        <w:t xml:space="preserve">      |                    |</w:t>
        <w:br/>
        <w:t xml:space="preserve">      v                    v</w:t>
        <w:br/>
        <w:t xml:space="preserve"> PostgreSQL            PostgreSQL</w:t>
        <w:br/>
        <w:t xml:space="preserve">  estoque              faturamento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94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cantSplit/>
          <w:tblHeader/>
        </w:trPr>
        <w:tc>
          <w:tcPr>
            <w:shd w:val="clear" w:color="auto" w:fill="f4cccc"/>
            <w:tcBorders/>
            <w:tcW w:w="23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Componente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4cccc"/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Responsabilidade principal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3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Frontend Angular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Interface, formulários, navegação, loading e feedback visual.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3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StockApi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Produtos, consulta de saldo e débito transacional.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3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BillingApi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Notas, itens, numeração, status e coordenação da impressão.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30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PostgreSQL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Persistência separada para estoque e faturamento.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br w:type="page" w:clear="all"/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3. Frontend Angular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3.1 Estrutura e roteamento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frontend utiliza componentes standalone e o Angular Router. As páginas principais são carregadas através de loadComponent, mantendo o carregamento das telas associado à navegação.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8"/>
        <w:pBdr>
          <w:top w:val="single" w:color="d9d9d9" w:sz="3" w:space="0"/>
          <w:left w:val="single" w:color="d9d9d9" w:sz="3" w:space="0"/>
          <w:bottom w:val="single" w:color="d9d9d9" w:sz="3" w:space="0"/>
          <w:right w:val="single" w:color="d9d9d9" w:sz="3" w:space="0"/>
        </w:pBdr>
        <w:shd w:val="clear" w:color="auto" w:fill="f3f4f6"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/products</w:t>
        <w:br/>
        <w:t xml:space="preserve">/invoices</w:t>
        <w:br/>
        <w:t xml:space="preserve">/invoices/create</w:t>
        <w:br/>
        <w:t xml:space="preserve">/invoices/:id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3.2 Ciclos de vida Angular utilizados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Os hooks documentados abaixo são os que aparecem efetivamente no código da versão 1.0.0.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94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shd w:val="clear" w:color="auto" w:fill="f4cccc"/>
            <w:tcBorders/>
            <w:tcW w:w="18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Hook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4cccc"/>
            <w:tcBorders/>
            <w:tcW w:w="31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Onde é utilizado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4cccc"/>
            <w:tcBorders/>
            <w:tcW w:w="53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Finalidade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18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ngOnInit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1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ProductListComponent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3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Carregar a lista de produtos ao iniciar a página.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18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ngOnInit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1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InvoiceListComponent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3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Carregar a lista de notas fiscais.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18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ngOnInit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1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InvoiceCreateComponent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3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Carregar produtos disponíveis e criar o primeiro item do formulário.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18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ngOnInit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1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InvoiceDetailComponent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3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Ler o id da rota e carregar os detalhes da nota.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187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ngOnChanges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1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ProductFormComponent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3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Preencher o formulário ao editar um produto ou resetá-lo ao criar um novo.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ngOnDestroy não foi necessário nesta versão.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As subscriptions utilizadas são requisições HTTP pontuais, que finalizam após resposta/erro, não havendo subscriptions de longa duração criadas manualmente nos componentes.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3.3 Reactive Forms e FormArray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formulário de produto utiliza Reactive Forms com validações de campos obrigatórios e saldo mínimo zero. A criação de notas também utiliza Reactive Forms e emprega FormArray para representar uma quantidade dinâmica de itens.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ProductFormComponent: Validators.required para código e descrição; Validators.min(0) para saldo.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InvoiceCreateComponent: Validators.required para produto; Validators.min(1) para quantidade.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FormArray permite adicionar e remover produtos da nota dinamicamente.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3.4 RxJS e operadores utilizados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HttpClient do Angular retorna Observables. A versão 1.0.0 utiliza RxJS de forma direta, vinculada a estados de interface e tratamento de erro.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94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cantSplit/>
          <w:tblHeader/>
        </w:trPr>
        <w:tc>
          <w:tcPr>
            <w:shd w:val="clear" w:color="auto" w:fill="f4cccc"/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Operador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4cccc"/>
            <w:tcBorders/>
            <w:tcW w:w="8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Uso real na aplicação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finalize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8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Desativa loading, saving e printing tanto em sucesso quanto em erro.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catchError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8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Interceptor HTTP global captura HttpErrorResponse para apresentar feedback amigável.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throwError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8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Após abrir o modal, o interceptor devolve o erro ao fluxo do Observable.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8"/>
        <w:pBdr>
          <w:top w:val="single" w:color="d9d9d9" w:sz="3" w:space="0"/>
          <w:left w:val="single" w:color="d9d9d9" w:sz="3" w:space="0"/>
          <w:bottom w:val="single" w:color="d9d9d9" w:sz="3" w:space="0"/>
          <w:right w:val="single" w:color="d9d9d9" w:sz="3" w:space="0"/>
        </w:pBdr>
        <w:shd w:val="clear" w:color="auto" w:fill="f3f4f6"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this.invoiceService.print(this.invoice.id)</w:t>
        <w:br/>
        <w:t xml:space="preserve">  .pipe(finalize(() =&gt; { this.printing = false; }))</w:t>
        <w:br/>
        <w:t xml:space="preserve">  .subscribe({ ... });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3.5 Tratamento visual de erros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frontend possui um interceptor funcional registrado com withInterceptors. O interceptor centraliza respostas HTTP de erro, transforma a situação em título/mensagem e abre um modal compartilhado através do ModalService.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400: Dados inválidos.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404: Não encontrado.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409: Operação não permitida.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500: Erro interno.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503: Serviço indisponível.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status 0: erro de conexão do navegador com a API.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ModalService utiliza Angular signal para manter o estado global do modal. Mensagens de sucesso da impressão também utilizam o mesmo modal.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3.6 Bibliotecas visuais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94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cantSplit/>
          <w:tblHeader/>
        </w:trPr>
        <w:tc>
          <w:tcPr>
            <w:shd w:val="clear" w:color="auto" w:fill="f4cccc"/>
            <w:tcBorders/>
            <w:tcW w:w="24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Biblioteca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4cccc"/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Finalidade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4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Bootstrap 5.3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Layout, navbar, tabelas, formulários, botões, validações, modal e spinners.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4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Font Awesome Free 7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Ícones de adicionar, editar, visualizar, remover, salvar e imprimir.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4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SCSS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9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Ajustes visuais específicos da aplicação.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4. Backend ASP.NET Core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As duas APIs utilizam ASP.NET Core Web API em .NET 9, injeção de dependência nativa, controllers, serviços, repositórios, DTOs, Entity Framework Core e middleware global de exceções.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8"/>
        <w:pBdr>
          <w:top w:val="single" w:color="d9d9d9" w:sz="3" w:space="0"/>
          <w:left w:val="single" w:color="d9d9d9" w:sz="3" w:space="0"/>
          <w:bottom w:val="single" w:color="d9d9d9" w:sz="3" w:space="0"/>
          <w:right w:val="single" w:color="d9d9d9" w:sz="3" w:space="0"/>
        </w:pBdr>
        <w:shd w:val="clear" w:color="auto" w:fill="f3f4f6"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HTTP Request</w:t>
        <w:br/>
        <w:t xml:space="preserve">    |</w:t>
        <w:br/>
        <w:t xml:space="preserve">Controller</w:t>
        <w:br/>
        <w:t xml:space="preserve">    |</w:t>
        <w:br/>
        <w:t xml:space="preserve">Service</w:t>
        <w:br/>
        <w:t xml:space="preserve">    |</w:t>
        <w:br/>
        <w:t xml:space="preserve">Repository</w:t>
        <w:br/>
        <w:t xml:space="preserve">    |</w:t>
        <w:br/>
        <w:t xml:space="preserve">DbContext / Entity Framework Core</w:t>
        <w:br/>
        <w:t xml:space="preserve">    |</w:t>
        <w:br/>
        <w:t xml:space="preserve">PostgreSQL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4.1 StockApi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StockApi é a fonte de verdade do saldo. A operação de débito recebe múltiplos itens e é executada dentro de uma transação do Entity Framework Core.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Valida se a requisição contém itens.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Agrupa ProductId repetidos com GroupBy.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Soma quantidades repetidas com Sum.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Valida quantidade maior que zero.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Consulta cada produto.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Valida saldo suficiente.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Altera os saldos rastreados pelo DbContext.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Executa SaveChangesAsync e CommitAsync.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Em qualquer falha, executa RollbackAsync e relança a exceção.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4.2 BillingApi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BillingApi cria e consulta notas fiscais e coordena o fluxo de finalização. Na criação, consulta o StockApi para obter código e descrição do produto, armazenando esses dados no InvoiceItem junto ao ProductId e à quantidade.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Esse snapshot impede que uma futura alteração da descrição do produto altere a representação histórica já gravada na nota.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4.3 Comunicação entre microsserviços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BillingApi registra um HttpClient nomeado chamado StockApi. O endereço base é obtido de Services:StockApi no appsettings.Development.json. O StockClient encapsula as chamadas para consulta de produto e débito de estoque.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8"/>
        <w:pBdr>
          <w:top w:val="single" w:color="d9d9d9" w:sz="3" w:space="0"/>
          <w:left w:val="single" w:color="d9d9d9" w:sz="3" w:space="0"/>
          <w:bottom w:val="single" w:color="d9d9d9" w:sz="3" w:space="0"/>
          <w:right w:val="single" w:color="d9d9d9" w:sz="3" w:space="0"/>
        </w:pBdr>
        <w:shd w:val="clear" w:color="auto" w:fill="f3f4f6"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BillingApi -&gt; StockClient -&gt; HTTP -&gt; StockApi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Durante o print, o frontend não chama o débito diretamente. Ele chama o endpoint de impressão do BillingApi, e o BillingApi coordena o débito no StockApi antes de fechar a nota.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4.4 Entity Framework Core e PostgreSQL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StockDbContext persiste Product.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BillingDbContext persiste Invoice e InvoiceItem.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UseNpgsql configura o provider PostgreSQL.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Migrations iniciais estão presentes nos dois projetos.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SaveChangesAsync é usado para persistência assíncrona.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Include carrega os itens associados às notas nas consultas do BillingApi.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4.5 Uso de LINQ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LINQ é utilizado em regras e transformações reais da versão 1.0.0, e não apenas como demonstração isolada.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94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cantSplit/>
          <w:tblHeader/>
        </w:trPr>
        <w:tc>
          <w:tcPr>
            <w:shd w:val="clear" w:color="auto" w:fill="f4cccc"/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Operação LINQ/EF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4cccc"/>
            <w:tcBorders/>
            <w:tcW w:w="74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Aplicação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Select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4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Mapeamento de Product/Invoice/InvoiceItem para DTOs.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Any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4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Validação de quantidade dos itens da nota.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GroupBy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4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Agrupamento de produtos repetidos no débito.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Sum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4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Soma das quantidades agrupadas.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FirstOrDefaultAsync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4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Consulta de produto/nota por id.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ToListAsync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4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Listagens assíncronas.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Include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4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Carregamento de Invoice.Items.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MaxAsync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748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Cálculo do próximo número sequencial da nota.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br w:type="page" w:clear="all"/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5. Tratamento de erros e exceções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Cada API possui um ExceptionMiddleware. Os controllers permanecem simples e as exceções conhecidas são convertidas centralmente em respostas HTTP padronizadas com status e message.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8"/>
        <w:pBdr>
          <w:top w:val="single" w:color="d9d9d9" w:sz="3" w:space="0"/>
          <w:left w:val="single" w:color="d9d9d9" w:sz="3" w:space="0"/>
          <w:bottom w:val="single" w:color="d9d9d9" w:sz="3" w:space="0"/>
          <w:right w:val="single" w:color="d9d9d9" w:sz="3" w:space="0"/>
        </w:pBdr>
        <w:shd w:val="clear" w:color="auto" w:fill="f3f4f6"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{</w:t>
        <w:br/>
        <w:t xml:space="preserve">  "status": 409,</w:t>
        <w:br/>
        <w:t xml:space="preserve">  "message": "Saldo insuficiente para o produto Produto A."</w:t>
        <w:br/>
        <w:t xml:space="preserve">}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tbl>
      <w:tblPr>
        <w:tblStyle w:val="949"/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shd w:val="clear" w:color="auto" w:fill="f4cccc"/>
            <w:tcBorders/>
            <w:tcW w:w="34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Exceção / situação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4cccc"/>
            <w:tcBorders/>
            <w:tcW w:w="11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HTTP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4cccc"/>
            <w:tcBorders/>
            <w:tcW w:w="5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Exemplo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34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ArgumentException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1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400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Quantidade inválida ou requisição sem itens.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34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KeyNotFoundException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1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404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Produto ou nota inexistente.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34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InvalidOperationException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1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409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Saldo insuficiente ou nota já fechada.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34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HttpRequestException (Billing)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1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503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StockApi indisponível.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34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TaskCanceledException (Billing)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1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503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StockApi excedeu o tempo de resposta.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cantSplit/>
        </w:trPr>
        <w:tc>
          <w:tcPr>
            <w:tcBorders/>
            <w:tcW w:w="345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Exception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15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500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57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  <w:t xml:space="preserve">Erro inesperado.</w:t>
            </w:r>
            <w:r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StockClient também converte respostas conhecidas do StockApi em exceções equivalentes no BillingApi. Isso preserva o significado do erro: por exemplo, saldo insuficiente continua sendo 409, em vez de ser confundido com indisponibilidade do serviço.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6. Fluxos de negócio principais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6.1 Cadastro e edição de produto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8"/>
        <w:pBdr>
          <w:top w:val="single" w:color="d9d9d9" w:sz="3" w:space="0"/>
          <w:left w:val="single" w:color="d9d9d9" w:sz="3" w:space="0"/>
          <w:bottom w:val="single" w:color="d9d9d9" w:sz="3" w:space="0"/>
          <w:right w:val="single" w:color="d9d9d9" w:sz="3" w:space="0"/>
        </w:pBdr>
        <w:shd w:val="clear" w:color="auto" w:fill="f3f4f6"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ProductFormComponent</w:t>
        <w:br/>
        <w:t xml:space="preserve">      |</w:t>
        <w:br/>
        <w:t xml:space="preserve">ProductService (Angular)</w:t>
        <w:br/>
        <w:t xml:space="preserve">      | HTTP POST / PUT</w:t>
        <w:br/>
        <w:t xml:space="preserve">ProductController</w:t>
        <w:br/>
        <w:t xml:space="preserve">      |</w:t>
        <w:br/>
        <w:t xml:space="preserve">ProductService (C#)</w:t>
        <w:br/>
        <w:t xml:space="preserve">      |</w:t>
        <w:br/>
        <w:t xml:space="preserve">ProductRepository</w:t>
        <w:br/>
        <w:t xml:space="preserve">      |</w:t>
        <w:br/>
        <w:t xml:space="preserve">PostgreSQL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6.2 Criação de nota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Angular envia apenas ProductId e Quantity de cada item.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BillingApi valida a requisição.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número sequencial é obtido no backend através de MaxAsync + 1.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status inicial é Opened.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BillingApi consulta cada produto no StockApi.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Código e descrição são copiados para o InvoiceItem.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 nota e seus itens são persistidos no PostgreSQL do BillingApi.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br w:type="page" w:clear="all"/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6.3 Impressão/finalização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8"/>
        <w:pBdr>
          <w:top w:val="single" w:color="d9d9d9" w:sz="3" w:space="0"/>
          <w:left w:val="single" w:color="d9d9d9" w:sz="3" w:space="0"/>
          <w:bottom w:val="single" w:color="d9d9d9" w:sz="3" w:space="0"/>
          <w:right w:val="single" w:color="d9d9d9" w:sz="3" w:space="0"/>
        </w:pBdr>
        <w:shd w:val="clear" w:color="auto" w:fill="f3f4f6"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Usuário clica em Imprimir</w:t>
        <w:br/>
        <w:t xml:space="preserve">        |</w:t>
        <w:br/>
        <w:t xml:space="preserve">Angular: printing = true</w:t>
        <w:br/>
        <w:t xml:space="preserve">        |</w:t>
        <w:br/>
        <w:t xml:space="preserve">POST /a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pi/Invoice/{id}/print</w:t>
        <w:br/>
        <w:t xml:space="preserve">        |</w:t>
        <w:br/>
        <w:t xml:space="preserve">BillingApi valida status Opened</w:t>
        <w:br/>
        <w:t xml:space="preserve">        |</w:t>
        <w:br/>
        <w:t xml:space="preserve">StockClient -&gt; POST /api/stock/debit</w:t>
        <w:br/>
        <w:t xml:space="preserve">        |</w:t>
        <w:br/>
        <w:t xml:space="preserve">StockApi valida + debita em transação</w:t>
        <w:br/>
        <w:t xml:space="preserve">        |</w:t>
        <w:br/>
        <w:t xml:space="preserve">BillingApi altera status para Closed</w:t>
        <w:br/>
        <w:t xml:space="preserve">        |</w:t>
        <w:br/>
        <w:t xml:space="preserve">Angular encerra loading e mostra sucesso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 nota somente é fechada depois que o débito retorna com sucesso. Isso evita registrar uma nota como finalizada quando o estoque não foi atualizado.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7. Cenário de falha e recuperação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cenário obrigatório de falha é demonstrado desligando o StockApi durante a tentativa de impressão de uma nota aberta.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Criar produtos com saldo disponível.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Criar uma nota em status Opened.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Parar o StockApi.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Solicitar a impressão no frontend.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BillingApi tenta chamar o StockApi e recebe falha de conexão.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StockClient lança HttpRequestException com mensagem amigável.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ExceptionMiddleware do BillingApi converte a falha em 503 Service Unavailable.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Interceptor do Angular abre o modal de erro.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finalize encerra o indicador de processamento.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 nota permanece Opened porque o código que altera o status para Closed não foi executado.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Subir novamente o StockApi.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Repetir a impressão.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22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 débito é concluído, a nota é fechada e o frontend apresenta sucesso.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Resultado esperado: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uma falha de comunicação não deve gerar fechamento indevido da nota nem débito parcial de estoque; após a recuperação do serviço, a operação pode ser repetida normalmente.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8. Configuração, CORS e dados sensíveis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8.1 User Secrets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StockApi e BillingApi possuem UserSecretsId em seus arquivos .csproj. As APIs obtêm a conexão pelo nome ConnectionStrings:DefaultConnection. A versão analisada não possui a connection string do PostgreSQL nos appsettings versionados.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1048"/>
        <w:pBdr>
          <w:top w:val="single" w:color="d9d9d9" w:sz="3" w:space="0"/>
          <w:left w:val="single" w:color="d9d9d9" w:sz="3" w:space="0"/>
          <w:bottom w:val="single" w:color="d9d9d9" w:sz="3" w:space="0"/>
          <w:right w:val="single" w:color="d9d9d9" w:sz="3" w:space="0"/>
        </w:pBdr>
        <w:shd w:val="clear" w:color="auto" w:fill="f3f4f6"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dotnet user-secrets set "ConnectionStrings:DefaultConnection" "Host=localhost;Port=5432;Database=...;Username=...;Password=..."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As instruções completas de configuração local estão no README. Credenciais reais não devem ser adicionadas ao repositório.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8.2 CORS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As duas APIs registram a política Angular permitindo a origem http://localhost:4200, com headers e métodos necessários para o frontend em desenvolvimento. A comunicação BillingApi -&gt; StockApi ocorre servidor-servidor e não depende de CORS.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90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8.3 Configuração de URLs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StockApi: http://localhost:5001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BillingApi: http://localhost:5002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Frontend: http://localhost:4200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BillingApi/appsettings.Development.json contém Services:StockApi = http://localhost:5001.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Frontend usa environment.ts e environment.development.ts para as URLs das APIs.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>9. Validações e testes manuais da versão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Cadastrar produto com saldo válido.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Editar produto e confirmar persistência.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Criar nota com mais de um produto.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Consultar lista e detalhes da nota.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Imprimir uma nota aberta e conferir status Closed.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Conferir redução exata do saldo no StockApi.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Tentar imprimir novamente uma nota fechada e receber bloqueio.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Testar saldo insuficiente e verificar 409.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Testar requisição inválida e verificar 400.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Desligar o StockApi e verificar 503 + nota permanece Opened.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Religar o StockApi e repetir a operação com sucesso.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919"/>
        <w:pBdr/>
        <w:spacing w:after="40"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Confirmar rollback do débito quando algum item falha.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Style w:val="889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10. Resumo técnico da versão 1.0.0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t>A versão 1.0.0 integra Angular, StockApi e BillingApi com persistência PostgreSQL, comunicação HTTP, transação de estoque, tratamento global de erros, Reactive Forms, RxJS e LINQ.</w:t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08" w:right="1152" w:bottom="1008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Liberation Mono">
    <w:panose1 w:val="02070309020205020404"/>
  </w:font>
  <w:font w:name="Courier">
    <w:panose1 w:val="020703090202050204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7"/>
      <w:pBdr/>
      <w:spacing/>
      <w:ind/>
      <w:jc w:val="center"/>
      <w:rPr/>
    </w:pPr>
    <w:r>
      <w:rPr>
        <w:color w:val="787878"/>
        <w:sz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5"/>
      <w:pBdr/>
      <w:spacing/>
      <w:ind/>
      <w:jc w:val="right"/>
      <w:rPr/>
    </w:pPr>
    <w:r>
      <w:rPr>
        <w:color w:val="787878"/>
        <w:sz w:val="16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6">
    <w:name w:val="footnote text"/>
    <w:basedOn w:val="884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98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4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9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5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6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7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8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9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80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1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2">
    <w:name w:val="toc 9"/>
    <w:basedOn w:val="884"/>
    <w:next w:val="884"/>
    <w:uiPriority w:val="39"/>
    <w:unhideWhenUsed/>
    <w:pPr>
      <w:pBdr/>
      <w:spacing w:after="100"/>
      <w:ind w:left="1760"/>
    </w:p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/>
      <w:ind/>
    </w:pPr>
    <w:rPr>
      <w:rFonts w:ascii="Liberation Sans" w:hAnsi="Liberation Sans" w:eastAsia="Liberation Sans"/>
      <w:sz w:val="21"/>
    </w:rPr>
  </w:style>
  <w:style w:type="paragraph" w:styleId="885">
    <w:name w:val="Header"/>
    <w:basedOn w:val="884"/>
    <w:link w:val="8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6" w:customStyle="1">
    <w:name w:val="Header Char"/>
    <w:basedOn w:val="898"/>
    <w:link w:val="885"/>
    <w:uiPriority w:val="99"/>
    <w:pPr>
      <w:pBdr/>
      <w:spacing/>
      <w:ind/>
    </w:pPr>
  </w:style>
  <w:style w:type="paragraph" w:styleId="887">
    <w:name w:val="Footer"/>
    <w:basedOn w:val="884"/>
    <w:link w:val="8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8" w:customStyle="1">
    <w:name w:val="Footer Char"/>
    <w:basedOn w:val="898"/>
    <w:link w:val="887"/>
    <w:uiPriority w:val="99"/>
    <w:pPr>
      <w:pBdr/>
      <w:spacing/>
      <w:ind/>
    </w:pPr>
  </w:style>
  <w:style w:type="paragraph" w:styleId="889">
    <w:name w:val="Heading 1"/>
    <w:basedOn w:val="884"/>
    <w:next w:val="884"/>
    <w:link w:val="9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Liberation Sans" w:hAnsi="Liberation Sans" w:eastAsia="Liberation Sans" w:asciiTheme="majorHAnsi" w:hAnsiTheme="majorHAnsi" w:eastAsiaTheme="majorEastAsia" w:cstheme="majorBidi"/>
      <w:b/>
      <w:bCs/>
      <w:color w:val="c62828"/>
      <w:sz w:val="32"/>
      <w:szCs w:val="28"/>
    </w:rPr>
  </w:style>
  <w:style w:type="paragraph" w:styleId="890">
    <w:name w:val="Heading 2"/>
    <w:basedOn w:val="884"/>
    <w:next w:val="884"/>
    <w:link w:val="9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Liberation Sans" w:hAnsi="Liberation Sans" w:eastAsia="Liberation Sans" w:asciiTheme="majorHAnsi" w:hAnsiTheme="majorHAnsi" w:eastAsiaTheme="majorEastAsia" w:cstheme="majorBidi"/>
      <w:b/>
      <w:bCs/>
      <w:color w:val="3c3c3c"/>
      <w:sz w:val="26"/>
      <w:szCs w:val="26"/>
    </w:rPr>
  </w:style>
  <w:style w:type="paragraph" w:styleId="891">
    <w:name w:val="Heading 3"/>
    <w:basedOn w:val="884"/>
    <w:next w:val="884"/>
    <w:link w:val="9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Liberation Sans" w:hAnsi="Liberation Sans" w:eastAsia="Liberation Sans" w:asciiTheme="majorHAnsi" w:hAnsiTheme="majorHAnsi" w:eastAsiaTheme="majorEastAsia" w:cstheme="majorBidi"/>
      <w:b/>
      <w:bCs/>
      <w:color w:val="5a5a5a"/>
      <w:sz w:val="22"/>
    </w:rPr>
  </w:style>
  <w:style w:type="paragraph" w:styleId="892">
    <w:name w:val="Heading 4"/>
    <w:basedOn w:val="884"/>
    <w:next w:val="884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3">
    <w:name w:val="Heading 5"/>
    <w:basedOn w:val="884"/>
    <w:next w:val="884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4">
    <w:name w:val="Heading 6"/>
    <w:basedOn w:val="884"/>
    <w:next w:val="884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5">
    <w:name w:val="Heading 7"/>
    <w:basedOn w:val="884"/>
    <w:next w:val="884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6">
    <w:name w:val="Heading 8"/>
    <w:basedOn w:val="884"/>
    <w:next w:val="884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7">
    <w:name w:val="Heading 9"/>
    <w:basedOn w:val="884"/>
    <w:next w:val="884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8" w:default="1">
    <w:name w:val="Default Paragraph Font"/>
    <w:uiPriority w:val="1"/>
    <w:semiHidden/>
    <w:unhideWhenUsed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uiPriority w:val="1"/>
    <w:qFormat/>
    <w:pPr>
      <w:pBdr/>
      <w:spacing w:after="0" w:line="240" w:lineRule="auto"/>
      <w:ind/>
    </w:pPr>
  </w:style>
  <w:style w:type="character" w:styleId="902" w:customStyle="1">
    <w:name w:val="Heading 1 Char"/>
    <w:basedOn w:val="898"/>
    <w:link w:val="8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3" w:customStyle="1">
    <w:name w:val="Heading 2 Char"/>
    <w:basedOn w:val="898"/>
    <w:link w:val="8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4" w:customStyle="1">
    <w:name w:val="Heading 3 Char"/>
    <w:basedOn w:val="898"/>
    <w:link w:val="8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5">
    <w:name w:val="Title"/>
    <w:basedOn w:val="884"/>
    <w:next w:val="884"/>
    <w:link w:val="9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Liberation Sans" w:hAnsi="Liberation Sans" w:eastAsia="Liberation Sans" w:asciiTheme="majorHAnsi" w:hAnsiTheme="majorHAnsi" w:eastAsiaTheme="majorEastAsia" w:cstheme="majorBidi"/>
      <w:color w:val="c62828"/>
      <w:spacing w:val="5"/>
      <w:sz w:val="44"/>
      <w:szCs w:val="52"/>
    </w:rPr>
  </w:style>
  <w:style w:type="character" w:styleId="906" w:customStyle="1">
    <w:name w:val="Title Char"/>
    <w:basedOn w:val="898"/>
    <w:link w:val="9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7">
    <w:name w:val="Subtitle"/>
    <w:basedOn w:val="884"/>
    <w:next w:val="884"/>
    <w:link w:val="9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8" w:customStyle="1">
    <w:name w:val="Subtitle Char"/>
    <w:basedOn w:val="898"/>
    <w:link w:val="9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9">
    <w:name w:val="List Paragraph"/>
    <w:basedOn w:val="884"/>
    <w:uiPriority w:val="34"/>
    <w:qFormat/>
    <w:pPr>
      <w:pBdr/>
      <w:spacing/>
      <w:ind w:left="720"/>
      <w:contextualSpacing w:val="true"/>
    </w:pPr>
  </w:style>
  <w:style w:type="paragraph" w:styleId="910">
    <w:name w:val="Body Text"/>
    <w:basedOn w:val="884"/>
    <w:link w:val="911"/>
    <w:uiPriority w:val="99"/>
    <w:unhideWhenUsed/>
    <w:pPr>
      <w:pBdr/>
      <w:spacing w:after="120"/>
      <w:ind/>
    </w:pPr>
  </w:style>
  <w:style w:type="character" w:styleId="911" w:customStyle="1">
    <w:name w:val="Body Text Char"/>
    <w:basedOn w:val="898"/>
    <w:link w:val="910"/>
    <w:uiPriority w:val="99"/>
    <w:pPr>
      <w:pBdr/>
      <w:spacing/>
      <w:ind/>
    </w:pPr>
  </w:style>
  <w:style w:type="paragraph" w:styleId="912">
    <w:name w:val="Body Text 2"/>
    <w:basedOn w:val="884"/>
    <w:link w:val="913"/>
    <w:uiPriority w:val="99"/>
    <w:unhideWhenUsed/>
    <w:pPr>
      <w:pBdr/>
      <w:spacing w:after="120" w:line="480" w:lineRule="auto"/>
      <w:ind/>
    </w:pPr>
  </w:style>
  <w:style w:type="character" w:styleId="913" w:customStyle="1">
    <w:name w:val="Body Text 2 Char"/>
    <w:basedOn w:val="898"/>
    <w:link w:val="912"/>
    <w:uiPriority w:val="99"/>
    <w:pPr>
      <w:pBdr/>
      <w:spacing/>
      <w:ind/>
    </w:pPr>
  </w:style>
  <w:style w:type="paragraph" w:styleId="914">
    <w:name w:val="Body Text 3"/>
    <w:basedOn w:val="884"/>
    <w:link w:val="9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5" w:customStyle="1">
    <w:name w:val="Body Text 3 Char"/>
    <w:basedOn w:val="898"/>
    <w:link w:val="914"/>
    <w:uiPriority w:val="99"/>
    <w:pPr>
      <w:pBdr/>
      <w:spacing/>
      <w:ind/>
    </w:pPr>
    <w:rPr>
      <w:sz w:val="16"/>
      <w:szCs w:val="16"/>
    </w:rPr>
  </w:style>
  <w:style w:type="paragraph" w:styleId="916">
    <w:name w:val="List"/>
    <w:basedOn w:val="884"/>
    <w:uiPriority w:val="99"/>
    <w:unhideWhenUsed/>
    <w:pPr>
      <w:pBdr/>
      <w:spacing/>
      <w:ind w:hanging="360" w:left="360"/>
      <w:contextualSpacing w:val="true"/>
    </w:pPr>
  </w:style>
  <w:style w:type="paragraph" w:styleId="917">
    <w:name w:val="List 2"/>
    <w:basedOn w:val="884"/>
    <w:uiPriority w:val="99"/>
    <w:unhideWhenUsed/>
    <w:pPr>
      <w:pBdr/>
      <w:spacing/>
      <w:ind w:hanging="360" w:left="720"/>
      <w:contextualSpacing w:val="true"/>
    </w:pPr>
  </w:style>
  <w:style w:type="paragraph" w:styleId="918">
    <w:name w:val="List 3"/>
    <w:basedOn w:val="884"/>
    <w:uiPriority w:val="99"/>
    <w:unhideWhenUsed/>
    <w:pPr>
      <w:pBdr/>
      <w:spacing/>
      <w:ind w:hanging="360" w:left="1080"/>
      <w:contextualSpacing w:val="true"/>
    </w:pPr>
  </w:style>
  <w:style w:type="paragraph" w:styleId="919">
    <w:name w:val="List Bullet"/>
    <w:basedOn w:val="8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0">
    <w:name w:val="List Bullet 2"/>
    <w:basedOn w:val="8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1">
    <w:name w:val="List Bullet 3"/>
    <w:basedOn w:val="8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2">
    <w:name w:val="List Number"/>
    <w:basedOn w:val="8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3">
    <w:name w:val="List Number 2"/>
    <w:basedOn w:val="8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4">
    <w:name w:val="List Number 3"/>
    <w:basedOn w:val="8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5">
    <w:name w:val="List Continue"/>
    <w:basedOn w:val="884"/>
    <w:uiPriority w:val="99"/>
    <w:unhideWhenUsed/>
    <w:pPr>
      <w:pBdr/>
      <w:spacing w:after="120"/>
      <w:ind w:left="360"/>
      <w:contextualSpacing w:val="true"/>
    </w:pPr>
  </w:style>
  <w:style w:type="paragraph" w:styleId="926">
    <w:name w:val="List Continue 2"/>
    <w:basedOn w:val="884"/>
    <w:uiPriority w:val="99"/>
    <w:unhideWhenUsed/>
    <w:pPr>
      <w:pBdr/>
      <w:spacing w:after="120"/>
      <w:ind w:left="720"/>
      <w:contextualSpacing w:val="true"/>
    </w:pPr>
  </w:style>
  <w:style w:type="paragraph" w:styleId="927">
    <w:name w:val="List Continue 3"/>
    <w:basedOn w:val="884"/>
    <w:uiPriority w:val="99"/>
    <w:unhideWhenUsed/>
    <w:pPr>
      <w:pBdr/>
      <w:spacing w:after="120"/>
      <w:ind w:left="1080"/>
      <w:contextualSpacing w:val="true"/>
    </w:pPr>
  </w:style>
  <w:style w:type="paragraph" w:styleId="928">
    <w:name w:val="macro"/>
    <w:link w:val="9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9" w:customStyle="1">
    <w:name w:val="Macro Text Char"/>
    <w:basedOn w:val="898"/>
    <w:link w:val="9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0">
    <w:name w:val="Quote"/>
    <w:basedOn w:val="884"/>
    <w:next w:val="884"/>
    <w:link w:val="9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1" w:customStyle="1">
    <w:name w:val="Quote Char"/>
    <w:basedOn w:val="898"/>
    <w:link w:val="930"/>
    <w:uiPriority w:val="29"/>
    <w:pPr>
      <w:pBdr/>
      <w:spacing/>
      <w:ind/>
    </w:pPr>
    <w:rPr>
      <w:i/>
      <w:iCs/>
      <w:color w:val="000000" w:themeColor="text1"/>
    </w:rPr>
  </w:style>
  <w:style w:type="character" w:styleId="932" w:customStyle="1">
    <w:name w:val="Heading 4 Char"/>
    <w:basedOn w:val="898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3" w:customStyle="1">
    <w:name w:val="Heading 5 Char"/>
    <w:basedOn w:val="898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4" w:customStyle="1">
    <w:name w:val="Heading 6 Char"/>
    <w:basedOn w:val="898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5" w:customStyle="1">
    <w:name w:val="Heading 7 Char"/>
    <w:basedOn w:val="898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6" w:customStyle="1">
    <w:name w:val="Heading 8 Char"/>
    <w:basedOn w:val="898"/>
    <w:link w:val="8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7" w:customStyle="1">
    <w:name w:val="Heading 9 Char"/>
    <w:basedOn w:val="898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8">
    <w:name w:val="Caption"/>
    <w:basedOn w:val="884"/>
    <w:next w:val="8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9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940">
    <w:name w:val="Emphasis"/>
    <w:basedOn w:val="898"/>
    <w:uiPriority w:val="20"/>
    <w:qFormat/>
    <w:pPr>
      <w:pBdr/>
      <w:spacing/>
      <w:ind/>
    </w:pPr>
    <w:rPr>
      <w:i/>
      <w:iCs/>
    </w:rPr>
  </w:style>
  <w:style w:type="paragraph" w:styleId="941">
    <w:name w:val="Intense Quote"/>
    <w:basedOn w:val="884"/>
    <w:next w:val="884"/>
    <w:link w:val="9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2" w:customStyle="1">
    <w:name w:val="Intense Quote Char"/>
    <w:basedOn w:val="898"/>
    <w:link w:val="9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3">
    <w:name w:val="Subtle Emphasis"/>
    <w:basedOn w:val="8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4">
    <w:name w:val="Intense Emphasis"/>
    <w:basedOn w:val="8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5">
    <w:name w:val="Subtle Reference"/>
    <w:basedOn w:val="8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6">
    <w:name w:val="Intense Reference"/>
    <w:basedOn w:val="8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7">
    <w:name w:val="Book Title"/>
    <w:basedOn w:val="8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8">
    <w:name w:val="TOC Heading"/>
    <w:basedOn w:val="889"/>
    <w:next w:val="884"/>
    <w:uiPriority w:val="39"/>
    <w:semiHidden/>
    <w:unhideWhenUsed/>
    <w:qFormat/>
    <w:pPr>
      <w:pBdr/>
      <w:spacing/>
      <w:ind/>
      <w:outlineLvl w:val="9"/>
    </w:pPr>
  </w:style>
  <w:style w:type="table" w:styleId="949">
    <w:name w:val="Table Grid"/>
    <w:basedOn w:val="8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"/>
    <w:basedOn w:val="8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1"/>
    <w:basedOn w:val="8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2"/>
    <w:basedOn w:val="8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3"/>
    <w:basedOn w:val="8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4"/>
    <w:basedOn w:val="8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5"/>
    <w:basedOn w:val="8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6"/>
    <w:basedOn w:val="8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1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2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3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4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5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6"/>
    <w:basedOn w:val="8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1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2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3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4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5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6"/>
    <w:basedOn w:val="8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1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2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3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4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5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6"/>
    <w:basedOn w:val="8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1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2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3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4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5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6"/>
    <w:basedOn w:val="8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1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2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3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4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5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6"/>
    <w:basedOn w:val="8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1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2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3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4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5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6"/>
    <w:basedOn w:val="8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1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2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3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4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5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6"/>
    <w:basedOn w:val="8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1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2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3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4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5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6"/>
    <w:basedOn w:val="8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1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2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3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4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5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6"/>
    <w:basedOn w:val="8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1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2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3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4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5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6"/>
    <w:basedOn w:val="8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1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2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3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4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5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6"/>
    <w:basedOn w:val="8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1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2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3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4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5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6"/>
    <w:basedOn w:val="8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1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2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3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4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5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6"/>
    <w:basedOn w:val="8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8" w:customStyle="1">
    <w:name w:val="CodeBlock"/>
    <w:pPr>
      <w:pBdr/>
      <w:spacing w:after="120" w:before="80"/>
      <w:ind w:right="216" w:left="216"/>
    </w:pPr>
    <w:rPr>
      <w:rFonts w:ascii="Liberation Mono" w:hAnsi="Liberation Mono" w:eastAsia="Liberation Mono"/>
      <w:sz w:val="17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Korp - Documentação Técnica v1.0.0</dc:title>
  <dc:subject>Documentação técnica do Sistema de Emissão de Notas Fiscais</dc:subject>
  <dc:creator>python-docx</dc:creator>
  <cp:keywords/>
  <dc:description>Release 1.0.0</dc:description>
  <cp:revision>3</cp:revision>
  <dcterms:created xsi:type="dcterms:W3CDTF">2013-12-23T23:15:00Z</dcterms:created>
  <dcterms:modified xsi:type="dcterms:W3CDTF">2026-08-20T16:32:28Z</dcterms:modified>
  <cp:category/>
</cp:coreProperties>
</file>