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35</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35</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37</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42</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14</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14</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15</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15</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15</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16</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16</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16</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16</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17</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17</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17</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18</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19</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19</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19</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20</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20</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23</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23</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24</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26</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29</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31</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31</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32</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33</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35</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36</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37</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38</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39</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39</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39</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40</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40</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42</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43</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44</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46</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46</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46</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46</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47</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48</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48</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48</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49</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49</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51</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51</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51</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51</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51</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52</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52</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52</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52</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53</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53</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53</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53</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54</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formado por unidades computacionais que percebem informações, tomam decisões e atuam em um ambiente compartilhado, preservando algum grau de autonomia local. O comportamento global resulta da capacidade de cada agente e das regras que distribuem responsabilidades, informações e autoridade. Isso diferencia um sistema multiagente de uma aplicação que apenas realiza chamadas independentes a modelos: a colaboração exige uma estrutura comum de objetivos, comunicação e coordenação.</w:t>
      </w:r>
    </w:p>
    <w:p>
      <w:pPr/>
      <w:r>
        <w:rPr>
          <w:rFonts w:ascii="Arial" w:hAnsi="Arial" w:eastAsia="Arial" w:cs="Arial"/>
          <w:color w:val="000000"/>
          <w:sz w:val="24"/>
        </w:rPr>
        <w:t xml:space="preserve">Nos sistemas baseados em </w:t>
      </w:r>
      <w:r>
        <w:rPr>
          <w:rFonts w:ascii="Arial" w:hAnsi="Arial" w:eastAsia="Arial" w:cs="Arial"/>
          <w:i w:val="1"/>
          <w:color w:val="000000"/>
          <w:sz w:val="24"/>
          <w:iCs w:val="1"/>
        </w:rPr>
        <w:t>Large Language Models</w:t>
      </w:r>
      <w:r>
        <w:rPr>
          <w:rFonts w:ascii="Arial" w:hAnsi="Arial" w:eastAsia="Arial" w:cs="Arial"/>
          <w:color w:val="000000"/>
          <w:sz w:val="24"/>
        </w:rPr>
        <w:t xml:space="preserve">, os agentes podem ser diferenciados por instruções, papéis, ferramentas, fontes de conhecimento e permissões. Um agente pode classificar a solicitação, outro recuperar evidências e um terceiro sintetizar a resposta. Li </w:t>
      </w:r>
      <w:r>
        <w:rPr>
          <w:rFonts w:ascii="Arial" w:hAnsi="Arial" w:eastAsia="Arial" w:cs="Arial"/>
          <w:i w:val="1"/>
          <w:iCs w:val="1"/>
          <w:color w:val="000000"/>
          <w:sz w:val="24"/>
        </w:rPr>
        <w:t>et al.</w:t>
      </w:r>
      <w:r>
        <w:rPr>
          <w:rFonts w:ascii="Arial" w:hAnsi="Arial" w:eastAsia="Arial" w:cs="Arial"/>
          <w:color w:val="000000"/>
          <w:sz w:val="24"/>
        </w:rPr>
        <w:t xml:space="preserve"> (2024) descrevem elementos como perfil, percepção, ação, interação e evolução, evidenciando que o modelo é somente parte de uma organização mais ampla. A especialização facilita a decomposição, mas cria dependências: cada transferência exige preservar contexto e interpretar corretamente a saída anterior.</w:t>
      </w:r>
    </w:p>
    <w:p>
      <w:pPr/>
      <w:r>
        <w:rPr>
          <w:rFonts w:ascii="Arial" w:hAnsi="Arial" w:eastAsia="Arial" w:cs="Arial"/>
          <w:color w:val="000000"/>
          <w:sz w:val="24"/>
        </w:rPr>
        <w:t xml:space="preserve">A quantidade de agentes, portanto, não mede sozinha a capacidade do sistema. Configurações com os mesmos agentes e modelos podem divergir por topologia, participação e compartilhamento de contexto. Qian </w:t>
      </w:r>
      <w:r>
        <w:rPr>
          <w:rFonts w:ascii="Arial" w:hAnsi="Arial" w:eastAsia="Arial" w:cs="Arial"/>
          <w:i w:val="1"/>
          <w:iCs w:val="1"/>
          <w:color w:val="000000"/>
          <w:sz w:val="24"/>
        </w:rPr>
        <w:t>et al.</w:t>
      </w:r>
      <w:r>
        <w:rPr>
          <w:rFonts w:ascii="Arial" w:hAnsi="Arial" w:eastAsia="Arial" w:cs="Arial"/>
          <w:color w:val="000000"/>
          <w:sz w:val="24"/>
        </w:rPr>
        <w:t xml:space="preserve"> (2025) representam a colaboração por grafos acíclicos direcionados; Zhu </w:t>
      </w:r>
      <w:r>
        <w:rPr>
          <w:rFonts w:ascii="Arial" w:hAnsi="Arial" w:eastAsia="Arial" w:cs="Arial"/>
          <w:i w:val="1"/>
          <w:iCs w:val="1"/>
          <w:color w:val="000000"/>
          <w:sz w:val="24"/>
        </w:rPr>
        <w:t>et al.</w:t>
      </w:r>
      <w:r>
        <w:rPr>
          <w:rFonts w:ascii="Arial" w:hAnsi="Arial" w:eastAsia="Arial" w:cs="Arial"/>
          <w:color w:val="000000"/>
          <w:sz w:val="24"/>
        </w:rPr>
        <w:t xml:space="preserve"> (2025) organizam protocolos em estrela, árvore, cadeia e grafo. Esses trabalhos sustentam uma distinção central: agentes são as unidades participantes; a arquitetura de coordenação define como elas formam um sistema.</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A arquitetura abrange a composição dos agentes e as relações que regulam sua atuação. Ela define quem inicia a execução, quais componentes acionam ferramentas, como o estado é mantido, quem autoriza transferências, quando o fluxo termina e qual unidade produz a resposta final. Portanto, não deve ser descrita apenas como um diagrama de módulos: ela contém decisões que condicionam o percurso de cada tarefa.</w:t>
      </w:r>
    </w:p>
    <w:p>
      <w:pPr/>
      <w:r>
        <w:rPr>
          <w:rFonts w:ascii="Arial" w:hAnsi="Arial" w:eastAsia="Arial" w:cs="Arial"/>
          <w:color w:val="000000"/>
          <w:sz w:val="24"/>
        </w:rPr>
        <w:t xml:space="preserve">Revisões recentes mostram variações de topologia, autoridade, memória e controle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Em uma organização hierárquica, um supervisor seleciona especialistas e consolida saídas. Em uma estrutura sequencial, o controle está incorporado à ordem das etapas. Em uma rede descentralizada, os agentes escolhem para qual par transferir a tarefa. Cada forma determina caminhos, pontos de falha e evidências diferentes para auditoria.</w:t>
      </w:r>
    </w:p>
    <w:p>
      <w:pPr/>
      <w:r>
        <w:rPr>
          <w:rFonts w:ascii="Arial" w:hAnsi="Arial" w:eastAsia="Arial" w:cs="Arial"/>
          <w:color w:val="000000"/>
          <w:sz w:val="24"/>
        </w:rPr>
        <w:t xml:space="preserve">A topologia torna parte dessas diferenças observável. Uma estrela concentra comunicação em um nó; uma cadeia impõe ordem linear; uma árvore distribui subtarefas por níveis; e um grafo permite relações mais flexíveis (QIAN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2025). Contudo, grafos semelhantes podem adotar regras diferentes para participação, contexto, repetição e encerramento. A análise precisa combinar a forma da rede com os mecanismos de execução.</w:t>
      </w:r>
    </w:p>
    <w:p>
      <w:pPr/>
      <w:r>
        <w:rPr>
          <w:rFonts w:ascii="Arial" w:hAnsi="Arial" w:eastAsia="Arial" w:cs="Arial"/>
          <w:color w:val="000000"/>
          <w:sz w:val="24"/>
        </w:rPr>
        <w:t xml:space="preserve">Em comparações experimentais, componentes alheios à variável arquitetural devem permanecer equivalentes. Modelo, ferramentas, cenários e critérios de avaliação precisam ser controlados para relacionar diferenças observadas à coordenação. No MAB, uma base funcional comum sustenta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A farmácia fornece tarefas concretas, enquanto a arquitetura determina como os agentes organizam o trabalho.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corresponde ao intercâmbio de solicitações, resultados, evidências e informações de controle. Ela pode ocorrer por mensagens diretas, estado compartilhado, chamadas mediadas ou </w:t>
      </w:r>
      <w:r>
        <w:rPr>
          <w:rFonts w:ascii="Arial" w:hAnsi="Arial" w:eastAsia="Arial" w:cs="Arial"/>
          <w:i w:val="1"/>
          <w:color w:val="000000"/>
          <w:sz w:val="24"/>
          <w:iCs w:val="1"/>
        </w:rPr>
        <w:t>handoffs</w:t>
      </w:r>
      <w:r>
        <w:rPr>
          <w:rFonts w:ascii="Arial" w:hAnsi="Arial" w:eastAsia="Arial" w:cs="Arial"/>
          <w:color w:val="000000"/>
          <w:sz w:val="24"/>
        </w:rPr>
        <w:t>, nos quais um agente transfere a continuidade para outro. Metadados como origem, destino, ferramenta, motivo da transferência e estado permitem reconstruir não apenas a resposta, mas o processo que a produziu.</w:t>
      </w:r>
    </w:p>
    <w:p>
      <w:pPr/>
      <w:r>
        <w:rPr>
          <w:rFonts w:ascii="Arial" w:hAnsi="Arial" w:eastAsia="Arial" w:cs="Arial"/>
          <w:color w:val="000000"/>
          <w:sz w:val="24"/>
        </w:rPr>
        <w:t xml:space="preserve">Coordenação transforma essas interações em um fluxo coerente: estabelece participantes, autoridade sobre o próximo passo, resolução de conflitos e encerramento. Wang </w:t>
      </w:r>
      <w:r>
        <w:rPr>
          <w:rFonts w:ascii="Arial" w:hAnsi="Arial" w:eastAsia="Arial" w:cs="Arial"/>
          <w:i w:val="1"/>
          <w:iCs w:val="1"/>
          <w:color w:val="000000"/>
          <w:sz w:val="24"/>
        </w:rPr>
        <w:t>et al.</w:t>
      </w:r>
      <w:r>
        <w:rPr>
          <w:rFonts w:ascii="Arial" w:hAnsi="Arial" w:eastAsia="Arial" w:cs="Arial"/>
          <w:color w:val="000000"/>
          <w:sz w:val="24"/>
        </w:rPr>
        <w:t xml:space="preserve"> (2025) organizam estratégias colaborativas em governança, participação, interação e gestão do histórico. Assim, coordenar não é apenas enviar mensagens, mas selecionar participantes e preservar o contexto necessário às decisões subsequentes.</w:t>
      </w:r>
    </w:p>
    <w:p>
      <w:pPr/>
      <w:r>
        <w:rPr>
          <w:rFonts w:ascii="Arial" w:hAnsi="Arial" w:eastAsia="Arial" w:cs="Arial"/>
          <w:color w:val="000000"/>
          <w:sz w:val="24"/>
        </w:rPr>
        <w:t xml:space="preserve">O compartilhamento produz benefícios e custos. Evidências podem evitar trabalho duplicado, enquanto contexto incorreto pode propagar decisões inadequadas. Transferências excessivas elevam mensagens, tokens e latência. Hammond </w:t>
      </w:r>
      <w:r>
        <w:rPr>
          <w:rFonts w:ascii="Arial" w:hAnsi="Arial" w:eastAsia="Arial" w:cs="Arial"/>
          <w:i w:val="1"/>
          <w:iCs w:val="1"/>
          <w:color w:val="000000"/>
          <w:sz w:val="24"/>
        </w:rPr>
        <w:t>et al.</w:t>
      </w:r>
      <w:r>
        <w:rPr>
          <w:rFonts w:ascii="Arial" w:hAnsi="Arial" w:eastAsia="Arial" w:cs="Arial"/>
          <w:color w:val="000000"/>
          <w:sz w:val="24"/>
        </w:rPr>
        <w:t xml:space="preserve"> (2025) incluem descoordenação, conflito e cooperação indesejada entre os riscos multiagentes. Mesmo com objetivo comum, podem ocorrer rotas incorretas, repetição, ciclos ou consolidação de evidência insuficiente.</w:t>
      </w:r>
    </w:p>
    <w:p>
      <w:pPr/>
      <w:r>
        <w:rPr>
          <w:rFonts w:ascii="Arial" w:hAnsi="Arial" w:eastAsia="Arial" w:cs="Arial"/>
          <w:color w:val="000000"/>
          <w:sz w:val="24"/>
        </w:rPr>
        <w:t xml:space="preserve">Por isso, observabilidade e limites operacionais integram a coordenação. Identificadores, mensagens, ferramentas, transições, contagem de </w:t>
      </w:r>
      <w:r>
        <w:rPr>
          <w:rFonts w:ascii="Arial" w:hAnsi="Arial" w:eastAsia="Arial" w:cs="Arial"/>
          <w:i w:val="1"/>
          <w:color w:val="000000"/>
          <w:sz w:val="24"/>
          <w:iCs w:val="1"/>
        </w:rPr>
        <w:t>handoffs</w:t>
      </w:r>
      <w:r>
        <w:rPr>
          <w:rFonts w:ascii="Arial" w:hAnsi="Arial" w:eastAsia="Arial" w:cs="Arial"/>
          <w:color w:val="000000"/>
          <w:sz w:val="24"/>
        </w:rPr>
        <w:t xml:space="preserve"> e condições de </w:t>
      </w:r>
      <w:r>
        <w:rPr>
          <w:rFonts w:ascii="Arial" w:hAnsi="Arial" w:eastAsia="Arial" w:cs="Arial"/>
          <w:i w:val="1"/>
          <w:color w:val="000000"/>
          <w:sz w:val="24"/>
          <w:iCs w:val="1"/>
        </w:rPr>
        <w:t>timeout</w:t>
      </w:r>
      <w:r>
        <w:rPr>
          <w:rFonts w:ascii="Arial" w:hAnsi="Arial" w:eastAsia="Arial" w:cs="Arial"/>
          <w:color w:val="000000"/>
          <w:sz w:val="24"/>
        </w:rPr>
        <w:t xml:space="preserve"> permitem verificar o comportamento. A telemetria não elimina erros semânticos, mas torna comparáveis custos e caminhos. A seção seguinte distingue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w:t>
      </w:r>
      <w:r>
        <w:rPr>
          <w:rFonts w:ascii="Arial" w:hAnsi="Arial" w:eastAsia="Arial" w:cs="Arial"/>
          <w:i w:val="1"/>
          <w:color w:val="000000"/>
          <w:sz w:val="24"/>
          <w:iCs w:val="1"/>
        </w:rPr>
        <w:t>swarm</w:t>
      </w:r>
      <w:r>
        <w:rPr>
          <w:rFonts w:ascii="Arial" w:hAnsi="Arial" w:eastAsia="Arial" w:cs="Arial"/>
          <w:color w:val="000000"/>
          <w:sz w:val="24"/>
        </w:rPr>
        <w:t xml:space="preserve"> descentralizado sem pressupor superioridade antes das evidências experimentais.</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cronograma e ordem das execuções, incluindo semente de randomização e resumo SHA-256;</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w:t>
      </w:r>
      <w:r>
        <w:rPr>
          <w:rFonts w:ascii="Arial" w:hAnsi="Arial" w:eastAsia="Arial" w:cs="Arial"/>
          <w:b w:val="1"/>
          <w:bCs w:val="1"/>
          <w:color w:val="000000"/>
          <w:sz w:val="24"/>
        </w:rPr>
        <w:t>INTERNATIONAL CONFERENCE ON MACHINE LEARNING, 41.</w:t>
      </w:r>
      <w:r>
        <w:rPr>
          <w:rFonts w:ascii="Arial" w:hAnsi="Arial" w:eastAsia="Arial" w:cs="Arial"/>
          <w:color w:val="000000"/>
          <w:sz w:val="24"/>
        </w:rPr>
        <w:t>, 2024. Proceedings [...].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