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t>FOLHA DE APROVAÇÃO</w:t>
      </w:r>
    </w:p>
    <w:p>
      <w:pPr>
        <w:pStyle w:val="WorkingNote"/>
      </w:pPr>
      <w:r>
        <w:t>A folha assinada será inserida após a apresentação e aprovação do trabalho, conforme o modelo da Facens.</w:t>
      </w:r>
    </w:p>
    <w:p>
      <w:r>
        <w:br w:type="page"/>
      </w:r>
    </w:p>
    <w:p>
      <w:pPr>
        <w:pStyle w:val="FrontMatterHeading"/>
      </w:pPr>
      <w:r>
        <w:t>FICHA CATALOGRÁFICA</w:t>
      </w:r>
    </w:p>
    <w:p>
      <w:pPr>
        <w:pStyle w:val="WorkingNote"/>
      </w:pPr>
      <w:r>
        <w:t>A ficha catalográfica será solicitada à Biblioteca Facens e inserida nesta página antes da entrega final.</w:t>
      </w:r>
    </w:p>
    <w:p>
      <w:r>
        <w:br w:type="page"/>
      </w:r>
    </w:p>
    <w:p>
      <w:pPr>
        <w:pStyle w:val="FrontMatterHeading"/>
      </w:pPr>
      <w: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t>SUMÁRIO</w:t>
      </w:r>
    </w:p>
    <w:p>
      <w:pPr>
        <w:pStyle w:val="FacensTOC1"/>
      </w:pPr>
      <w:hyperlink w:anchor="_TCC_H_1000" w:history="1">
        <w:r>
          <w:rPr>
            <w:rFonts w:ascii="Arial" w:hAnsi="Arial" w:eastAsia="Arial" w:cs="Arial"/>
            <w:color w:val="000000"/>
            <w:u w:val="none"/>
            <w:sz w:val="24"/>
          </w:rPr>
          <w:t>1 INTRODUÇÃO</w:t>
        </w:r>
      </w:hyperlink>
      <w:r>
        <w:tab/>
      </w:r>
      <w:hyperlink w:anchor="_TCC_H_1000" w:history="1">
        <w:r>
          <w:rPr>
            <w:rFonts w:ascii="Arial" w:hAnsi="Arial" w:eastAsia="Arial" w:cs="Arial"/>
            <w:color w:val="000000"/>
            <w:u w:val="none"/>
            <w:sz w:val="24"/>
          </w:rPr>
          <w:t>8</w:t>
        </w:r>
      </w:hyperlink>
    </w:p>
    <w:p>
      <w:pPr>
        <w:pStyle w:val="FacensTOC1"/>
      </w:pPr>
      <w:hyperlink w:anchor="_TCC_H_1001" w:history="1">
        <w:r>
          <w:rPr>
            <w:rFonts w:ascii="Arial" w:hAnsi="Arial" w:eastAsia="Arial" w:cs="Arial"/>
            <w:color w:val="000000"/>
            <w:u w:val="none"/>
            <w:sz w:val="24"/>
          </w:rPr>
          <w:t>2 FUNDAMENTAÇÃO TEÓRICA</w:t>
        </w:r>
      </w:hyperlink>
      <w:r>
        <w:tab/>
      </w:r>
      <w:hyperlink w:anchor="_TCC_H_1001" w:history="1">
        <w:r>
          <w:rPr>
            <w:rFonts w:ascii="Arial" w:hAnsi="Arial" w:eastAsia="Arial" w:cs="Arial"/>
            <w:color w:val="000000"/>
            <w:u w:val="none"/>
            <w:sz w:val="24"/>
          </w:rPr>
          <w:t>11</w:t>
        </w:r>
      </w:hyperlink>
    </w:p>
    <w:p>
      <w:pPr>
        <w:pStyle w:val="FacensTOC2"/>
      </w:pPr>
      <w:hyperlink w:anchor="_TCC_H_1002" w:history="1">
        <w:r>
          <w:rPr>
            <w:rFonts w:ascii="Arial" w:hAnsi="Arial" w:eastAsia="Arial" w:cs="Arial"/>
            <w:color w:val="000000"/>
            <w:u w:val="none"/>
            <w:sz w:val="24"/>
          </w:rPr>
          <w:t>2.1 INTELIGÊNCIA ARTIFICIAL NO ATENDIMENTO</w:t>
        </w:r>
      </w:hyperlink>
      <w:r>
        <w:tab/>
      </w:r>
      <w:hyperlink w:anchor="_TCC_H_1002" w:history="1">
        <w:r>
          <w:rPr>
            <w:rFonts w:ascii="Arial" w:hAnsi="Arial" w:eastAsia="Arial" w:cs="Arial"/>
            <w:color w:val="000000"/>
            <w:u w:val="none"/>
            <w:sz w:val="24"/>
          </w:rPr>
          <w:t>11</w:t>
        </w:r>
      </w:hyperlink>
    </w:p>
    <w:p>
      <w:pPr>
        <w:pStyle w:val="FacensTOC3"/>
      </w:pPr>
      <w:hyperlink w:anchor="_TCC_H_1003" w:history="1">
        <w:r>
          <w:rPr>
            <w:rFonts w:ascii="Arial" w:hAnsi="Arial" w:eastAsia="Arial" w:cs="Arial"/>
            <w:color w:val="000000"/>
            <w:u w:val="none"/>
            <w:sz w:val="24"/>
          </w:rPr>
          <w:t>2.1.1 Conceitos de inteligência artificial</w:t>
        </w:r>
      </w:hyperlink>
      <w:r>
        <w:tab/>
      </w:r>
      <w:hyperlink w:anchor="_TCC_H_1003" w:history="1">
        <w:r>
          <w:rPr>
            <w:rFonts w:ascii="Arial" w:hAnsi="Arial" w:eastAsia="Arial" w:cs="Arial"/>
            <w:color w:val="000000"/>
            <w:u w:val="none"/>
            <w:sz w:val="24"/>
          </w:rPr>
          <w:t>11</w:t>
        </w:r>
      </w:hyperlink>
    </w:p>
    <w:p>
      <w:pPr>
        <w:pStyle w:val="FacensTOC3"/>
      </w:pPr>
      <w:hyperlink w:anchor="_TCC_H_1004" w:history="1">
        <w:r>
          <w:rPr>
            <w:rFonts w:ascii="Arial" w:hAnsi="Arial" w:eastAsia="Arial" w:cs="Arial"/>
            <w:color w:val="000000"/>
            <w:u w:val="none"/>
            <w:sz w:val="24"/>
          </w:rPr>
          <w:t>2.1.2 IA aplicada ao atendimento ao cliente</w:t>
        </w:r>
      </w:hyperlink>
      <w:r>
        <w:tab/>
      </w:r>
      <w:hyperlink w:anchor="_TCC_H_1004" w:history="1">
        <w:r>
          <w:rPr>
            <w:rFonts w:ascii="Arial" w:hAnsi="Arial" w:eastAsia="Arial" w:cs="Arial"/>
            <w:color w:val="000000"/>
            <w:u w:val="none"/>
            <w:sz w:val="24"/>
          </w:rPr>
          <w:t>11</w:t>
        </w:r>
      </w:hyperlink>
    </w:p>
    <w:p>
      <w:pPr>
        <w:pStyle w:val="FacensTOC3"/>
      </w:pPr>
      <w:hyperlink w:anchor="_TCC_H_1005" w:history="1">
        <w:r>
          <w:rPr>
            <w:rFonts w:ascii="Arial" w:hAnsi="Arial" w:eastAsia="Arial" w:cs="Arial"/>
            <w:color w:val="000000"/>
            <w:u w:val="none"/>
            <w:sz w:val="24"/>
          </w:rPr>
          <w:t>2.1.3 Uso de IA em saúde e farmácias</w:t>
        </w:r>
      </w:hyperlink>
      <w:r>
        <w:tab/>
      </w:r>
      <w:hyperlink w:anchor="_TCC_H_1005" w:history="1">
        <w:r>
          <w:rPr>
            <w:rFonts w:ascii="Arial" w:hAnsi="Arial" w:eastAsia="Arial" w:cs="Arial"/>
            <w:color w:val="000000"/>
            <w:u w:val="none"/>
            <w:sz w:val="24"/>
          </w:rPr>
          <w:t>11</w:t>
        </w:r>
      </w:hyperlink>
    </w:p>
    <w:p>
      <w:pPr>
        <w:pStyle w:val="FacensTOC2"/>
      </w:pPr>
      <w:hyperlink w:anchor="_TCC_H_1006" w:history="1">
        <w:r>
          <w:rPr>
            <w:rFonts w:ascii="Arial" w:hAnsi="Arial" w:eastAsia="Arial" w:cs="Arial"/>
            <w:color w:val="000000"/>
            <w:u w:val="none"/>
            <w:sz w:val="24"/>
          </w:rPr>
          <w:t>2.2 LARGE LANGUAGE MODELS E AGENTES INTELIGENTES</w:t>
        </w:r>
      </w:hyperlink>
      <w:r>
        <w:tab/>
      </w:r>
      <w:hyperlink w:anchor="_TCC_H_1006" w:history="1">
        <w:r>
          <w:rPr>
            <w:rFonts w:ascii="Arial" w:hAnsi="Arial" w:eastAsia="Arial" w:cs="Arial"/>
            <w:color w:val="000000"/>
            <w:u w:val="none"/>
            <w:sz w:val="24"/>
          </w:rPr>
          <w:t>12</w:t>
        </w:r>
      </w:hyperlink>
    </w:p>
    <w:p>
      <w:pPr>
        <w:pStyle w:val="FacensTOC3"/>
      </w:pPr>
      <w:hyperlink w:anchor="_TCC_H_1007" w:history="1">
        <w:r>
          <w:rPr>
            <w:rFonts w:ascii="Arial" w:hAnsi="Arial" w:eastAsia="Arial" w:cs="Arial"/>
            <w:color w:val="000000"/>
            <w:u w:val="none"/>
            <w:sz w:val="24"/>
          </w:rPr>
          <w:t>2.2.1 Conceito de LLM</w:t>
        </w:r>
      </w:hyperlink>
      <w:r>
        <w:tab/>
      </w:r>
      <w:hyperlink w:anchor="_TCC_H_1007" w:history="1">
        <w:r>
          <w:rPr>
            <w:rFonts w:ascii="Arial" w:hAnsi="Arial" w:eastAsia="Arial" w:cs="Arial"/>
            <w:color w:val="000000"/>
            <w:u w:val="none"/>
            <w:sz w:val="24"/>
          </w:rPr>
          <w:t>12</w:t>
        </w:r>
      </w:hyperlink>
    </w:p>
    <w:p>
      <w:pPr>
        <w:pStyle w:val="FacensTOC3"/>
      </w:pPr>
      <w:hyperlink w:anchor="_TCC_H_1008" w:history="1">
        <w:r>
          <w:rPr>
            <w:rFonts w:ascii="Arial" w:hAnsi="Arial" w:eastAsia="Arial" w:cs="Arial"/>
            <w:color w:val="000000"/>
            <w:u w:val="none"/>
            <w:sz w:val="24"/>
          </w:rPr>
          <w:t>2.2.2 Uso de LLM em agentes</w:t>
        </w:r>
      </w:hyperlink>
      <w:r>
        <w:tab/>
      </w:r>
      <w:hyperlink w:anchor="_TCC_H_1008" w:history="1">
        <w:r>
          <w:rPr>
            <w:rFonts w:ascii="Arial" w:hAnsi="Arial" w:eastAsia="Arial" w:cs="Arial"/>
            <w:color w:val="000000"/>
            <w:u w:val="none"/>
            <w:sz w:val="24"/>
          </w:rPr>
          <w:t>12</w:t>
        </w:r>
      </w:hyperlink>
    </w:p>
    <w:p>
      <w:pPr>
        <w:pStyle w:val="FacensTOC3"/>
      </w:pPr>
      <w:hyperlink w:anchor="_TCC_H_1009" w:history="1">
        <w:r>
          <w:rPr>
            <w:rFonts w:ascii="Arial" w:hAnsi="Arial" w:eastAsia="Arial" w:cs="Arial"/>
            <w:color w:val="000000"/>
            <w:u w:val="none"/>
            <w:sz w:val="24"/>
          </w:rPr>
          <w:t>2.2.3 Ferramentas e integração</w:t>
        </w:r>
      </w:hyperlink>
      <w:r>
        <w:tab/>
      </w:r>
      <w:hyperlink w:anchor="_TCC_H_1009" w:history="1">
        <w:r>
          <w:rPr>
            <w:rFonts w:ascii="Arial" w:hAnsi="Arial" w:eastAsia="Arial" w:cs="Arial"/>
            <w:color w:val="000000"/>
            <w:u w:val="none"/>
            <w:sz w:val="24"/>
          </w:rPr>
          <w:t>12</w:t>
        </w:r>
      </w:hyperlink>
    </w:p>
    <w:p>
      <w:pPr>
        <w:pStyle w:val="FacensTOC2"/>
      </w:pPr>
      <w:hyperlink w:anchor="_TCC_H_1010" w:history="1">
        <w:r>
          <w:rPr>
            <w:rFonts w:ascii="Arial" w:hAnsi="Arial" w:eastAsia="Arial" w:cs="Arial"/>
            <w:color w:val="000000"/>
            <w:u w:val="none"/>
            <w:sz w:val="24"/>
          </w:rPr>
          <w:t>2.3 SISTEMAS MULTIAGENTES</w:t>
        </w:r>
      </w:hyperlink>
      <w:r>
        <w:tab/>
      </w:r>
      <w:hyperlink w:anchor="_TCC_H_1010" w:history="1">
        <w:r>
          <w:rPr>
            <w:rFonts w:ascii="Arial" w:hAnsi="Arial" w:eastAsia="Arial" w:cs="Arial"/>
            <w:color w:val="000000"/>
            <w:u w:val="none"/>
            <w:sz w:val="24"/>
          </w:rPr>
          <w:t>13</w:t>
        </w:r>
      </w:hyperlink>
    </w:p>
    <w:p>
      <w:pPr>
        <w:pStyle w:val="FacensTOC3"/>
      </w:pPr>
      <w:hyperlink w:anchor="_TCC_H_1011" w:history="1">
        <w:r>
          <w:rPr>
            <w:rFonts w:ascii="Arial" w:hAnsi="Arial" w:eastAsia="Arial" w:cs="Arial"/>
            <w:color w:val="000000"/>
            <w:u w:val="none"/>
            <w:sz w:val="24"/>
          </w:rPr>
          <w:t>2.3.1 Definição e características</w:t>
        </w:r>
      </w:hyperlink>
      <w:r>
        <w:tab/>
      </w:r>
      <w:hyperlink w:anchor="_TCC_H_1011" w:history="1">
        <w:r>
          <w:rPr>
            <w:rFonts w:ascii="Arial" w:hAnsi="Arial" w:eastAsia="Arial" w:cs="Arial"/>
            <w:color w:val="000000"/>
            <w:u w:val="none"/>
            <w:sz w:val="24"/>
          </w:rPr>
          <w:t>13</w:t>
        </w:r>
      </w:hyperlink>
    </w:p>
    <w:p>
      <w:pPr>
        <w:pStyle w:val="FacensTOC3"/>
      </w:pPr>
      <w:hyperlink w:anchor="_TCC_H_1012" w:history="1">
        <w:r>
          <w:rPr>
            <w:rFonts w:ascii="Arial" w:hAnsi="Arial" w:eastAsia="Arial" w:cs="Arial"/>
            <w:color w:val="000000"/>
            <w:u w:val="none"/>
            <w:sz w:val="24"/>
          </w:rPr>
          <w:t>2.3.2 Arquitetura de sistemas multiagentes</w:t>
        </w:r>
      </w:hyperlink>
      <w:r>
        <w:tab/>
      </w:r>
      <w:hyperlink w:anchor="_TCC_H_1012" w:history="1">
        <w:r>
          <w:rPr>
            <w:rFonts w:ascii="Arial" w:hAnsi="Arial" w:eastAsia="Arial" w:cs="Arial"/>
            <w:color w:val="000000"/>
            <w:u w:val="none"/>
            <w:sz w:val="24"/>
          </w:rPr>
          <w:t>13</w:t>
        </w:r>
      </w:hyperlink>
    </w:p>
    <w:p>
      <w:pPr>
        <w:pStyle w:val="FacensTOC3"/>
      </w:pPr>
      <w:hyperlink w:anchor="_TCC_H_1013" w:history="1">
        <w:r>
          <w:rPr>
            <w:rFonts w:ascii="Arial" w:hAnsi="Arial" w:eastAsia="Arial" w:cs="Arial"/>
            <w:color w:val="000000"/>
            <w:u w:val="none"/>
            <w:sz w:val="24"/>
          </w:rPr>
          <w:t>2.3.3 Comunicação e coordenação entre agentes</w:t>
        </w:r>
      </w:hyperlink>
      <w:r>
        <w:tab/>
      </w:r>
      <w:hyperlink w:anchor="_TCC_H_1013" w:history="1">
        <w:r>
          <w:rPr>
            <w:rFonts w:ascii="Arial" w:hAnsi="Arial" w:eastAsia="Arial" w:cs="Arial"/>
            <w:color w:val="000000"/>
            <w:u w:val="none"/>
            <w:sz w:val="24"/>
          </w:rPr>
          <w:t>13</w:t>
        </w:r>
      </w:hyperlink>
    </w:p>
    <w:p>
      <w:pPr>
        <w:pStyle w:val="FacensTOC2"/>
      </w:pPr>
      <w:hyperlink w:anchor="_TCC_H_1014" w:history="1">
        <w:r>
          <w:rPr>
            <w:rFonts w:ascii="Arial" w:hAnsi="Arial" w:eastAsia="Arial" w:cs="Arial"/>
            <w:color w:val="000000"/>
            <w:u w:val="none"/>
            <w:sz w:val="24"/>
          </w:rPr>
          <w:t>2.4 ARQUITETURAS DE COORDENAÇÃO</w:t>
        </w:r>
      </w:hyperlink>
      <w:r>
        <w:tab/>
      </w:r>
      <w:hyperlink w:anchor="_TCC_H_1014" w:history="1">
        <w:r>
          <w:rPr>
            <w:rFonts w:ascii="Arial" w:hAnsi="Arial" w:eastAsia="Arial" w:cs="Arial"/>
            <w:color w:val="000000"/>
            <w:u w:val="none"/>
            <w:sz w:val="24"/>
          </w:rPr>
          <w:t>14</w:t>
        </w:r>
      </w:hyperlink>
    </w:p>
    <w:p>
      <w:pPr>
        <w:pStyle w:val="FacensTOC3"/>
      </w:pPr>
      <w:hyperlink w:anchor="_TCC_H_1015" w:history="1">
        <w:r>
          <w:rPr>
            <w:rFonts w:ascii="Arial" w:hAnsi="Arial" w:eastAsia="Arial" w:cs="Arial"/>
            <w:color w:val="000000"/>
            <w:u w:val="none"/>
            <w:sz w:val="24"/>
          </w:rPr>
          <w:t>2.4.1 Orquestração centralizada</w:t>
        </w:r>
      </w:hyperlink>
      <w:r>
        <w:tab/>
      </w:r>
      <w:hyperlink w:anchor="_TCC_H_1015" w:history="1">
        <w:r>
          <w:rPr>
            <w:rFonts w:ascii="Arial" w:hAnsi="Arial" w:eastAsia="Arial" w:cs="Arial"/>
            <w:color w:val="000000"/>
            <w:u w:val="none"/>
            <w:sz w:val="24"/>
          </w:rPr>
          <w:t>14</w:t>
        </w:r>
      </w:hyperlink>
    </w:p>
    <w:p>
      <w:pPr>
        <w:pStyle w:val="FacensTOC3"/>
      </w:pPr>
      <w:hyperlink w:anchor="_TCC_H_1016" w:history="1">
        <w:r>
          <w:rPr>
            <w:rFonts w:ascii="Arial" w:hAnsi="Arial" w:eastAsia="Arial" w:cs="Arial"/>
            <w:color w:val="000000"/>
            <w:u w:val="none"/>
            <w:sz w:val="24"/>
          </w:rPr>
          <w:t>2.4.2 Workflow estruturado</w:t>
        </w:r>
      </w:hyperlink>
      <w:r>
        <w:tab/>
      </w:r>
      <w:hyperlink w:anchor="_TCC_H_1016" w:history="1">
        <w:r>
          <w:rPr>
            <w:rFonts w:ascii="Arial" w:hAnsi="Arial" w:eastAsia="Arial" w:cs="Arial"/>
            <w:color w:val="000000"/>
            <w:u w:val="none"/>
            <w:sz w:val="24"/>
          </w:rPr>
          <w:t>14</w:t>
        </w:r>
      </w:hyperlink>
    </w:p>
    <w:p>
      <w:pPr>
        <w:pStyle w:val="FacensTOC3"/>
      </w:pPr>
      <w:hyperlink w:anchor="_TCC_H_1017" w:history="1">
        <w:r>
          <w:rPr>
            <w:rFonts w:ascii="Arial" w:hAnsi="Arial" w:eastAsia="Arial" w:cs="Arial"/>
            <w:color w:val="000000"/>
            <w:u w:val="none"/>
            <w:sz w:val="24"/>
          </w:rPr>
          <w:t>2.4.3 Sistemas descentralizados (swarm)</w:t>
        </w:r>
      </w:hyperlink>
      <w:r>
        <w:tab/>
      </w:r>
      <w:hyperlink w:anchor="_TCC_H_1017" w:history="1">
        <w:r>
          <w:rPr>
            <w:rFonts w:ascii="Arial" w:hAnsi="Arial" w:eastAsia="Arial" w:cs="Arial"/>
            <w:color w:val="000000"/>
            <w:u w:val="none"/>
            <w:sz w:val="24"/>
          </w:rPr>
          <w:t>14</w:t>
        </w:r>
      </w:hyperlink>
    </w:p>
    <w:p>
      <w:pPr>
        <w:pStyle w:val="FacensTOC3"/>
      </w:pPr>
      <w:hyperlink w:anchor="_TCC_H_1018" w:history="1">
        <w:r>
          <w:rPr>
            <w:rFonts w:ascii="Arial" w:hAnsi="Arial" w:eastAsia="Arial" w:cs="Arial"/>
            <w:color w:val="000000"/>
            <w:u w:val="none"/>
            <w:sz w:val="24"/>
          </w:rPr>
          <w:t>2.4.4 Comparação entre arquiteturas</w:t>
        </w:r>
      </w:hyperlink>
      <w:r>
        <w:tab/>
      </w:r>
      <w:hyperlink w:anchor="_TCC_H_1018" w:history="1">
        <w:r>
          <w:rPr>
            <w:rFonts w:ascii="Arial" w:hAnsi="Arial" w:eastAsia="Arial" w:cs="Arial"/>
            <w:color w:val="000000"/>
            <w:u w:val="none"/>
            <w:sz w:val="24"/>
          </w:rPr>
          <w:t>14</w:t>
        </w:r>
      </w:hyperlink>
    </w:p>
    <w:p>
      <w:pPr>
        <w:pStyle w:val="FacensTOC2"/>
      </w:pPr>
      <w:hyperlink w:anchor="_TCC_H_1019" w:history="1">
        <w:r>
          <w:rPr>
            <w:rFonts w:ascii="Arial" w:hAnsi="Arial" w:eastAsia="Arial" w:cs="Arial"/>
            <w:color w:val="000000"/>
            <w:u w:val="none"/>
            <w:sz w:val="24"/>
          </w:rPr>
          <w:t>2.5 ATENDIMENTO EM FARMÁCIAS</w:t>
        </w:r>
      </w:hyperlink>
      <w:r>
        <w:tab/>
      </w:r>
      <w:hyperlink w:anchor="_TCC_H_1019" w:history="1">
        <w:r>
          <w:rPr>
            <w:rFonts w:ascii="Arial" w:hAnsi="Arial" w:eastAsia="Arial" w:cs="Arial"/>
            <w:color w:val="000000"/>
            <w:u w:val="none"/>
            <w:sz w:val="24"/>
          </w:rPr>
          <w:t>16</w:t>
        </w:r>
      </w:hyperlink>
    </w:p>
    <w:p>
      <w:pPr>
        <w:pStyle w:val="FacensTOC3"/>
      </w:pPr>
      <w:hyperlink w:anchor="_TCC_H_1020" w:history="1">
        <w:r>
          <w:rPr>
            <w:rFonts w:ascii="Arial" w:hAnsi="Arial" w:eastAsia="Arial" w:cs="Arial"/>
            <w:color w:val="000000"/>
            <w:u w:val="none"/>
            <w:sz w:val="24"/>
          </w:rPr>
          <w:t>2.5.1 Estrutura do atendimento farmacêutico</w:t>
        </w:r>
      </w:hyperlink>
      <w:r>
        <w:tab/>
      </w:r>
      <w:hyperlink w:anchor="_TCC_H_1020" w:history="1">
        <w:r>
          <w:rPr>
            <w:rFonts w:ascii="Arial" w:hAnsi="Arial" w:eastAsia="Arial" w:cs="Arial"/>
            <w:color w:val="000000"/>
            <w:u w:val="none"/>
            <w:sz w:val="24"/>
          </w:rPr>
          <w:t>16</w:t>
        </w:r>
      </w:hyperlink>
    </w:p>
    <w:p>
      <w:pPr>
        <w:pStyle w:val="FacensTOC3"/>
      </w:pPr>
      <w:hyperlink w:anchor="_TCC_H_1021" w:history="1">
        <w:r>
          <w:rPr>
            <w:rFonts w:ascii="Arial" w:hAnsi="Arial" w:eastAsia="Arial" w:cs="Arial"/>
            <w:color w:val="000000"/>
            <w:u w:val="none"/>
            <w:sz w:val="24"/>
          </w:rPr>
          <w:t>2.5.2 Desafios operacionais</w:t>
        </w:r>
      </w:hyperlink>
      <w:r>
        <w:tab/>
      </w:r>
      <w:hyperlink w:anchor="_TCC_H_1021" w:history="1">
        <w:r>
          <w:rPr>
            <w:rFonts w:ascii="Arial" w:hAnsi="Arial" w:eastAsia="Arial" w:cs="Arial"/>
            <w:color w:val="000000"/>
            <w:u w:val="none"/>
            <w:sz w:val="24"/>
          </w:rPr>
          <w:t>17</w:t>
        </w:r>
      </w:hyperlink>
    </w:p>
    <w:p>
      <w:pPr>
        <w:pStyle w:val="FacensTOC3"/>
      </w:pPr>
      <w:hyperlink w:anchor="_TCC_H_1022" w:history="1">
        <w:r>
          <w:rPr>
            <w:rFonts w:ascii="Arial" w:hAnsi="Arial" w:eastAsia="Arial" w:cs="Arial"/>
            <w:color w:val="000000"/>
            <w:u w:val="none"/>
            <w:sz w:val="24"/>
          </w:rPr>
          <w:t>2.5.3 Oportunidades de automação</w:t>
        </w:r>
      </w:hyperlink>
      <w:r>
        <w:tab/>
      </w:r>
      <w:hyperlink w:anchor="_TCC_H_1022" w:history="1">
        <w:r>
          <w:rPr>
            <w:rFonts w:ascii="Arial" w:hAnsi="Arial" w:eastAsia="Arial" w:cs="Arial"/>
            <w:color w:val="000000"/>
            <w:u w:val="none"/>
            <w:sz w:val="24"/>
          </w:rPr>
          <w:t>17</w:t>
        </w:r>
      </w:hyperlink>
    </w:p>
    <w:p>
      <w:pPr>
        <w:pStyle w:val="FacensTOC1"/>
      </w:pPr>
      <w:hyperlink w:anchor="_TCC_H_1023" w:history="1">
        <w:r>
          <w:rPr>
            <w:rFonts w:ascii="Arial" w:hAnsi="Arial" w:eastAsia="Arial" w:cs="Arial"/>
            <w:color w:val="000000"/>
            <w:u w:val="none"/>
            <w:sz w:val="24"/>
          </w:rPr>
          <w:t>3 TRABALHOS CORRELATOS</w:t>
        </w:r>
      </w:hyperlink>
      <w:r>
        <w:tab/>
      </w:r>
      <w:hyperlink w:anchor="_TCC_H_1023" w:history="1">
        <w:r>
          <w:rPr>
            <w:rFonts w:ascii="Arial" w:hAnsi="Arial" w:eastAsia="Arial" w:cs="Arial"/>
            <w:color w:val="000000"/>
            <w:u w:val="none"/>
            <w:sz w:val="24"/>
          </w:rPr>
          <w:t>18</w:t>
        </w:r>
      </w:hyperlink>
    </w:p>
    <w:p>
      <w:pPr>
        <w:pStyle w:val="FacensTOC2"/>
      </w:pPr>
      <w:hyperlink w:anchor="_TCC_H_1024" w:history="1">
        <w:r>
          <w:rPr>
            <w:rFonts w:ascii="Arial" w:hAnsi="Arial" w:eastAsia="Arial" w:cs="Arial"/>
            <w:color w:val="000000"/>
            <w:u w:val="none"/>
            <w:sz w:val="24"/>
          </w:rPr>
          <w:t>3.1 SISTEMAS DE ATENDIMENTO AUTOMATIZADO</w:t>
        </w:r>
      </w:hyperlink>
      <w:r>
        <w:tab/>
      </w:r>
      <w:hyperlink w:anchor="_TCC_H_1024" w:history="1">
        <w:r>
          <w:rPr>
            <w:rFonts w:ascii="Arial" w:hAnsi="Arial" w:eastAsia="Arial" w:cs="Arial"/>
            <w:color w:val="000000"/>
            <w:u w:val="none"/>
            <w:sz w:val="24"/>
          </w:rPr>
          <w:t>19</w:t>
        </w:r>
      </w:hyperlink>
    </w:p>
    <w:p>
      <w:pPr>
        <w:pStyle w:val="FacensTOC2"/>
      </w:pPr>
      <w:hyperlink w:anchor="_TCC_H_1025" w:history="1">
        <w:r>
          <w:rPr>
            <w:rFonts w:ascii="Arial" w:hAnsi="Arial" w:eastAsia="Arial" w:cs="Arial"/>
            <w:color w:val="000000"/>
            <w:u w:val="none"/>
            <w:sz w:val="24"/>
          </w:rPr>
          <w:t>3.2 SISTEMAS MULTIAGENTES APLICADOS</w:t>
        </w:r>
      </w:hyperlink>
      <w:r>
        <w:tab/>
      </w:r>
      <w:hyperlink w:anchor="_TCC_H_1025" w:history="1">
        <w:r>
          <w:rPr>
            <w:rFonts w:ascii="Arial" w:hAnsi="Arial" w:eastAsia="Arial" w:cs="Arial"/>
            <w:color w:val="000000"/>
            <w:u w:val="none"/>
            <w:sz w:val="24"/>
          </w:rPr>
          <w:t>20</w:t>
        </w:r>
      </w:hyperlink>
    </w:p>
    <w:p>
      <w:pPr>
        <w:pStyle w:val="FacensTOC2"/>
      </w:pPr>
      <w:hyperlink w:anchor="_TCC_H_1026" w:history="1">
        <w:r>
          <w:rPr>
            <w:rFonts w:ascii="Arial" w:hAnsi="Arial" w:eastAsia="Arial" w:cs="Arial"/>
            <w:color w:val="000000"/>
            <w:u w:val="none"/>
            <w:sz w:val="24"/>
          </w:rPr>
          <w:t>3.3 COMPARAÇÃO COM SOLUÇÕES EXISTENTES</w:t>
        </w:r>
      </w:hyperlink>
      <w:r>
        <w:tab/>
      </w:r>
      <w:hyperlink w:anchor="_TCC_H_1026" w:history="1">
        <w:r>
          <w:rPr>
            <w:rFonts w:ascii="Arial" w:hAnsi="Arial" w:eastAsia="Arial" w:cs="Arial"/>
            <w:color w:val="000000"/>
            <w:u w:val="none"/>
            <w:sz w:val="24"/>
          </w:rPr>
          <w:t>21</w:t>
        </w:r>
      </w:hyperlink>
    </w:p>
    <w:p>
      <w:pPr>
        <w:pStyle w:val="FacensTOC2"/>
      </w:pPr>
      <w:hyperlink w:anchor="_TCC_H_1027" w:history="1">
        <w:r>
          <w:rPr>
            <w:rFonts w:ascii="Arial" w:hAnsi="Arial" w:eastAsia="Arial" w:cs="Arial"/>
            <w:color w:val="000000"/>
            <w:u w:val="none"/>
            <w:sz w:val="24"/>
          </w:rPr>
          <w:t>3.4 LACUNAS IDENTIFICADAS</w:t>
        </w:r>
      </w:hyperlink>
      <w:r>
        <w:tab/>
      </w:r>
      <w:hyperlink w:anchor="_TCC_H_1027" w:history="1">
        <w:r>
          <w:rPr>
            <w:rFonts w:ascii="Arial" w:hAnsi="Arial" w:eastAsia="Arial" w:cs="Arial"/>
            <w:color w:val="000000"/>
            <w:u w:val="none"/>
            <w:sz w:val="24"/>
          </w:rPr>
          <w:t>22</w:t>
        </w:r>
      </w:hyperlink>
    </w:p>
    <w:p>
      <w:pPr>
        <w:pStyle w:val="FacensTOC1"/>
      </w:pPr>
      <w:hyperlink w:anchor="_TCC_H_1028" w:history="1">
        <w:r>
          <w:rPr>
            <w:rFonts w:ascii="Arial" w:hAnsi="Arial" w:eastAsia="Arial" w:cs="Arial"/>
            <w:color w:val="000000"/>
            <w:u w:val="none"/>
            <w:sz w:val="24"/>
          </w:rPr>
          <w:t>4 METODOLOGIA</w:t>
        </w:r>
      </w:hyperlink>
      <w:r>
        <w:tab/>
      </w:r>
      <w:hyperlink w:anchor="_TCC_H_1028" w:history="1">
        <w:r>
          <w:rPr>
            <w:rFonts w:ascii="Arial" w:hAnsi="Arial" w:eastAsia="Arial" w:cs="Arial"/>
            <w:color w:val="000000"/>
            <w:u w:val="none"/>
            <w:sz w:val="24"/>
          </w:rPr>
          <w:t>24</w:t>
        </w:r>
      </w:hyperlink>
    </w:p>
    <w:p>
      <w:pPr>
        <w:pStyle w:val="FacensTOC2"/>
      </w:pPr>
      <w:hyperlink w:anchor="_TCC_H_1029" w:history="1">
        <w:r>
          <w:rPr>
            <w:rFonts w:ascii="Arial" w:hAnsi="Arial" w:eastAsia="Arial" w:cs="Arial"/>
            <w:color w:val="000000"/>
            <w:u w:val="none"/>
            <w:sz w:val="24"/>
          </w:rPr>
          <w:t>4.1 TIPO DE PESQUISA</w:t>
        </w:r>
      </w:hyperlink>
      <w:r>
        <w:tab/>
      </w:r>
      <w:hyperlink w:anchor="_TCC_H_1029" w:history="1">
        <w:r>
          <w:rPr>
            <w:rFonts w:ascii="Arial" w:hAnsi="Arial" w:eastAsia="Arial" w:cs="Arial"/>
            <w:color w:val="000000"/>
            <w:u w:val="none"/>
            <w:sz w:val="24"/>
          </w:rPr>
          <w:t>24</w:t>
        </w:r>
      </w:hyperlink>
    </w:p>
    <w:p>
      <w:pPr>
        <w:pStyle w:val="FacensTOC2"/>
      </w:pPr>
      <w:hyperlink w:anchor="_TCC_H_1030" w:history="1">
        <w:r>
          <w:rPr>
            <w:rFonts w:ascii="Arial" w:hAnsi="Arial" w:eastAsia="Arial" w:cs="Arial"/>
            <w:color w:val="000000"/>
            <w:u w:val="none"/>
            <w:sz w:val="24"/>
          </w:rPr>
          <w:t>4.2 ETAPAS DO TRABALHO</w:t>
        </w:r>
      </w:hyperlink>
      <w:r>
        <w:tab/>
      </w:r>
      <w:hyperlink w:anchor="_TCC_H_1030" w:history="1">
        <w:r>
          <w:rPr>
            <w:rFonts w:ascii="Arial" w:hAnsi="Arial" w:eastAsia="Arial" w:cs="Arial"/>
            <w:color w:val="000000"/>
            <w:u w:val="none"/>
            <w:sz w:val="24"/>
          </w:rPr>
          <w:t>24</w:t>
        </w:r>
      </w:hyperlink>
    </w:p>
    <w:p>
      <w:pPr>
        <w:pStyle w:val="FacensTOC2"/>
      </w:pPr>
      <w:hyperlink w:anchor="_TCC_H_1031" w:history="1">
        <w:r>
          <w:rPr>
            <w:rFonts w:ascii="Arial" w:hAnsi="Arial" w:eastAsia="Arial" w:cs="Arial"/>
            <w:color w:val="000000"/>
            <w:u w:val="none"/>
            <w:sz w:val="24"/>
          </w:rPr>
          <w:t>4.3 DEFINIÇÃO DO PROBLEMA E HIPÓTESES</w:t>
        </w:r>
      </w:hyperlink>
      <w:r>
        <w:tab/>
      </w:r>
      <w:hyperlink w:anchor="_TCC_H_1031" w:history="1">
        <w:r>
          <w:rPr>
            <w:rFonts w:ascii="Arial" w:hAnsi="Arial" w:eastAsia="Arial" w:cs="Arial"/>
            <w:color w:val="000000"/>
            <w:u w:val="none"/>
            <w:sz w:val="24"/>
          </w:rPr>
          <w:t>25</w:t>
        </w:r>
      </w:hyperlink>
    </w:p>
    <w:p>
      <w:pPr>
        <w:pStyle w:val="FacensTOC2"/>
      </w:pPr>
      <w:hyperlink w:anchor="_TCC_H_1032" w:history="1">
        <w:r>
          <w:rPr>
            <w:rFonts w:ascii="Arial" w:hAnsi="Arial" w:eastAsia="Arial" w:cs="Arial"/>
            <w:color w:val="000000"/>
            <w:u w:val="none"/>
            <w:sz w:val="24"/>
          </w:rPr>
          <w:t>4.4 MÉTRICAS DE AVALIAÇÃO</w:t>
        </w:r>
      </w:hyperlink>
      <w:r>
        <w:tab/>
      </w:r>
      <w:hyperlink w:anchor="_TCC_H_1032" w:history="1">
        <w:r>
          <w:rPr>
            <w:rFonts w:ascii="Arial" w:hAnsi="Arial" w:eastAsia="Arial" w:cs="Arial"/>
            <w:color w:val="000000"/>
            <w:u w:val="none"/>
            <w:sz w:val="24"/>
          </w:rPr>
          <w:t>25</w:t>
        </w:r>
      </w:hyperlink>
    </w:p>
    <w:p>
      <w:pPr>
        <w:pStyle w:val="FacensTOC1"/>
      </w:pPr>
      <w:hyperlink w:anchor="_TCC_H_1033" w:history="1">
        <w:r>
          <w:rPr>
            <w:rFonts w:ascii="Arial" w:hAnsi="Arial" w:eastAsia="Arial" w:cs="Arial"/>
            <w:color w:val="000000"/>
            <w:u w:val="none"/>
            <w:sz w:val="24"/>
          </w:rPr>
          <w:t>5 MODELAGEM DA SOLUÇÃO</w:t>
        </w:r>
      </w:hyperlink>
      <w:r>
        <w:tab/>
      </w:r>
      <w:hyperlink w:anchor="_TCC_H_1033" w:history="1">
        <w:r>
          <w:rPr>
            <w:rFonts w:ascii="Arial" w:hAnsi="Arial" w:eastAsia="Arial" w:cs="Arial"/>
            <w:color w:val="000000"/>
            <w:u w:val="none"/>
            <w:sz w:val="24"/>
          </w:rPr>
          <w:t>27</w:t>
        </w:r>
      </w:hyperlink>
    </w:p>
    <w:p>
      <w:pPr>
        <w:pStyle w:val="FacensTOC2"/>
      </w:pPr>
      <w:hyperlink w:anchor="_TCC_H_1034" w:history="1">
        <w:r>
          <w:rPr>
            <w:rFonts w:ascii="Arial" w:hAnsi="Arial" w:eastAsia="Arial" w:cs="Arial"/>
            <w:color w:val="000000"/>
            <w:u w:val="none"/>
            <w:sz w:val="24"/>
          </w:rPr>
          <w:t>5.1 VISÃO GERAL DO SISTEMA</w:t>
        </w:r>
      </w:hyperlink>
      <w:r>
        <w:tab/>
      </w:r>
      <w:hyperlink w:anchor="_TCC_H_1034" w:history="1">
        <w:r>
          <w:rPr>
            <w:rFonts w:ascii="Arial" w:hAnsi="Arial" w:eastAsia="Arial" w:cs="Arial"/>
            <w:color w:val="000000"/>
            <w:u w:val="none"/>
            <w:sz w:val="24"/>
          </w:rPr>
          <w:t>27</w:t>
        </w:r>
      </w:hyperlink>
    </w:p>
    <w:p>
      <w:pPr>
        <w:pStyle w:val="FacensTOC2"/>
      </w:pPr>
      <w:hyperlink w:anchor="_TCC_H_1035" w:history="1">
        <w:r>
          <w:rPr>
            <w:rFonts w:ascii="Arial" w:hAnsi="Arial" w:eastAsia="Arial" w:cs="Arial"/>
            <w:color w:val="000000"/>
            <w:u w:val="none"/>
            <w:sz w:val="24"/>
          </w:rPr>
          <w:t>5.2 ARQUITETURA PROPOSTA</w:t>
        </w:r>
      </w:hyperlink>
      <w:r>
        <w:tab/>
      </w:r>
      <w:hyperlink w:anchor="_TCC_H_1035" w:history="1">
        <w:r>
          <w:rPr>
            <w:rFonts w:ascii="Arial" w:hAnsi="Arial" w:eastAsia="Arial" w:cs="Arial"/>
            <w:color w:val="000000"/>
            <w:u w:val="none"/>
            <w:sz w:val="24"/>
          </w:rPr>
          <w:t>27</w:t>
        </w:r>
      </w:hyperlink>
    </w:p>
    <w:p>
      <w:pPr>
        <w:pStyle w:val="FacensTOC2"/>
      </w:pPr>
      <w:hyperlink w:anchor="_TCC_H_1036" w:history="1">
        <w:r>
          <w:rPr>
            <w:rFonts w:ascii="Arial" w:hAnsi="Arial" w:eastAsia="Arial" w:cs="Arial"/>
            <w:color w:val="000000"/>
            <w:u w:val="none"/>
            <w:sz w:val="24"/>
          </w:rPr>
          <w:t>5.3 COMPONENTES DO SISTEMA</w:t>
        </w:r>
      </w:hyperlink>
      <w:r>
        <w:tab/>
      </w:r>
      <w:hyperlink w:anchor="_TCC_H_1036" w:history="1">
        <w:r>
          <w:rPr>
            <w:rFonts w:ascii="Arial" w:hAnsi="Arial" w:eastAsia="Arial" w:cs="Arial"/>
            <w:color w:val="000000"/>
            <w:u w:val="none"/>
            <w:sz w:val="24"/>
          </w:rPr>
          <w:t>27</w:t>
        </w:r>
      </w:hyperlink>
    </w:p>
    <w:p>
      <w:pPr>
        <w:pStyle w:val="FacensTOC2"/>
      </w:pPr>
      <w:hyperlink w:anchor="_TCC_H_1037" w:history="1">
        <w:r>
          <w:rPr>
            <w:rFonts w:ascii="Arial" w:hAnsi="Arial" w:eastAsia="Arial" w:cs="Arial"/>
            <w:color w:val="000000"/>
            <w:u w:val="none"/>
            <w:sz w:val="24"/>
          </w:rPr>
          <w:t>5.4 FLUXO DE ATENDIMENTO</w:t>
        </w:r>
      </w:hyperlink>
      <w:r>
        <w:tab/>
      </w:r>
      <w:hyperlink w:anchor="_TCC_H_1037" w:history="1">
        <w:r>
          <w:rPr>
            <w:rFonts w:ascii="Arial" w:hAnsi="Arial" w:eastAsia="Arial" w:cs="Arial"/>
            <w:color w:val="000000"/>
            <w:u w:val="none"/>
            <w:sz w:val="24"/>
          </w:rPr>
          <w:t>28</w:t>
        </w:r>
      </w:hyperlink>
    </w:p>
    <w:p>
      <w:pPr>
        <w:pStyle w:val="FacensTOC1"/>
      </w:pPr>
      <w:hyperlink w:anchor="_TCC_H_1038" w:history="1">
        <w:r>
          <w:rPr>
            <w:rFonts w:ascii="Arial" w:hAnsi="Arial" w:eastAsia="Arial" w:cs="Arial"/>
            <w:color w:val="000000"/>
            <w:u w:val="none"/>
            <w:sz w:val="24"/>
          </w:rPr>
          <w:t>6 DESENVOLVIMENTO DO SISTEMA</w:t>
        </w:r>
      </w:hyperlink>
      <w:r>
        <w:tab/>
      </w:r>
      <w:hyperlink w:anchor="_TCC_H_1038" w:history="1">
        <w:r>
          <w:rPr>
            <w:rFonts w:ascii="Arial" w:hAnsi="Arial" w:eastAsia="Arial" w:cs="Arial"/>
            <w:color w:val="000000"/>
            <w:u w:val="none"/>
            <w:sz w:val="24"/>
          </w:rPr>
          <w:t>29</w:t>
        </w:r>
      </w:hyperlink>
    </w:p>
    <w:p>
      <w:pPr>
        <w:pStyle w:val="FacensTOC2"/>
      </w:pPr>
      <w:hyperlink w:anchor="_TCC_H_1039" w:history="1">
        <w:r>
          <w:rPr>
            <w:rFonts w:ascii="Arial" w:hAnsi="Arial" w:eastAsia="Arial" w:cs="Arial"/>
            <w:color w:val="000000"/>
            <w:u w:val="none"/>
            <w:sz w:val="24"/>
          </w:rPr>
          <w:t>6.1 TECNOLOGIAS UTILIZADAS</w:t>
        </w:r>
      </w:hyperlink>
      <w:r>
        <w:tab/>
      </w:r>
      <w:hyperlink w:anchor="_TCC_H_1039" w:history="1">
        <w:r>
          <w:rPr>
            <w:rFonts w:ascii="Arial" w:hAnsi="Arial" w:eastAsia="Arial" w:cs="Arial"/>
            <w:color w:val="000000"/>
            <w:u w:val="none"/>
            <w:sz w:val="24"/>
          </w:rPr>
          <w:t>29</w:t>
        </w:r>
      </w:hyperlink>
    </w:p>
    <w:p>
      <w:pPr>
        <w:pStyle w:val="FacensTOC2"/>
      </w:pPr>
      <w:hyperlink w:anchor="_TCC_H_1040" w:history="1">
        <w:r>
          <w:rPr>
            <w:rFonts w:ascii="Arial" w:hAnsi="Arial" w:eastAsia="Arial" w:cs="Arial"/>
            <w:color w:val="000000"/>
            <w:u w:val="none"/>
            <w:sz w:val="24"/>
          </w:rPr>
          <w:t>6.2 IMPLEMENTAÇÃO DOS AGENTES</w:t>
        </w:r>
      </w:hyperlink>
      <w:r>
        <w:tab/>
      </w:r>
      <w:hyperlink w:anchor="_TCC_H_1040" w:history="1">
        <w:r>
          <w:rPr>
            <w:rFonts w:ascii="Arial" w:hAnsi="Arial" w:eastAsia="Arial" w:cs="Arial"/>
            <w:color w:val="000000"/>
            <w:u w:val="none"/>
            <w:sz w:val="24"/>
          </w:rPr>
          <w:t>29</w:t>
        </w:r>
      </w:hyperlink>
    </w:p>
    <w:p>
      <w:pPr>
        <w:pStyle w:val="FacensTOC2"/>
      </w:pPr>
      <w:hyperlink w:anchor="_TCC_H_1041" w:history="1">
        <w:r>
          <w:rPr>
            <w:rFonts w:ascii="Arial" w:hAnsi="Arial" w:eastAsia="Arial" w:cs="Arial"/>
            <w:color w:val="000000"/>
            <w:u w:val="none"/>
            <w:sz w:val="24"/>
          </w:rPr>
          <w:t>6.3 IMPLEMENTAÇÃO DAS ARQUITETURAS</w:t>
        </w:r>
      </w:hyperlink>
      <w:r>
        <w:tab/>
      </w:r>
      <w:hyperlink w:anchor="_TCC_H_1041" w:history="1">
        <w:r>
          <w:rPr>
            <w:rFonts w:ascii="Arial" w:hAnsi="Arial" w:eastAsia="Arial" w:cs="Arial"/>
            <w:color w:val="000000"/>
            <w:u w:val="none"/>
            <w:sz w:val="24"/>
          </w:rPr>
          <w:t>30</w:t>
        </w:r>
      </w:hyperlink>
    </w:p>
    <w:p>
      <w:pPr>
        <w:pStyle w:val="FacensTOC2"/>
      </w:pPr>
      <w:hyperlink w:anchor="_TCC_H_1042" w:history="1">
        <w:r>
          <w:rPr>
            <w:rFonts w:ascii="Arial" w:hAnsi="Arial" w:eastAsia="Arial" w:cs="Arial"/>
            <w:color w:val="000000"/>
            <w:u w:val="none"/>
            <w:sz w:val="24"/>
          </w:rPr>
          <w:t>6.4 INTEGRAÇÃO COM FERRAMENTAS</w:t>
        </w:r>
      </w:hyperlink>
      <w:r>
        <w:tab/>
      </w:r>
      <w:hyperlink w:anchor="_TCC_H_1042" w:history="1">
        <w:r>
          <w:rPr>
            <w:rFonts w:ascii="Arial" w:hAnsi="Arial" w:eastAsia="Arial" w:cs="Arial"/>
            <w:color w:val="000000"/>
            <w:u w:val="none"/>
            <w:sz w:val="24"/>
          </w:rPr>
          <w:t>30</w:t>
        </w:r>
      </w:hyperlink>
    </w:p>
    <w:p>
      <w:pPr>
        <w:pStyle w:val="FacensTOC1"/>
      </w:pPr>
      <w:hyperlink w:anchor="_TCC_H_1043" w:history="1">
        <w:r>
          <w:rPr>
            <w:rFonts w:ascii="Arial" w:hAnsi="Arial" w:eastAsia="Arial" w:cs="Arial"/>
            <w:color w:val="000000"/>
            <w:u w:val="none"/>
            <w:sz w:val="24"/>
          </w:rPr>
          <w:t>7 EXPERIMENTOS E RESULTADOS</w:t>
        </w:r>
      </w:hyperlink>
      <w:r>
        <w:tab/>
      </w:r>
      <w:hyperlink w:anchor="_TCC_H_1043" w:history="1">
        <w:r>
          <w:rPr>
            <w:rFonts w:ascii="Arial" w:hAnsi="Arial" w:eastAsia="Arial" w:cs="Arial"/>
            <w:color w:val="000000"/>
            <w:u w:val="none"/>
            <w:sz w:val="24"/>
          </w:rPr>
          <w:t>31</w:t>
        </w:r>
      </w:hyperlink>
    </w:p>
    <w:p>
      <w:pPr>
        <w:pStyle w:val="FacensTOC2"/>
      </w:pPr>
      <w:hyperlink w:anchor="_TCC_H_1044" w:history="1">
        <w:r>
          <w:rPr>
            <w:rFonts w:ascii="Arial" w:hAnsi="Arial" w:eastAsia="Arial" w:cs="Arial"/>
            <w:color w:val="000000"/>
            <w:u w:val="none"/>
            <w:sz w:val="24"/>
          </w:rPr>
          <w:t>7.1 CENÁRIOS DE TESTE</w:t>
        </w:r>
      </w:hyperlink>
      <w:r>
        <w:tab/>
      </w:r>
      <w:hyperlink w:anchor="_TCC_H_1044" w:history="1">
        <w:r>
          <w:rPr>
            <w:rFonts w:ascii="Arial" w:hAnsi="Arial" w:eastAsia="Arial" w:cs="Arial"/>
            <w:color w:val="000000"/>
            <w:u w:val="none"/>
            <w:sz w:val="24"/>
          </w:rPr>
          <w:t>31</w:t>
        </w:r>
      </w:hyperlink>
    </w:p>
    <w:p>
      <w:pPr>
        <w:pStyle w:val="FacensTOC2"/>
      </w:pPr>
      <w:hyperlink w:anchor="_TCC_H_1045" w:history="1">
        <w:r>
          <w:rPr>
            <w:rFonts w:ascii="Arial" w:hAnsi="Arial" w:eastAsia="Arial" w:cs="Arial"/>
            <w:color w:val="000000"/>
            <w:u w:val="none"/>
            <w:sz w:val="24"/>
          </w:rPr>
          <w:t>7.2 MÉTRICAS ANALISADAS</w:t>
        </w:r>
      </w:hyperlink>
      <w:r>
        <w:tab/>
      </w:r>
      <w:hyperlink w:anchor="_TCC_H_1045" w:history="1">
        <w:r>
          <w:rPr>
            <w:rFonts w:ascii="Arial" w:hAnsi="Arial" w:eastAsia="Arial" w:cs="Arial"/>
            <w:color w:val="000000"/>
            <w:u w:val="none"/>
            <w:sz w:val="24"/>
          </w:rPr>
          <w:t>31</w:t>
        </w:r>
      </w:hyperlink>
    </w:p>
    <w:p>
      <w:pPr>
        <w:pStyle w:val="FacensTOC2"/>
      </w:pPr>
      <w:hyperlink w:anchor="_TCC_H_1046" w:history="1">
        <w:r>
          <w:rPr>
            <w:rFonts w:ascii="Arial" w:hAnsi="Arial" w:eastAsia="Arial" w:cs="Arial"/>
            <w:color w:val="000000"/>
            <w:u w:val="none"/>
            <w:sz w:val="24"/>
          </w:rPr>
          <w:t>7.3 RESULTADOS OBTIDOS</w:t>
        </w:r>
      </w:hyperlink>
      <w:r>
        <w:tab/>
      </w:r>
      <w:hyperlink w:anchor="_TCC_H_1046" w:history="1">
        <w:r>
          <w:rPr>
            <w:rFonts w:ascii="Arial" w:hAnsi="Arial" w:eastAsia="Arial" w:cs="Arial"/>
            <w:color w:val="000000"/>
            <w:u w:val="none"/>
            <w:sz w:val="24"/>
          </w:rPr>
          <w:t>31</w:t>
        </w:r>
      </w:hyperlink>
    </w:p>
    <w:p>
      <w:pPr>
        <w:pStyle w:val="FacensTOC2"/>
      </w:pPr>
      <w:hyperlink w:anchor="_TCC_H_1047" w:history="1">
        <w:r>
          <w:rPr>
            <w:rFonts w:ascii="Arial" w:hAnsi="Arial" w:eastAsia="Arial" w:cs="Arial"/>
            <w:color w:val="000000"/>
            <w:u w:val="none"/>
            <w:sz w:val="24"/>
          </w:rPr>
          <w:t>7.4 COMPARAÇÃO ENTRE ARQUITETURAS</w:t>
        </w:r>
      </w:hyperlink>
      <w:r>
        <w:tab/>
      </w:r>
      <w:hyperlink w:anchor="_TCC_H_1047" w:history="1">
        <w:r>
          <w:rPr>
            <w:rFonts w:ascii="Arial" w:hAnsi="Arial" w:eastAsia="Arial" w:cs="Arial"/>
            <w:color w:val="000000"/>
            <w:u w:val="none"/>
            <w:sz w:val="24"/>
          </w:rPr>
          <w:t>31</w:t>
        </w:r>
      </w:hyperlink>
    </w:p>
    <w:p>
      <w:pPr>
        <w:pStyle w:val="FacensTOC1"/>
      </w:pPr>
      <w:hyperlink w:anchor="_TCC_H_1048" w:history="1">
        <w:r>
          <w:rPr>
            <w:rFonts w:ascii="Arial" w:hAnsi="Arial" w:eastAsia="Arial" w:cs="Arial"/>
            <w:color w:val="000000"/>
            <w:u w:val="none"/>
            <w:sz w:val="24"/>
          </w:rPr>
          <w:t>8 DISCUSSÃO</w:t>
        </w:r>
      </w:hyperlink>
      <w:r>
        <w:tab/>
      </w:r>
      <w:hyperlink w:anchor="_TCC_H_1048" w:history="1">
        <w:r>
          <w:rPr>
            <w:rFonts w:ascii="Arial" w:hAnsi="Arial" w:eastAsia="Arial" w:cs="Arial"/>
            <w:color w:val="000000"/>
            <w:u w:val="none"/>
            <w:sz w:val="24"/>
          </w:rPr>
          <w:t>32</w:t>
        </w:r>
      </w:hyperlink>
    </w:p>
    <w:p>
      <w:pPr>
        <w:pStyle w:val="FacensTOC2"/>
      </w:pPr>
      <w:hyperlink w:anchor="_TCC_H_1049" w:history="1">
        <w:r>
          <w:rPr>
            <w:rFonts w:ascii="Arial" w:hAnsi="Arial" w:eastAsia="Arial" w:cs="Arial"/>
            <w:color w:val="000000"/>
            <w:u w:val="none"/>
            <w:sz w:val="24"/>
          </w:rPr>
          <w:t>8.1 ANÁLISE DOS RESULTADOS</w:t>
        </w:r>
      </w:hyperlink>
      <w:r>
        <w:tab/>
      </w:r>
      <w:hyperlink w:anchor="_TCC_H_1049" w:history="1">
        <w:r>
          <w:rPr>
            <w:rFonts w:ascii="Arial" w:hAnsi="Arial" w:eastAsia="Arial" w:cs="Arial"/>
            <w:color w:val="000000"/>
            <w:u w:val="none"/>
            <w:sz w:val="24"/>
          </w:rPr>
          <w:t>32</w:t>
        </w:r>
      </w:hyperlink>
    </w:p>
    <w:p>
      <w:pPr>
        <w:pStyle w:val="FacensTOC2"/>
      </w:pPr>
      <w:hyperlink w:anchor="_TCC_H_1050" w:history="1">
        <w:r>
          <w:rPr>
            <w:rFonts w:ascii="Arial" w:hAnsi="Arial" w:eastAsia="Arial" w:cs="Arial"/>
            <w:color w:val="000000"/>
            <w:u w:val="none"/>
            <w:sz w:val="24"/>
          </w:rPr>
          <w:t>8.2 VANTAGENS E LIMITAÇÕES</w:t>
        </w:r>
      </w:hyperlink>
      <w:r>
        <w:tab/>
      </w:r>
      <w:hyperlink w:anchor="_TCC_H_1050" w:history="1">
        <w:r>
          <w:rPr>
            <w:rFonts w:ascii="Arial" w:hAnsi="Arial" w:eastAsia="Arial" w:cs="Arial"/>
            <w:color w:val="000000"/>
            <w:u w:val="none"/>
            <w:sz w:val="24"/>
          </w:rPr>
          <w:t>32</w:t>
        </w:r>
      </w:hyperlink>
    </w:p>
    <w:p>
      <w:pPr>
        <w:pStyle w:val="FacensTOC2"/>
      </w:pPr>
      <w:hyperlink w:anchor="_TCC_H_1051" w:history="1">
        <w:r>
          <w:rPr>
            <w:rFonts w:ascii="Arial" w:hAnsi="Arial" w:eastAsia="Arial" w:cs="Arial"/>
            <w:color w:val="000000"/>
            <w:u w:val="none"/>
            <w:sz w:val="24"/>
          </w:rPr>
          <w:t>8.3 IMPLICAÇÕES PRÁTICAS</w:t>
        </w:r>
      </w:hyperlink>
      <w:r>
        <w:tab/>
      </w:r>
      <w:hyperlink w:anchor="_TCC_H_1051" w:history="1">
        <w:r>
          <w:rPr>
            <w:rFonts w:ascii="Arial" w:hAnsi="Arial" w:eastAsia="Arial" w:cs="Arial"/>
            <w:color w:val="000000"/>
            <w:u w:val="none"/>
            <w:sz w:val="24"/>
          </w:rPr>
          <w:t>32</w:t>
        </w:r>
      </w:hyperlink>
    </w:p>
    <w:p>
      <w:pPr>
        <w:pStyle w:val="FacensTOC1"/>
      </w:pPr>
      <w:hyperlink w:anchor="_TCC_H_1052" w:history="1">
        <w:r>
          <w:rPr>
            <w:rFonts w:ascii="Arial" w:hAnsi="Arial" w:eastAsia="Arial" w:cs="Arial"/>
            <w:color w:val="000000"/>
            <w:u w:val="none"/>
            <w:sz w:val="24"/>
          </w:rPr>
          <w:t>9 CONSIDERAÇÕES FINAIS</w:t>
        </w:r>
      </w:hyperlink>
      <w:r>
        <w:tab/>
      </w:r>
      <w:hyperlink w:anchor="_TCC_H_1052" w:history="1">
        <w:r>
          <w:rPr>
            <w:rFonts w:ascii="Arial" w:hAnsi="Arial" w:eastAsia="Arial" w:cs="Arial"/>
            <w:color w:val="000000"/>
            <w:u w:val="none"/>
            <w:sz w:val="24"/>
          </w:rPr>
          <w:t>33</w:t>
        </w:r>
      </w:hyperlink>
    </w:p>
    <w:p>
      <w:pPr>
        <w:pStyle w:val="FacensTOC2"/>
      </w:pPr>
      <w:hyperlink w:anchor="_TCC_H_1053" w:history="1">
        <w:r>
          <w:rPr>
            <w:rFonts w:ascii="Arial" w:hAnsi="Arial" w:eastAsia="Arial" w:cs="Arial"/>
            <w:color w:val="000000"/>
            <w:u w:val="none"/>
            <w:sz w:val="24"/>
          </w:rPr>
          <w:t>9.1 CONCLUSÕES</w:t>
        </w:r>
      </w:hyperlink>
      <w:r>
        <w:tab/>
      </w:r>
      <w:hyperlink w:anchor="_TCC_H_1053" w:history="1">
        <w:r>
          <w:rPr>
            <w:rFonts w:ascii="Arial" w:hAnsi="Arial" w:eastAsia="Arial" w:cs="Arial"/>
            <w:color w:val="000000"/>
            <w:u w:val="none"/>
            <w:sz w:val="24"/>
          </w:rPr>
          <w:t>33</w:t>
        </w:r>
      </w:hyperlink>
    </w:p>
    <w:p>
      <w:pPr>
        <w:pStyle w:val="FacensTOC2"/>
      </w:pPr>
      <w:hyperlink w:anchor="_TCC_H_1054" w:history="1">
        <w:r>
          <w:rPr>
            <w:rFonts w:ascii="Arial" w:hAnsi="Arial" w:eastAsia="Arial" w:cs="Arial"/>
            <w:color w:val="000000"/>
            <w:u w:val="none"/>
            <w:sz w:val="24"/>
          </w:rPr>
          <w:t>9.2 CONTRIBUIÇÕES DO TRABALHO</w:t>
        </w:r>
      </w:hyperlink>
      <w:r>
        <w:tab/>
      </w:r>
      <w:hyperlink w:anchor="_TCC_H_1054" w:history="1">
        <w:r>
          <w:rPr>
            <w:rFonts w:ascii="Arial" w:hAnsi="Arial" w:eastAsia="Arial" w:cs="Arial"/>
            <w:color w:val="000000"/>
            <w:u w:val="none"/>
            <w:sz w:val="24"/>
          </w:rPr>
          <w:t>33</w:t>
        </w:r>
      </w:hyperlink>
    </w:p>
    <w:p>
      <w:pPr>
        <w:pStyle w:val="FacensTOC2"/>
      </w:pPr>
      <w:hyperlink w:anchor="_TCC_H_1055" w:history="1">
        <w:r>
          <w:rPr>
            <w:rFonts w:ascii="Arial" w:hAnsi="Arial" w:eastAsia="Arial" w:cs="Arial"/>
            <w:color w:val="000000"/>
            <w:u w:val="none"/>
            <w:sz w:val="24"/>
          </w:rPr>
          <w:t>9.3 TRABALHOS FUTUROS</w:t>
        </w:r>
      </w:hyperlink>
      <w:r>
        <w:tab/>
      </w:r>
      <w:hyperlink w:anchor="_TCC_H_1055" w:history="1">
        <w:r>
          <w:rPr>
            <w:rFonts w:ascii="Arial" w:hAnsi="Arial" w:eastAsia="Arial" w:cs="Arial"/>
            <w:color w:val="000000"/>
            <w:u w:val="none"/>
            <w:sz w:val="24"/>
          </w:rPr>
          <w:t>33</w:t>
        </w:r>
      </w:hyperlink>
    </w:p>
    <w:p>
      <w:pPr>
        <w:pStyle w:val="FacensTOC1"/>
      </w:pPr>
      <w:hyperlink w:anchor="_TCC_H_1056" w:history="1">
        <w:r>
          <w:rPr>
            <w:rFonts w:ascii="Arial" w:hAnsi="Arial" w:eastAsia="Arial" w:cs="Arial"/>
            <w:color w:val="000000"/>
            <w:u w:val="none"/>
            <w:sz w:val="24"/>
          </w:rPr>
          <w:t>REFERÊNCIAS</w:t>
        </w:r>
      </w:hyperlink>
      <w:r>
        <w:tab/>
      </w:r>
      <w:hyperlink w:anchor="_TCC_H_1056" w:history="1">
        <w:r>
          <w:rPr>
            <w:rFonts w:ascii="Arial" w:hAnsi="Arial" w:eastAsia="Arial" w:cs="Arial"/>
            <w:color w:val="000000"/>
            <w:u w:val="none"/>
            <w:sz w:val="24"/>
          </w:rPr>
          <w:t>34</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0"/>
        </w:numPr>
      </w:pPr>
      <w:bookmarkStart w:id="1000" w:name="_TCC_H_1000"/>
      <w:r>
        <w:t>INTRODUÇÃO</w:t>
      </w:r>
      <w:bookmarkEnd w:id="1000"/>
    </w:p>
    <w:p>
      <w:pPr/>
      <w: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t xml:space="preserve">Esse movimento favoreceu o desenvolvimento de sistemas capazes de interpretar solicitações em linguagem natural, acionar ferramentas, estruturar subtarefas e apoiar fluxos de atendimento de maneira mais eficiente. No campo de customer care e service operations, a literatura recente mostra que a IA vem sendo incorporada justamente em cenários marcados por alto volume de interações, pressão por rapidez e necessidade de reorganização contínua dos processos de atendimento (BUESING </w:t>
      </w:r>
      <w:r>
        <w:rPr>
          <w:i w:val="1"/>
          <w:iCs w:val="1"/>
        </w:rPr>
        <w:t>et al.</w:t>
      </w:r>
      <w:r>
        <w:t xml:space="preserve">, 2024; YU </w:t>
      </w:r>
      <w:r>
        <w:rPr>
          <w:i w:val="1"/>
          <w:iCs w:val="1"/>
        </w:rPr>
        <w:t>et al.</w:t>
      </w:r>
      <w:r>
        <w:t>, 2025).</w:t>
      </w:r>
    </w:p>
    <w:p>
      <w:pPr/>
      <w: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i w:val="1"/>
          <w:iCs w:val="1"/>
        </w:rPr>
        <w:t>et al.</w:t>
      </w:r>
      <w:r>
        <w:t xml:space="preserve">, 2024; PICCIALLI </w:t>
      </w:r>
      <w:r>
        <w:rPr>
          <w:i w:val="1"/>
          <w:iCs w:val="1"/>
        </w:rPr>
        <w:t>et al.</w:t>
      </w:r>
      <w:r>
        <w:t>, 2025).</w:t>
      </w:r>
    </w:p>
    <w:p>
      <w:pPr/>
      <w: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i w:val="1"/>
          <w:iCs w:val="1"/>
        </w:rPr>
        <w:t>et al.</w:t>
      </w:r>
      <w:r>
        <w:t>, 2025; PGEU, 2025).</w:t>
      </w:r>
    </w:p>
    <w:p>
      <w:pPr/>
      <w:r>
        <w:t>Diante desse contexto, foi desenvolvido o MAB (multi agent benchmark),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workflow estruturado e organização descentralizada. A análise detalhada dessas arquiteturas é apresentada no referencial teórico.</w:t>
      </w:r>
    </w:p>
    <w:p>
      <w:pPr/>
      <w: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i w:val="1"/>
          <w:iCs w:val="1"/>
        </w:rPr>
        <w:t>et al.</w:t>
      </w:r>
      <w:r>
        <w:t xml:space="preserve">, 2024; YU </w:t>
      </w:r>
      <w:r>
        <w:rPr>
          <w:i w:val="1"/>
          <w:iCs w:val="1"/>
        </w:rPr>
        <w:t>et al.</w:t>
      </w:r>
      <w:r>
        <w:t xml:space="preserve">, 2025; ALVAREZ </w:t>
      </w:r>
      <w:r>
        <w:rPr>
          <w:i w:val="1"/>
          <w:iCs w:val="1"/>
        </w:rPr>
        <w:t>et al.</w:t>
      </w:r>
      <w:r>
        <w:t>, 2025).</w:t>
      </w:r>
    </w:p>
    <w:p>
      <w:pPr/>
      <w:r>
        <w:t xml:space="preserve">A problematização central da pesquisa consiste em investigar como diferentes arquiteturas multiagentes influenciam o desempenho de um sistema de atendimento em farmácias. Para isso, serão comparados modelos baseados em orquestração, workflow e swarm,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i w:val="1"/>
          <w:iCs w:val="1"/>
        </w:rPr>
        <w:t>et al.</w:t>
      </w:r>
      <w:r>
        <w:t xml:space="preserve">, 2024; PICCIALLI </w:t>
      </w:r>
      <w:r>
        <w:rPr>
          <w:i w:val="1"/>
          <w:iCs w:val="1"/>
        </w:rPr>
        <w:t>et al.</w:t>
      </w:r>
      <w:r>
        <w:t>, 2025).</w:t>
      </w:r>
    </w:p>
    <w:p>
      <w:pPr/>
      <w: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t>Quanto à metodologia, está sendo realizada uma pesquisa bibliográfica e experimental. O levantamento teórico abrange inteligência artificial, sistemas multiagentes, arquiteturas de coordenação, workflows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0"/>
        </w:numPr>
      </w:pPr>
      <w:bookmarkStart w:id="1001" w:name="_TCC_H_1001"/>
      <w:r>
        <w:t>FUNDAMENTAÇÃO TEÓRICA</w:t>
      </w:r>
      <w:bookmarkEnd w:id="1001"/>
    </w:p>
    <w:p>
      <w:pPr>
        <w:pStyle w:val="Heading2"/>
        <w:numPr>
          <w:ilvl w:val="1"/>
          <w:numId w:val="10"/>
        </w:numPr>
      </w:pPr>
      <w:bookmarkStart w:id="1002" w:name="_TCC_H_1002"/>
      <w:r>
        <w:t>INTELIGÊNCIA ARTIFICIAL NO ATENDIMENTO</w:t>
      </w:r>
      <w:bookmarkEnd w:id="1002"/>
    </w:p>
    <w:p>
      <w:pPr>
        <w:pStyle w:val="Heading3"/>
        <w:numPr>
          <w:ilvl w:val="2"/>
          <w:numId w:val="10"/>
        </w:numPr>
      </w:pPr>
      <w:bookmarkStart w:id="1003" w:name="_TCC_H_1003"/>
      <w:r>
        <w:t>Conceitos de inteligência artificial</w:t>
      </w:r>
      <w:bookmarkEnd w:id="1003"/>
    </w:p>
    <w:p>
      <w:pPr/>
      <w:r>
        <w:t>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chatbot baseado apenas em respostas pré-programadas: o comportamento depende do contexto, das ferramentas disponíveis e da estratégia de coordenação definida para os agentes.</w:t>
      </w:r>
    </w:p>
    <w:p>
      <w:pPr>
        <w:pStyle w:val="Heading3"/>
        <w:numPr>
          <w:ilvl w:val="2"/>
          <w:numId w:val="10"/>
        </w:numPr>
      </w:pPr>
      <w:bookmarkStart w:id="1004" w:name="_TCC_H_1004"/>
      <w:r>
        <w:t>IA aplicada ao atendimento ao cliente</w:t>
      </w:r>
      <w:bookmarkEnd w:id="1004"/>
    </w:p>
    <w:p>
      <w:pPr/>
      <w: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0"/>
        </w:numPr>
      </w:pPr>
      <w:bookmarkStart w:id="1005" w:name="_TCC_H_1005"/>
      <w:r>
        <w:t>Uso de IA em saúde e farmácias</w:t>
      </w:r>
      <w:bookmarkEnd w:id="1005"/>
    </w:p>
    <w:p>
      <w:pPr/>
      <w: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0"/>
        </w:numPr>
      </w:pPr>
      <w:bookmarkStart w:id="1006" w:name="_TCC_H_1006"/>
      <w:r>
        <w:t>LARGE LANGUAGE MODELS E AGENTES INTELIGENTES</w:t>
      </w:r>
      <w:bookmarkEnd w:id="1006"/>
    </w:p>
    <w:p>
      <w:pPr>
        <w:pStyle w:val="Heading3"/>
        <w:numPr>
          <w:ilvl w:val="2"/>
          <w:numId w:val="10"/>
        </w:numPr>
      </w:pPr>
      <w:bookmarkStart w:id="1007" w:name="_TCC_H_1007"/>
      <w:r>
        <w:t>Conceito de LLM</w:t>
      </w:r>
      <w:bookmarkEnd w:id="1007"/>
    </w:p>
    <w:p>
      <w:pPr/>
      <w:r>
        <w:t>Large Language Models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0"/>
        </w:numPr>
      </w:pPr>
      <w:bookmarkStart w:id="1008" w:name="_TCC_H_1008"/>
      <w:r>
        <w:t>Uso de LLM em agentes</w:t>
      </w:r>
      <w:bookmarkEnd w:id="1008"/>
    </w:p>
    <w:p>
      <w:pPr/>
      <w:r>
        <w:t xml:space="preserve">Um agente baseado em LLM associa o modelo a um objetivo, um conjunto de instruções, estado de execução e mecanismos de ação. O agente pode selecionar ferramentas, interpretar seus retornos e decidir como prosseguir. Li </w:t>
      </w:r>
      <w:r>
        <w:rPr>
          <w:i w:val="1"/>
          <w:iCs w:val="1"/>
        </w:rPr>
        <w:t>et al.</w:t>
      </w:r>
      <w: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0"/>
        </w:numPr>
      </w:pPr>
      <w:bookmarkStart w:id="1009" w:name="_TCC_H_1009"/>
      <w:r>
        <w:t>Ferramentas e integração</w:t>
      </w:r>
      <w:bookmarkEnd w:id="1009"/>
    </w:p>
    <w:p>
      <w:pPr/>
      <w: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0"/>
        </w:numPr>
      </w:pPr>
      <w:bookmarkStart w:id="1010" w:name="_TCC_H_1010"/>
      <w:r>
        <w:t>SISTEMAS MULTIAGENTES</w:t>
      </w:r>
      <w:bookmarkEnd w:id="1010"/>
    </w:p>
    <w:p>
      <w:pPr>
        <w:pStyle w:val="Heading3"/>
        <w:numPr>
          <w:ilvl w:val="2"/>
          <w:numId w:val="10"/>
        </w:numPr>
      </w:pPr>
      <w:bookmarkStart w:id="1011" w:name="_TCC_H_1011"/>
      <w:r>
        <w:t>Definição e características</w:t>
      </w:r>
      <w:bookmarkEnd w:id="1011"/>
    </w:p>
    <w:p>
      <w:pPr/>
      <w: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0"/>
        </w:numPr>
      </w:pPr>
      <w:bookmarkStart w:id="1012" w:name="_TCC_H_1012"/>
      <w:r>
        <w:t>Arquitetura de sistemas multiagentes</w:t>
      </w:r>
      <w:bookmarkEnd w:id="1012"/>
    </w:p>
    <w:p>
      <w:pPr/>
      <w: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i w:val="1"/>
          <w:iCs w:val="1"/>
        </w:rPr>
        <w:t>et al.</w:t>
      </w:r>
      <w:r>
        <w:t xml:space="preserve">, 2024; PICCIALLI </w:t>
      </w:r>
      <w:r>
        <w:rPr>
          <w:i w:val="1"/>
          <w:iCs w:val="1"/>
        </w:rPr>
        <w:t>et al.</w:t>
      </w:r>
      <w:r>
        <w:t>, 2025). Essas escolhas influenciam rastreabilidade, robustez e custo computacional, além de determinar quais eventos podem ser observados durante um atendimento.</w:t>
      </w:r>
    </w:p>
    <w:p>
      <w:pPr>
        <w:pStyle w:val="Heading3"/>
        <w:numPr>
          <w:ilvl w:val="2"/>
          <w:numId w:val="10"/>
        </w:numPr>
      </w:pPr>
      <w:bookmarkStart w:id="1013" w:name="_TCC_H_1013"/>
      <w:r>
        <w:t>Comunicação e coordenação entre agentes</w:t>
      </w:r>
      <w:bookmarkEnd w:id="1013"/>
    </w:p>
    <w:p>
      <w:pPr/>
      <w:r>
        <w:t xml:space="preserve">A comunicação pode ocorrer por mensagens diretas, estado compartilhado, handoffs ou por um controlador que intermedeia as decisões. Ela é necessária para distribuir subtarefas, mas também pode propagar erros ou ampliar divergências. Hammond </w:t>
      </w:r>
      <w:r>
        <w:rPr>
          <w:i w:val="1"/>
          <w:iCs w:val="1"/>
        </w:rPr>
        <w:t>et al.</w:t>
      </w:r>
      <w: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0"/>
        </w:numPr>
      </w:pPr>
      <w:bookmarkStart w:id="1014" w:name="_TCC_H_1014"/>
      <w:r>
        <w:t>ARQUITETURAS DE COORDENAÇÃO</w:t>
      </w:r>
      <w:bookmarkEnd w:id="1014"/>
    </w:p>
    <w:p>
      <w:pPr>
        <w:pStyle w:val="Heading3"/>
        <w:numPr>
          <w:ilvl w:val="2"/>
          <w:numId w:val="10"/>
        </w:numPr>
      </w:pPr>
      <w:bookmarkStart w:id="1015" w:name="_TCC_H_1015"/>
      <w:r>
        <w:t>Orquestração centralizada</w:t>
      </w:r>
      <w:bookmarkEnd w:id="1015"/>
    </w:p>
    <w:p>
      <w:pPr/>
      <w: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0"/>
        </w:numPr>
      </w:pPr>
      <w:bookmarkStart w:id="1016" w:name="_TCC_H_1016"/>
      <w:r>
        <w:t>Workflow estruturado</w:t>
      </w:r>
      <w:bookmarkEnd w:id="1016"/>
    </w:p>
    <w:p>
      <w:pPr/>
      <w:r>
        <w:t xml:space="preserve">O workflow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i w:val="1"/>
          <w:iCs w:val="1"/>
        </w:rPr>
        <w:t>et al.</w:t>
      </w:r>
      <w:r>
        <w:t xml:space="preserve"> (2025) mostra que workflows de agentes combinam planejamento, execução e controle em estruturas que variam de sequências fixas a fluxos adaptativos.</w:t>
      </w:r>
    </w:p>
    <w:p>
      <w:pPr>
        <w:pStyle w:val="Heading3"/>
        <w:numPr>
          <w:ilvl w:val="2"/>
          <w:numId w:val="10"/>
        </w:numPr>
      </w:pPr>
      <w:bookmarkStart w:id="1017" w:name="_TCC_H_1017"/>
      <w:r>
        <w:t>Sistemas descentralizados (swarm)</w:t>
      </w:r>
      <w:bookmarkEnd w:id="1017"/>
    </w:p>
    <w:p>
      <w:pPr/>
      <w:r>
        <w:t>Em uma organização descentralizada, os agentes podem transferir a tarefa diretamente entre pares. O MAB implementa essa estratégia por meio de handoffs: um coordenador inicia a cadeia, especialistas podem delegar a outros especialistas e um sintetizador produz a resposta final. O mecanismo aumenta a autonomia local, porém exige limites de handoff e telemetria para evitar ciclos, custo excessivo ou perda de contexto.</w:t>
      </w:r>
    </w:p>
    <w:p>
      <w:pPr>
        <w:pStyle w:val="Heading3"/>
        <w:numPr>
          <w:ilvl w:val="2"/>
          <w:numId w:val="10"/>
        </w:numPr>
      </w:pPr>
      <w:bookmarkStart w:id="1018" w:name="_TCC_H_1018"/>
      <w:r>
        <w:t>Comparação entre arquiteturas</w:t>
      </w:r>
      <w:bookmarkEnd w:id="1018"/>
    </w:p>
    <w:p>
      <w:pPr/>
      <w: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i w:val="1"/>
          <w:iCs w:val="1"/>
        </w:rPr>
        <w:t>et al.</w:t>
      </w:r>
      <w:r>
        <w:t xml:space="preserve"> (2024) e Piccialli </w:t>
      </w:r>
      <w:r>
        <w:rPr>
          <w:i w:val="1"/>
          <w:iCs w:val="1"/>
        </w:rPr>
        <w:t>et al.</w:t>
      </w:r>
      <w:r>
        <w:t xml:space="preserve"> (2025) mostram que interação, autonomia e organização são componentes próprios da arquitetura, e não apenas características do modelo de linguagem utilizado.</w:t>
      </w:r>
    </w:p>
    <w:p>
      <w:pPr/>
      <w: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t xml:space="preserve">No workflow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i w:val="1"/>
          <w:iCs w:val="1"/>
        </w:rPr>
        <w:t>et al.</w:t>
      </w:r>
      <w:r>
        <w:t xml:space="preserve"> (2025) descrevem workflows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t xml:space="preserve">Em sistemas descentralizados, a decisão de continuidade pode ser transferida entre os próprios agentes. Em vez de consultar um supervisor a cada passo, um especialista avalia o contexto recebido e realiza um handoff quando identifica outra competência necessária. Balaprakash </w:t>
      </w:r>
      <w:r>
        <w:rPr>
          <w:i w:val="1"/>
          <w:iCs w:val="1"/>
        </w:rPr>
        <w:t>et al.</w:t>
      </w:r>
      <w:r>
        <w:t xml:space="preserve"> (2025) apresentam o SWARM como uma proposta de distribuição das funções tradicionalmente centralizadas de gestão de workflows,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t xml:space="preserve">Esses benefícios e custos dependem do tipo de tarefa e da capacidade dos modelos envolvidos. Kim </w:t>
      </w:r>
      <w:r>
        <w:rPr>
          <w:i w:val="1"/>
          <w:iCs w:val="1"/>
        </w:rPr>
        <w:t>et al.</w:t>
      </w:r>
      <w:r>
        <w:t xml:space="preserve"> (2026) compararam configurações de agente único, independentes, centralizadas, descentralizadas e híbridas em diferentes benchmarks.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t>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handoffs, chamadas de ferramentas, consumo de tokens, latência, ocorrência de erros e qualidade da resposta. Essa relação entre desenho arquitetural e eventos observáveis sustenta a comparação proposta pelo MAB, sem antecipar resultados: orquestração, workflow e swarm representam formas distintas de distribuir controle, e sua adequação ao atendimento farmacêutico deve ser determinada pelas evidências do experimento.</w:t>
      </w:r>
    </w:p>
    <w:p>
      <w:pPr>
        <w:pStyle w:val="Heading2"/>
        <w:numPr>
          <w:ilvl w:val="1"/>
          <w:numId w:val="10"/>
        </w:numPr>
      </w:pPr>
      <w:bookmarkStart w:id="1019" w:name="_TCC_H_1019"/>
      <w:r>
        <w:t>ATENDIMENTO EM FARMÁCIAS</w:t>
      </w:r>
      <w:bookmarkEnd w:id="1019"/>
    </w:p>
    <w:p>
      <w:pPr>
        <w:pStyle w:val="Heading3"/>
        <w:numPr>
          <w:ilvl w:val="2"/>
          <w:numId w:val="10"/>
        </w:numPr>
      </w:pPr>
      <w:bookmarkStart w:id="1020" w:name="_TCC_H_1020"/>
      <w:r>
        <w:t>Estrutura do atendimento farmacêutico</w:t>
      </w:r>
      <w:bookmarkEnd w:id="1020"/>
    </w:p>
    <w:p>
      <w:pPr/>
      <w: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0"/>
        </w:numPr>
      </w:pPr>
      <w:bookmarkStart w:id="1021" w:name="_TCC_H_1021"/>
      <w:r>
        <w:t>Desafios operacionais</w:t>
      </w:r>
      <w:bookmarkEnd w:id="1021"/>
    </w:p>
    <w:p>
      <w:pPr/>
      <w: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0"/>
        </w:numPr>
      </w:pPr>
      <w:bookmarkStart w:id="1022" w:name="_TCC_H_1022"/>
      <w:r>
        <w:t>Oportunidades de automação</w:t>
      </w:r>
      <w:bookmarkEnd w:id="1022"/>
    </w:p>
    <w:p>
      <w:pPr/>
      <w: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0"/>
        </w:numPr>
      </w:pPr>
      <w:bookmarkStart w:id="1023" w:name="_TCC_H_1023"/>
      <w:r>
        <w:t>TRABALHOS CORRELATOS</w:t>
      </w:r>
      <w:bookmarkEnd w:id="1023"/>
    </w:p>
    <w:p>
      <w:pPr/>
      <w: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t>Os trabalhos analisados neste capítulo tratam de temas complementares ao desenvolvimento desta pesquisa. De um lado, foram considerados estudos sobre sistemas multiagentes, arquiteturas de coordenação, workflows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t>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workflow, swarm, descentralização e aplicações em domínios particulares, como serviços farmacêuticos.</w:t>
      </w:r>
    </w:p>
    <w:p>
      <w:pPr>
        <w:pStyle w:val="Heading2"/>
        <w:numPr>
          <w:ilvl w:val="1"/>
          <w:numId w:val="10"/>
        </w:numPr>
      </w:pPr>
      <w:bookmarkStart w:id="1024" w:name="_TCC_H_1024"/>
      <w:r>
        <w:t>SISTEMAS DE ATENDIMENTO AUTOMATIZADO</w:t>
      </w:r>
      <w:bookmarkEnd w:id="1024"/>
    </w:p>
    <w:p>
      <w:pPr/>
      <w:r>
        <w:t>Jagatap, Merugu e Comar (2025) investigam a automação do processamento de prescrições no contexto farmacêutico digital. A metodologia consiste em uma solução em etapas, ou pipeline, baseada em LLM, OCR, extração de medicamentos e correspondência com catálogo. Nesse caso, pipeline significa uma sequência organizada de etapas, em que a saída de uma etapa serve como entrada para a próxima.</w:t>
      </w:r>
    </w:p>
    <w:p>
      <w:pPr/>
      <w:r>
        <w:t>Como resultado, o sistema melhora o Recall@3 em relação a métodos anteriores. O termo recall é uma métrica usada para medir a capacidade de um sistema encontrar corretamente os itens relevantes. No caso do Recall@3,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recall ajuda a mostrar que aplicações de IA em farmácias também precisam ser avaliadas por métricas objetivas de qualidade, e não apenas por funcionamento geral.</w:t>
      </w:r>
    </w:p>
    <w:p>
      <w:pPr/>
      <w: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t xml:space="preserve">Hatzimanolis </w:t>
      </w:r>
      <w:r>
        <w:rPr>
          <w:i w:val="1"/>
          <w:iCs w:val="1"/>
        </w:rPr>
        <w:t>et al.</w:t>
      </w:r>
      <w:r>
        <w:t xml:space="preserve"> (2025) tratam do uso atual de IA na prática farmacêutica. A metodologia é uma scoping review,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0"/>
        </w:numPr>
      </w:pPr>
      <w:bookmarkStart w:id="1025" w:name="_TCC_H_1025"/>
      <w:r>
        <w:t xml:space="preserve"> SISTEMAS MULTIAGENTES APLICADOS</w:t>
      </w:r>
      <w:bookmarkEnd w:id="1025"/>
    </w:p>
    <w:p>
      <w:pPr/>
      <w:r>
        <w:t xml:space="preserve">Li </w:t>
      </w:r>
      <w:r>
        <w:rPr>
          <w:i w:val="1"/>
          <w:iCs w:val="1"/>
        </w:rPr>
        <w:t>et al.</w:t>
      </w:r>
      <w: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t xml:space="preserve">Piccialli </w:t>
      </w:r>
      <w:r>
        <w:rPr>
          <w:i w:val="1"/>
          <w:iCs w:val="1"/>
        </w:rPr>
        <w:t>et al.</w:t>
      </w:r>
      <w: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t xml:space="preserve">Balaprakash </w:t>
      </w:r>
      <w:r>
        <w:rPr>
          <w:i w:val="1"/>
          <w:iCs w:val="1"/>
        </w:rPr>
        <w:t>et al.</w:t>
      </w:r>
      <w:r>
        <w:t xml:space="preserve"> (2025) tratam das limitações de modelos tradicionais de workflow em ambientes distribuídos. O trabalho propõe uma estrutura descentralizada baseada em swarm intelligence, ou inteligência de enxame. Esse conceito se refere a sistemas nos quais múltiplos agentes simples interagem entre si e produzem um comportamento coletivo, sem depender totalmente de um controlador central.</w:t>
      </w:r>
    </w:p>
    <w:p>
      <w:pPr/>
      <w:r>
        <w:t>Esse estudo é relevante porque aproxima a discussão da arquitetura swarm, uma das abordagens consideradas neste projeto. A lógica descentralizada pode oferecer maior flexibilidade, mas também pode trazer desafios de controle, rastreabilidade e consistência. Essa tensão é importante para a comparação proposta neste trabalho.</w:t>
      </w:r>
    </w:p>
    <w:p>
      <w:pPr/>
      <w:r>
        <w:t xml:space="preserve">Kim </w:t>
      </w:r>
      <w:r>
        <w:rPr>
          <w:i w:val="1"/>
          <w:iCs w:val="1"/>
        </w:rPr>
        <w:t>et al.</w:t>
      </w:r>
      <w: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benchmarks. Nesse contexto, benchmark significa um conjunto de testes padronizados usado para comparar o desempenho de diferentes soluções. Os autores também utilizam o termo baseline, que representa um resultado de referência usado como ponto de comparação.</w:t>
      </w:r>
    </w:p>
    <w:p>
      <w:pPr/>
      <w:r>
        <w:t>Os resultados mostram que não existe uma arquitetura universalmente melhor. Sistemas multiagentes podem superar o baseline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workflow e swarm.</w:t>
      </w:r>
    </w:p>
    <w:p>
      <w:pPr>
        <w:pStyle w:val="Heading2"/>
        <w:numPr>
          <w:ilvl w:val="1"/>
          <w:numId w:val="10"/>
        </w:numPr>
      </w:pPr>
      <w:bookmarkStart w:id="1026" w:name="_TCC_H_1026"/>
      <w:r>
        <w:t>COMPARAÇÃO COM SOLUÇÕES EXISTENTES</w:t>
      </w:r>
      <w:bookmarkEnd w:id="1026"/>
    </w:p>
    <w:p>
      <w:pPr>
        <w:spacing w:before="240" w:after="120"/>
        <w:ind w:firstLine="0"/>
        <w:jc w:val="center"/>
      </w:pPr>
      <w:r>
        <w:rPr>
          <w:rFonts w:ascii="Arial" w:hAnsi="Arial"/>
          <w:b w:val="0"/>
          <w:i w:val="0"/>
          <w:sz w:val="22"/>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
              <w:rPr>
                <w:rFonts w:ascii="Arial" w:hAnsi="Arial"/>
                <w:b/>
                <w:i w:val="0"/>
                <w:sz w:val="18"/>
              </w:rPr>
              <w:t>Autor</w:t>
            </w:r>
          </w:p>
        </w:tc>
        <w:tc>
          <w:tcPr>
            <w:tcW w:type="dxa" w:w="1814"/>
            <w:vAlign w:val="center"/>
            <w:tcMar>
              <w:top w:w="80" w:type="dxa"/>
              <w:bottom w:w="80" w:type="dxa"/>
              <w:start w:w="90" w:type="dxa"/>
              <w:end w:w="90" w:type="dxa"/>
            </w:tcMar>
          </w:tcPr>
          <w:p>
            <w:pPr>
              <w:spacing w:line="240" w:lineRule="auto"/>
              <w:ind w:firstLine="0"/>
              <w:jc w:val="center"/>
            </w:pPr>
            <w:r/>
            <w:r>
              <w:rPr>
                <w:rFonts w:ascii="Arial" w:hAnsi="Arial"/>
                <w:b/>
                <w:i w:val="0"/>
                <w:sz w:val="18"/>
              </w:rPr>
              <w:t>Título</w:t>
            </w:r>
          </w:p>
        </w:tc>
        <w:tc>
          <w:tcPr>
            <w:tcW w:type="dxa" w:w="1871"/>
            <w:vAlign w:val="center"/>
            <w:tcMar>
              <w:top w:w="80" w:type="dxa"/>
              <w:bottom w:w="80" w:type="dxa"/>
              <w:start w:w="90" w:type="dxa"/>
              <w:end w:w="90" w:type="dxa"/>
            </w:tcMar>
          </w:tcPr>
          <w:p>
            <w:pPr>
              <w:spacing w:line="240" w:lineRule="auto"/>
              <w:ind w:firstLine="0"/>
              <w:jc w:val="center"/>
            </w:pPr>
            <w:r/>
            <w:r>
              <w:rPr>
                <w:rFonts w:ascii="Arial" w:hAnsi="Arial"/>
                <w:b/>
                <w:i w:val="0"/>
                <w:sz w:val="18"/>
              </w:rPr>
              <w:t>Problema</w:t>
            </w:r>
          </w:p>
        </w:tc>
        <w:tc>
          <w:tcPr>
            <w:tcW w:type="dxa" w:w="2155"/>
            <w:vAlign w:val="center"/>
            <w:tcMar>
              <w:top w:w="80" w:type="dxa"/>
              <w:bottom w:w="80" w:type="dxa"/>
              <w:start w:w="90" w:type="dxa"/>
              <w:end w:w="90" w:type="dxa"/>
            </w:tcMar>
          </w:tcPr>
          <w:p>
            <w:pPr>
              <w:spacing w:line="240" w:lineRule="auto"/>
              <w:ind w:firstLine="0"/>
              <w:jc w:val="center"/>
            </w:pPr>
            <w:r/>
            <w:r>
              <w:rPr>
                <w:rFonts w:ascii="Arial" w:hAnsi="Arial"/>
                <w:b/>
                <w:i w:val="0"/>
                <w:sz w:val="18"/>
              </w:rPr>
              <w:t>Metodologia / Ferramenta</w:t>
            </w:r>
          </w:p>
        </w:tc>
        <w:tc>
          <w:tcPr>
            <w:tcW w:type="dxa" w:w="2041"/>
            <w:vAlign w:val="center"/>
            <w:tcMar>
              <w:top w:w="80" w:type="dxa"/>
              <w:bottom w:w="80" w:type="dxa"/>
              <w:start w:w="90" w:type="dxa"/>
              <w:end w:w="90" w:type="dxa"/>
            </w:tcMar>
          </w:tcPr>
          <w:p>
            <w:pPr>
              <w:spacing w:line="240" w:lineRule="auto"/>
              <w:ind w:firstLine="0"/>
              <w:jc w:val="center"/>
            </w:pPr>
            <w:r/>
            <w:r>
              <w:rPr>
                <w:rFonts w:ascii="Arial" w:hAnsi="Arial"/>
                <w:b/>
                <w:i w:val="0"/>
                <w:sz w:val="18"/>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
              <w:rPr>
                <w:rFonts w:ascii="Arial" w:hAnsi="Arial"/>
                <w:b w:val="0"/>
                <w:i w:val="0"/>
                <w:sz w:val="18"/>
              </w:rPr>
              <w:t xml:space="preserve">Li </w:t>
            </w:r>
            <w:r>
              <w:rPr>
                <w:rFonts w:ascii="Arial" w:hAnsi="Arial"/>
                <w:b w:val="0"/>
                <w:i w:val="1"/>
                <w:sz w:val="18"/>
                <w:iCs w:val="1"/>
              </w:rPr>
              <w:t>et al.</w:t>
            </w:r>
            <w:r>
              <w:rPr>
                <w:rFonts w:ascii="Arial" w:hAnsi="Arial"/>
                <w:b w:val="0"/>
                <w:i w:val="0"/>
                <w:sz w:val="18"/>
              </w:rPr>
              <w:t xml:space="preserve"> (2024)</w:t>
            </w:r>
          </w:p>
        </w:tc>
        <w:tc>
          <w:tcPr>
            <w:tcW w:type="dxa" w:w="1814"/>
            <w:vAlign w:val="center"/>
            <w:tcMar>
              <w:top w:w="80" w:type="dxa"/>
              <w:bottom w:w="80" w:type="dxa"/>
              <w:start w:w="90" w:type="dxa"/>
              <w:end w:w="90" w:type="dxa"/>
            </w:tcMar>
          </w:tcPr>
          <w:p>
            <w:pPr>
              <w:spacing w:line="240" w:lineRule="auto"/>
              <w:ind w:firstLine="0"/>
              <w:jc w:val="left"/>
            </w:pPr>
            <w:r/>
            <w:r>
              <w:rPr>
                <w:rFonts w:ascii="Arial" w:hAnsi="Arial"/>
                <w:b w:val="0"/>
                <w:i w:val="0"/>
                <w:sz w:val="18"/>
              </w:rPr>
              <w:t>A survey on LLM based multi-agent systems:  workflow, infrastructure, and challenges</w:t>
            </w:r>
          </w:p>
        </w:tc>
        <w:tc>
          <w:tcPr>
            <w:tcW w:type="dxa" w:w="1871"/>
            <w:vAlign w:val="center"/>
            <w:tcMar>
              <w:top w:w="80" w:type="dxa"/>
              <w:bottom w:w="80" w:type="dxa"/>
              <w:start w:w="90" w:type="dxa"/>
              <w:end w:w="90" w:type="dxa"/>
            </w:tcMar>
          </w:tcPr>
          <w:p>
            <w:pPr>
              <w:spacing w:line="240" w:lineRule="auto"/>
              <w:ind w:firstLine="0"/>
              <w:jc w:val="left"/>
            </w:pPr>
            <w:r/>
            <w:r>
              <w:rPr>
                <w:rFonts w:ascii="Arial" w:hAnsi="Arial"/>
                <w:b w:val="0"/>
                <w:i w:val="0"/>
                <w:sz w:val="18"/>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
              <w:rPr>
                <w:rFonts w:ascii="Arial" w:hAnsi="Arial"/>
                <w:b w:val="0"/>
                <w:i w:val="0"/>
                <w:sz w:val="18"/>
              </w:rPr>
              <w:t>Revisão sistemática; análise por componentes de workflow</w:t>
            </w:r>
          </w:p>
        </w:tc>
        <w:tc>
          <w:tcPr>
            <w:tcW w:type="dxa" w:w="2041"/>
            <w:vAlign w:val="center"/>
            <w:tcMar>
              <w:top w:w="80" w:type="dxa"/>
              <w:bottom w:w="80" w:type="dxa"/>
              <w:start w:w="90" w:type="dxa"/>
              <w:end w:w="90" w:type="dxa"/>
            </w:tcMar>
          </w:tcPr>
          <w:p>
            <w:pPr>
              <w:spacing w:line="240" w:lineRule="auto"/>
              <w:ind w:firstLine="0"/>
              <w:jc w:val="left"/>
            </w:pPr>
            <w:r/>
            <w:r>
              <w:rPr>
                <w:rFonts w:ascii="Arial" w:hAnsi="Arial"/>
                <w:b w:val="0"/>
                <w:i w:val="0"/>
                <w:sz w:val="18"/>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
              <w:rPr>
                <w:rFonts w:ascii="Arial" w:hAnsi="Arial"/>
                <w:b w:val="0"/>
                <w:i w:val="0"/>
                <w:sz w:val="18"/>
              </w:rPr>
              <w:t xml:space="preserve">Piccialli </w:t>
            </w:r>
            <w:r>
              <w:rPr>
                <w:rFonts w:ascii="Arial" w:hAnsi="Arial"/>
                <w:b w:val="0"/>
                <w:i w:val="1"/>
                <w:sz w:val="18"/>
                <w:iCs w:val="1"/>
              </w:rPr>
              <w:t>et al.</w:t>
            </w:r>
            <w:r>
              <w:rPr>
                <w:rFonts w:ascii="Arial" w:hAnsi="Arial"/>
                <w:b w:val="0"/>
                <w:i w:val="0"/>
                <w:sz w:val="18"/>
              </w:rPr>
              <w:t xml:space="preserve"> (2025)</w:t>
            </w:r>
          </w:p>
        </w:tc>
        <w:tc>
          <w:tcPr>
            <w:tcW w:type="dxa" w:w="1814"/>
            <w:vAlign w:val="center"/>
            <w:tcMar>
              <w:top w:w="80" w:type="dxa"/>
              <w:bottom w:w="80" w:type="dxa"/>
              <w:start w:w="90" w:type="dxa"/>
              <w:end w:w="90" w:type="dxa"/>
            </w:tcMar>
          </w:tcPr>
          <w:p>
            <w:pPr>
              <w:spacing w:line="240" w:lineRule="auto"/>
              <w:ind w:firstLine="0"/>
              <w:jc w:val="left"/>
            </w:pPr>
            <w:r/>
            <w:r>
              <w:rPr>
                <w:rFonts w:ascii="Arial" w:hAnsi="Arial"/>
                <w:b w:val="0"/>
                <w:i w:val="0"/>
                <w:sz w:val="18"/>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
              <w:rPr>
                <w:rFonts w:ascii="Arial" w:hAnsi="Arial"/>
                <w:b w:val="0"/>
                <w:i w:val="0"/>
                <w:sz w:val="18"/>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
              <w:rPr>
                <w:rFonts w:ascii="Arial" w:hAnsi="Arial"/>
                <w:b w:val="0"/>
                <w:i w:val="0"/>
                <w:sz w:val="18"/>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
              <w:rPr>
                <w:rFonts w:ascii="Arial" w:hAnsi="Arial"/>
                <w:b w:val="0"/>
                <w:i w:val="0"/>
                <w:sz w:val="18"/>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
              <w:rPr>
                <w:rFonts w:ascii="Arial" w:hAnsi="Arial"/>
                <w:b w:val="0"/>
                <w:i w:val="0"/>
                <w:sz w:val="18"/>
              </w:rPr>
              <w:t xml:space="preserve">Balaprakash </w:t>
            </w:r>
            <w:r>
              <w:rPr>
                <w:rFonts w:ascii="Arial" w:hAnsi="Arial"/>
                <w:b w:val="0"/>
                <w:i w:val="1"/>
                <w:sz w:val="18"/>
                <w:iCs w:val="1"/>
              </w:rPr>
              <w:t>et al.</w:t>
            </w:r>
            <w:r>
              <w:rPr>
                <w:rFonts w:ascii="Arial" w:hAnsi="Arial"/>
                <w:b w:val="0"/>
                <w:i w:val="0"/>
                <w:sz w:val="18"/>
              </w:rPr>
              <w:t xml:space="preserve"> (2025)</w:t>
            </w:r>
          </w:p>
        </w:tc>
        <w:tc>
          <w:tcPr>
            <w:tcW w:type="dxa" w:w="1814"/>
            <w:vAlign w:val="center"/>
            <w:tcMar>
              <w:top w:w="80" w:type="dxa"/>
              <w:bottom w:w="80" w:type="dxa"/>
              <w:start w:w="90" w:type="dxa"/>
              <w:end w:w="90" w:type="dxa"/>
            </w:tcMar>
          </w:tcPr>
          <w:p>
            <w:pPr>
              <w:spacing w:line="240" w:lineRule="auto"/>
              <w:ind w:firstLine="0"/>
              <w:jc w:val="left"/>
            </w:pPr>
            <w:r/>
            <w:r>
              <w:rPr>
                <w:rFonts w:ascii="Arial" w:hAnsi="Arial"/>
                <w:b w:val="0"/>
                <w:i w:val="0"/>
                <w:sz w:val="18"/>
              </w:rPr>
              <w:t>SWARM: Reimagining scientific workflow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
              <w:rPr>
                <w:rFonts w:ascii="Arial" w:hAnsi="Arial"/>
                <w:b w:val="0"/>
                <w:i w:val="0"/>
                <w:sz w:val="18"/>
              </w:rPr>
              <w:t>Rigidez de workflows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
              <w:rPr>
                <w:rFonts w:ascii="Arial" w:hAnsi="Arial"/>
                <w:b w:val="0"/>
                <w:i w:val="0"/>
                <w:sz w:val="18"/>
              </w:rPr>
              <w:t>Framework descentralizado com swarm intelligence</w:t>
            </w:r>
          </w:p>
        </w:tc>
        <w:tc>
          <w:tcPr>
            <w:tcW w:type="dxa" w:w="2041"/>
            <w:vAlign w:val="center"/>
            <w:tcMar>
              <w:top w:w="80" w:type="dxa"/>
              <w:bottom w:w="80" w:type="dxa"/>
              <w:start w:w="90" w:type="dxa"/>
              <w:end w:w="90" w:type="dxa"/>
            </w:tcMar>
          </w:tcPr>
          <w:p>
            <w:pPr>
              <w:spacing w:line="240" w:lineRule="auto"/>
              <w:ind w:firstLine="0"/>
              <w:jc w:val="left"/>
            </w:pPr>
            <w:r/>
            <w:r>
              <w:rPr>
                <w:rFonts w:ascii="Arial" w:hAnsi="Arial"/>
                <w:b w:val="0"/>
                <w:i w:val="0"/>
                <w:sz w:val="18"/>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
              <w:rPr>
                <w:rFonts w:ascii="Arial" w:hAnsi="Arial"/>
                <w:b w:val="0"/>
                <w:i w:val="0"/>
                <w:sz w:val="18"/>
              </w:rPr>
              <w:t xml:space="preserve">Kim </w:t>
            </w:r>
            <w:r>
              <w:rPr>
                <w:rFonts w:ascii="Arial" w:hAnsi="Arial"/>
                <w:b w:val="0"/>
                <w:i w:val="1"/>
                <w:sz w:val="18"/>
                <w:iCs w:val="1"/>
              </w:rPr>
              <w:t>et al.</w:t>
            </w:r>
            <w:r>
              <w:rPr>
                <w:rFonts w:ascii="Arial" w:hAnsi="Arial"/>
                <w:b w:val="0"/>
                <w:i w:val="0"/>
                <w:sz w:val="18"/>
              </w:rPr>
              <w:t xml:space="preserve"> (2025/2026)</w:t>
            </w:r>
          </w:p>
        </w:tc>
        <w:tc>
          <w:tcPr>
            <w:tcW w:type="dxa" w:w="1814"/>
            <w:vAlign w:val="center"/>
            <w:tcMar>
              <w:top w:w="80" w:type="dxa"/>
              <w:bottom w:w="80" w:type="dxa"/>
              <w:start w:w="90" w:type="dxa"/>
              <w:end w:w="90" w:type="dxa"/>
            </w:tcMar>
          </w:tcPr>
          <w:p>
            <w:pPr>
              <w:spacing w:line="240" w:lineRule="auto"/>
              <w:ind w:firstLine="0"/>
              <w:jc w:val="left"/>
            </w:pPr>
            <w:r/>
            <w:r>
              <w:rPr>
                <w:rFonts w:ascii="Arial" w:hAnsi="Arial"/>
                <w:b w:val="0"/>
                <w:i w:val="0"/>
                <w:sz w:val="18"/>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
              <w:rPr>
                <w:rFonts w:ascii="Arial" w:hAnsi="Arial"/>
                <w:b w:val="0"/>
                <w:i w:val="0"/>
                <w:sz w:val="18"/>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
              <w:rPr>
                <w:rFonts w:ascii="Arial" w:hAnsi="Arial"/>
                <w:b w:val="0"/>
                <w:i w:val="0"/>
                <w:sz w:val="18"/>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
              <w:rPr>
                <w:rFonts w:ascii="Arial" w:hAnsi="Arial"/>
                <w:b w:val="0"/>
                <w:i w:val="0"/>
                <w:sz w:val="18"/>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
              <w:rPr>
                <w:rFonts w:ascii="Arial" w:hAnsi="Arial"/>
                <w:b w:val="0"/>
                <w:i w:val="0"/>
                <w:sz w:val="18"/>
              </w:rPr>
              <w:t xml:space="preserve">Jagatap </w:t>
            </w:r>
            <w:r>
              <w:rPr>
                <w:rFonts w:ascii="Arial" w:hAnsi="Arial"/>
                <w:b w:val="0"/>
                <w:i w:val="1"/>
                <w:sz w:val="18"/>
                <w:iCs w:val="1"/>
              </w:rPr>
              <w:t>et al.</w:t>
            </w:r>
            <w:r>
              <w:rPr>
                <w:rFonts w:ascii="Arial" w:hAnsi="Arial"/>
                <w:b w:val="0"/>
                <w:i w:val="0"/>
                <w:sz w:val="18"/>
              </w:rPr>
              <w:t xml:space="preserve"> (2025)</w:t>
            </w:r>
          </w:p>
        </w:tc>
        <w:tc>
          <w:tcPr>
            <w:tcW w:type="dxa" w:w="1814"/>
            <w:vAlign w:val="center"/>
            <w:tcMar>
              <w:top w:w="80" w:type="dxa"/>
              <w:bottom w:w="80" w:type="dxa"/>
              <w:start w:w="90" w:type="dxa"/>
              <w:end w:w="90" w:type="dxa"/>
            </w:tcMar>
          </w:tcPr>
          <w:p>
            <w:pPr>
              <w:spacing w:line="240" w:lineRule="auto"/>
              <w:ind w:firstLine="0"/>
              <w:jc w:val="left"/>
            </w:pPr>
            <w:r/>
            <w:r>
              <w:rPr>
                <w:rFonts w:ascii="Arial" w:hAnsi="Arial"/>
                <w:b w:val="0"/>
                <w:i w:val="0"/>
                <w:sz w:val="18"/>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
              <w:rPr>
                <w:rFonts w:ascii="Arial" w:hAnsi="Arial"/>
                <w:b w:val="0"/>
                <w:i w:val="0"/>
                <w:sz w:val="18"/>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
              <w:rPr>
                <w:rFonts w:ascii="Arial" w:hAnsi="Arial"/>
                <w:b w:val="0"/>
                <w:i w:val="0"/>
                <w:sz w:val="18"/>
              </w:rPr>
              <w:t>Pipeline com LLM, OCR, extração e matching</w:t>
            </w:r>
          </w:p>
        </w:tc>
        <w:tc>
          <w:tcPr>
            <w:tcW w:type="dxa" w:w="2041"/>
            <w:vAlign w:val="center"/>
            <w:tcMar>
              <w:top w:w="80" w:type="dxa"/>
              <w:bottom w:w="80" w:type="dxa"/>
              <w:start w:w="90" w:type="dxa"/>
              <w:end w:w="90" w:type="dxa"/>
            </w:tcMar>
          </w:tcPr>
          <w:p>
            <w:pPr>
              <w:spacing w:line="240" w:lineRule="auto"/>
              <w:ind w:firstLine="0"/>
              <w:jc w:val="left"/>
            </w:pPr>
            <w:r/>
            <w:r>
              <w:rPr>
                <w:rFonts w:ascii="Arial" w:hAnsi="Arial"/>
                <w:b w:val="0"/>
                <w:i w:val="0"/>
                <w:sz w:val="18"/>
              </w:rPr>
              <w:t>Melhora recall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
              <w:rPr>
                <w:rFonts w:ascii="Arial" w:hAnsi="Arial"/>
                <w:b w:val="0"/>
                <w:i w:val="0"/>
                <w:sz w:val="18"/>
              </w:rPr>
              <w:t xml:space="preserve">Hatzimanolis </w:t>
            </w:r>
            <w:r>
              <w:rPr>
                <w:rFonts w:ascii="Arial" w:hAnsi="Arial"/>
                <w:b w:val="0"/>
                <w:i w:val="1"/>
                <w:sz w:val="18"/>
                <w:iCs w:val="1"/>
              </w:rPr>
              <w:t>et al.</w:t>
            </w:r>
            <w:r>
              <w:rPr>
                <w:rFonts w:ascii="Arial" w:hAnsi="Arial"/>
                <w:b w:val="0"/>
                <w:i w:val="0"/>
                <w:sz w:val="18"/>
              </w:rPr>
              <w:t xml:space="preserve"> (2025)</w:t>
            </w:r>
          </w:p>
        </w:tc>
        <w:tc>
          <w:tcPr>
            <w:tcW w:type="dxa" w:w="1814"/>
            <w:vAlign w:val="center"/>
            <w:tcMar>
              <w:top w:w="80" w:type="dxa"/>
              <w:bottom w:w="80" w:type="dxa"/>
              <w:start w:w="90" w:type="dxa"/>
              <w:end w:w="90" w:type="dxa"/>
            </w:tcMar>
          </w:tcPr>
          <w:p>
            <w:pPr>
              <w:spacing w:line="240" w:lineRule="auto"/>
              <w:ind w:firstLine="0"/>
              <w:jc w:val="left"/>
            </w:pPr>
            <w:r/>
            <w:r>
              <w:rPr>
                <w:rFonts w:ascii="Arial" w:hAnsi="Arial"/>
                <w:b w:val="0"/>
                <w:i w:val="0"/>
                <w:sz w:val="18"/>
              </w:rPr>
              <w:t>Applications of artificial intelligence in current pharmacy practice: A scoping review</w:t>
            </w:r>
          </w:p>
        </w:tc>
        <w:tc>
          <w:tcPr>
            <w:tcW w:type="dxa" w:w="1871"/>
            <w:vAlign w:val="center"/>
            <w:tcMar>
              <w:top w:w="80" w:type="dxa"/>
              <w:bottom w:w="80" w:type="dxa"/>
              <w:start w:w="90" w:type="dxa"/>
              <w:end w:w="90" w:type="dxa"/>
            </w:tcMar>
          </w:tcPr>
          <w:p>
            <w:pPr>
              <w:spacing w:line="240" w:lineRule="auto"/>
              <w:ind w:firstLine="0"/>
              <w:jc w:val="left"/>
            </w:pPr>
            <w:r/>
            <w:r>
              <w:rPr>
                <w:rFonts w:ascii="Arial" w:hAnsi="Arial"/>
                <w:b w:val="0"/>
                <w:i w:val="0"/>
                <w:sz w:val="18"/>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
              <w:rPr>
                <w:rFonts w:ascii="Arial" w:hAnsi="Arial"/>
                <w:b w:val="0"/>
                <w:i w:val="0"/>
                <w:sz w:val="18"/>
              </w:rPr>
              <w:t>Scoping review com PRISMA-ScR</w:t>
            </w:r>
          </w:p>
        </w:tc>
        <w:tc>
          <w:tcPr>
            <w:tcW w:type="dxa" w:w="2041"/>
            <w:vAlign w:val="center"/>
            <w:tcMar>
              <w:top w:w="80" w:type="dxa"/>
              <w:bottom w:w="80" w:type="dxa"/>
              <w:start w:w="90" w:type="dxa"/>
              <w:end w:w="90" w:type="dxa"/>
            </w:tcMar>
          </w:tcPr>
          <w:p>
            <w:pPr>
              <w:spacing w:line="240" w:lineRule="auto"/>
              <w:ind w:firstLine="0"/>
              <w:jc w:val="left"/>
            </w:pPr>
            <w:r/>
            <w:r>
              <w:rPr>
                <w:rFonts w:ascii="Arial" w:hAnsi="Arial"/>
                <w:b w:val="0"/>
                <w:i w:val="0"/>
                <w:sz w:val="18"/>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
              <w:rPr>
                <w:rFonts w:ascii="Arial" w:hAnsi="Arial"/>
                <w:b w:val="0"/>
                <w:i w:val="0"/>
                <w:sz w:val="18"/>
              </w:rPr>
              <w:t>MAB</w:t>
            </w:r>
          </w:p>
        </w:tc>
        <w:tc>
          <w:tcPr>
            <w:tcW w:type="dxa" w:w="1814"/>
            <w:vAlign w:val="center"/>
            <w:tcMar>
              <w:top w:w="80" w:type="dxa"/>
              <w:bottom w:w="80" w:type="dxa"/>
              <w:start w:w="90" w:type="dxa"/>
              <w:end w:w="90" w:type="dxa"/>
            </w:tcMar>
          </w:tcPr>
          <w:p>
            <w:pPr>
              <w:spacing w:line="240" w:lineRule="auto"/>
              <w:ind w:firstLine="0"/>
              <w:jc w:val="left"/>
            </w:pPr>
            <w:r/>
            <w:r>
              <w:rPr>
                <w:rFonts w:ascii="Arial" w:hAnsi="Arial"/>
                <w:b w:val="0"/>
                <w:i w:val="0"/>
                <w:sz w:val="18"/>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
              <w:rPr>
                <w:rFonts w:ascii="Arial" w:hAnsi="Arial"/>
                <w:b w:val="0"/>
                <w:i w:val="0"/>
                <w:sz w:val="18"/>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
              <w:rPr>
                <w:rFonts w:ascii="Arial" w:hAnsi="Arial"/>
                <w:b w:val="0"/>
                <w:i w:val="0"/>
                <w:sz w:val="18"/>
              </w:rPr>
              <w:t>Protótipo experimental com orquestração, workflow e swarm;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
              <w:rPr>
                <w:rFonts w:ascii="Arial" w:hAnsi="Arial"/>
                <w:b w:val="0"/>
                <w:i w:val="0"/>
                <w:sz w:val="18"/>
              </w:rPr>
              <w:t>Busca comparar arquiteturas no mesmo cenário, isolando o efeito da coordenação no comportamento do sistema</w:t>
            </w:r>
          </w:p>
        </w:tc>
      </w:tr>
    </w:tbl>
    <w:p>
      <w:pPr>
        <w:pStyle w:val="TableSource"/>
      </w:pPr>
      <w:r>
        <w:t>Fonte: elaborado pelos autores, 2026.</w:t>
      </w:r>
    </w:p>
    <w:p>
      <w:pPr>
        <w:pStyle w:val="Heading2"/>
        <w:numPr>
          <w:ilvl w:val="1"/>
          <w:numId w:val="10"/>
        </w:numPr>
      </w:pPr>
      <w:bookmarkStart w:id="1027" w:name="_TCC_H_1027"/>
      <w:r>
        <w:t>LACUNAS IDENTIFICADAS</w:t>
      </w:r>
      <w:bookmarkEnd w:id="1027"/>
    </w:p>
    <w:p>
      <w:pPr/>
      <w: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t>A lacuna identificada está justamente na comparação entre diferentes arquiteturas de coordenação dentro de um mesmo contexto farmacêutico. Em outras palavras, ainda há espaço para investigar como modelos como orquestração centralizada, workflow estruturado e swarm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t xml:space="preserve">As referências escolhidas foram mantidas porque sustentam, cada uma, uma parte essencial do problema: Li </w:t>
      </w:r>
      <w:r>
        <w:rPr>
          <w:i w:val="1"/>
          <w:iCs w:val="1"/>
        </w:rPr>
        <w:t>et al.</w:t>
      </w:r>
      <w:r>
        <w:t xml:space="preserve"> e Piccialli </w:t>
      </w:r>
      <w:r>
        <w:rPr>
          <w:i w:val="1"/>
          <w:iCs w:val="1"/>
        </w:rPr>
        <w:t>et al.</w:t>
      </w:r>
      <w:r>
        <w:t xml:space="preserve"> organizam o campo dos sistemas multiagentes; Balaprakash </w:t>
      </w:r>
      <w:r>
        <w:rPr>
          <w:i w:val="1"/>
          <w:iCs w:val="1"/>
        </w:rPr>
        <w:t>et al.</w:t>
      </w:r>
      <w:r>
        <w:t xml:space="preserve"> e Kim </w:t>
      </w:r>
      <w:r>
        <w:rPr>
          <w:i w:val="1"/>
          <w:iCs w:val="1"/>
        </w:rPr>
        <w:t>et al.</w:t>
      </w:r>
      <w:r>
        <w:t xml:space="preserve"> aproximam a discussão da comparação arquitetural entre centralização, workflow e descentralização; Jagatap </w:t>
      </w:r>
      <w:r>
        <w:rPr>
          <w:i w:val="1"/>
          <w:iCs w:val="1"/>
        </w:rPr>
        <w:t>et al.</w:t>
      </w:r>
      <w:r>
        <w:t xml:space="preserve"> e Hatzimanolis </w:t>
      </w:r>
      <w:r>
        <w:rPr>
          <w:i w:val="1"/>
          <w:iCs w:val="1"/>
        </w:rPr>
        <w:t>et al.</w:t>
      </w:r>
      <w: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0"/>
        </w:numPr>
      </w:pPr>
      <w:bookmarkStart w:id="1028" w:name="_TCC_H_1028"/>
      <w:r>
        <w:t>METODOLOGIA</w:t>
      </w:r>
      <w:bookmarkEnd w:id="1028"/>
    </w:p>
    <w:p>
      <w:pPr>
        <w:pStyle w:val="Heading2"/>
        <w:numPr>
          <w:ilvl w:val="1"/>
          <w:numId w:val="10"/>
        </w:numPr>
      </w:pPr>
      <w:bookmarkStart w:id="1029" w:name="_TCC_H_1029"/>
      <w:r>
        <w:t>TIPO DE PESQUISA</w:t>
      </w:r>
      <w:bookmarkEnd w:id="1029"/>
    </w:p>
    <w:p>
      <w:pPr/>
      <w: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numPr>
          <w:ilvl w:val="1"/>
          <w:numId w:val="10"/>
        </w:numPr>
      </w:pPr>
      <w:bookmarkStart w:id="1030" w:name="_TCC_H_1030"/>
      <w:r>
        <w:t>ETAPAS DO TRABALHO</w:t>
      </w:r>
      <w:bookmarkEnd w:id="1030"/>
    </w:p>
    <w:p>
      <w:pPr/>
      <w:r>
        <w:t>A revisão bibliográfica realizada até este estágio é classificada como revisão estruturada da literatura, e não como revisão sistemática. Foram usadas expressões relacionadas a sistemas multiagentes baseados em LLMs, orquestração, workflow, swarm,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t>O desenvolvimento tecnológico foi dividido em quatro etapas: modelagem de uma interface comum de execução; implementação das arquiteturas centralizada, workflow e swarm; instrumentação de eventos e métricas; e preparação dos cenários comparáveis. A etapa experimental utilizará a mesma entrada, conjunto de ferramentas, modelo, configuração e limites operacionais para as três arquiteturas. Ordem de execução, repetições, seed quando disponível, versão do código e parâmetros do modelo deverão ser preservados junto aos artefatos do experimento.</w:t>
      </w:r>
    </w:p>
    <w:p>
      <w:pPr/>
      <w: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numPr>
          <w:ilvl w:val="1"/>
          <w:numId w:val="10"/>
        </w:numPr>
      </w:pPr>
      <w:bookmarkStart w:id="1031" w:name="_TCC_H_1031"/>
      <w:r>
        <w:t>DEFINIÇÃO DO PROBLEMA E HIPÓTESES</w:t>
      </w:r>
      <w:bookmarkEnd w:id="1031"/>
    </w:p>
    <w:p>
      <w:pPr/>
      <w:r>
        <w:t>A pergunta de pesquisa é: como a escolha entre orquestração centralizada, workflow estruturado e coordenação descentralizada por handoffs influencia a eficiência operacional, a qualidade das respostas e o custo de coordenação de um sistema de atendimento farmacêutico, quando as demais condições são mantidas constantes?</w:t>
      </w:r>
    </w:p>
    <w:p>
      <w:pPr/>
      <w:r>
        <w:t>As hipóteses foram formuladas de maneira não direcional para evitar presumir uma arquitetura vencedora antes dos testes:</w:t>
      </w:r>
    </w:p>
    <w:p>
      <w:pPr>
        <w:numPr>
          <w:ilvl w:val="0"/>
          <w:numId w:val="11"/>
        </w:numPr>
      </w:pPr>
      <w:r>
        <w:t>H0: não existe diferença estatisticamente detectável entre as arquiteturas nas métricas primárias definidas no protocolo.</w:t>
      </w:r>
    </w:p>
    <w:p>
      <w:pPr>
        <w:numPr>
          <w:ilvl w:val="0"/>
          <w:numId w:val="11"/>
        </w:numPr>
      </w:pPr>
      <w:r>
        <w:t>H1: pelo menos uma arquitetura apresenta diferença estatisticamente detectável em uma ou mais métricas primárias.</w:t>
      </w:r>
    </w:p>
    <w:p>
      <w:pPr>
        <w:numPr>
          <w:ilvl w:val="0"/>
          <w:numId w:val="11"/>
        </w:numPr>
      </w:pPr>
      <w:r>
        <w:t>H2: o efeito da arquitetura depende do tipo de cenário, especialmente da necessidade de ferramentas, anexos, continuidade de contexto ou revisão humana.</w:t>
      </w:r>
    </w:p>
    <w:p>
      <w:pPr/>
      <w:r>
        <w:t>As hipóteses permanecem com status de proposta até aprovação dos autores e congelamento do protocolo. Qualquer alteração posterior à coleta deverá ser identificada como exploratória e registrada no histórico.</w:t>
      </w:r>
    </w:p>
    <w:p>
      <w:pPr>
        <w:pStyle w:val="Heading2"/>
        <w:numPr>
          <w:ilvl w:val="1"/>
          <w:numId w:val="10"/>
        </w:numPr>
      </w:pPr>
      <w:bookmarkStart w:id="1032" w:name="_TCC_H_1032"/>
      <w:r>
        <w:t>MÉTRICAS DE AVALIAÇÃO</w:t>
      </w:r>
      <w:bookmarkEnd w:id="1032"/>
    </w:p>
    <w:p>
      <w:pPr/>
      <w:r>
        <w:t>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handoffs serão contados a partir da telemetria; e a taxa de revisão corresponderá à proporção de execuções encaminhadas para avaliação humana.</w:t>
      </w:r>
    </w:p>
    <w:p>
      <w:pPr/>
      <w:r>
        <w:t>A qualidade da resposta não será inferida apenas pelo sucesso técnico. Ela exigirá uma rubrica que considere correção em relação ao cenário, aderência à intenção, segurança, completude e clareza. A escolha entre avaliação humana, LLM-as-Judge ou abordagem híbrida permanece aberta na OQ-002. Até essa decisão, a métrica de qualidade é um campo metodológico pendente e não será calculada retroativamente sem registrar a versão da rubrica.</w:t>
      </w:r>
    </w:p>
    <w:p>
      <w:pPr/>
      <w: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numPr>
          <w:ilvl w:val="0"/>
          <w:numId w:val="10"/>
        </w:numPr>
      </w:pPr>
      <w:bookmarkStart w:id="1033" w:name="_TCC_H_1033"/>
      <w:r>
        <w:t>MODELAGEM DA SOLUÇÃO</w:t>
      </w:r>
      <w:bookmarkEnd w:id="1033"/>
    </w:p>
    <w:p>
      <w:pPr>
        <w:pStyle w:val="Heading2"/>
        <w:numPr>
          <w:ilvl w:val="1"/>
          <w:numId w:val="10"/>
        </w:numPr>
      </w:pPr>
      <w:bookmarkStart w:id="1034" w:name="_TCC_H_1034"/>
      <w:r>
        <w:t>VISÃO GERAL DO SISTEMA</w:t>
      </w:r>
      <w:bookmarkEnd w:id="1034"/>
    </w:p>
    <w:p>
      <w:pPr/>
      <w:r>
        <w:t>O MAB foi modelado para comparar estratégias de coordenação sem alterar o domínio, as ferramentas ou o formato de entrada. O sistema recebe mensagens de atendimento, persiste a conversa, cria uma execução identificada como run e encaminha a solicitação ao serviço responsável pelos agentes. A arquitetura selecionada processa o mesmo contrato de entrada e devolve, além do texto final, eventos que descrevem decisões, ferramentas, transferências e necessidade de revisão.</w:t>
      </w:r>
    </w:p>
    <w:p>
      <w:pPr/>
      <w:r>
        <w:t>A separação entre canal, API e runtime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0"/>
        </w:numPr>
      </w:pPr>
      <w:bookmarkStart w:id="1035" w:name="_TCC_H_1035"/>
      <w:r>
        <w:t>ARQUITETURA PROPOSTA</w:t>
      </w:r>
      <w:bookmarkEnd w:id="1035"/>
    </w:p>
    <w:p>
      <w:pPr/>
      <w:r>
        <w:t>A solução é organizada em três camadas. A camada de interação recebe mensagens e exibe respostas, eventos e painéis de acompanhamento. A API transacional gerencia conversas, mensagens, anexos, runs e persistência. O runtime dos agentes implementa uma interface comum de execução e registra as arquiteturas centralized_orchestration, structured_workflow e decentralized_swarm.</w:t>
      </w:r>
    </w:p>
    <w:p>
      <w:pPr/>
      <w:r>
        <w:t>Todas as estratégias recebem o mesmo objeto de requisição, que inclui a mensagem atual, histórico recente, anexos e metadados. O contexto de execução concentra emissão de eventos, contagem de tokens, chamadas de ferramentas, loops, handoffs e tempo decorrido. Essa interface comum é essencial para a validade interna da comparação, pois reduz diferenças que não pertencem à arquitetura avaliada.</w:t>
      </w:r>
    </w:p>
    <w:p>
      <w:pPr>
        <w:pStyle w:val="Heading2"/>
        <w:numPr>
          <w:ilvl w:val="1"/>
          <w:numId w:val="10"/>
        </w:numPr>
      </w:pPr>
      <w:bookmarkStart w:id="1036" w:name="_TCC_H_1036"/>
      <w:r>
        <w:t>COMPONENTES DO SISTEMA</w:t>
      </w:r>
      <w:bookmarkEnd w:id="1036"/>
    </w:p>
    <w:p>
      <w:pPr/>
      <w:r>
        <w:t>O supervisor da arquitetura centralizada classifica a mensagem, escolhe entre FAQ, estoque e análise de anexos e compõe a resposta. No workflow, agentes especializados executam estágios ordenados de classificação, coleta de evidência, revisão e síntese. No swarm, um coordenador inicia a delegação; especialistas de FAQ, estoque e anexos podem realizar handoffs entre pares; e um sintetizador produz a saída final quando necessário.</w:t>
      </w:r>
    </w:p>
    <w:p>
      <w:pPr/>
      <w:r>
        <w:t>As ferramentas de domínio são funções separadas dos agentes. Elas retornam dados de FAQ, disponibilidade simulada e informações iniciais sobre anexos. A revisão humana é representada por um indicador explícito na run. A telemetria utiliza eventos de início, conclusão e falha para nós, ferramentas, mensagens e handoffs, permitindo reconstruir o caminho de cada execução.</w:t>
      </w:r>
    </w:p>
    <w:p>
      <w:pPr/>
      <w:r>
        <w:t>O armazenamento relacional preserva conversas, mensagens e runs, enquanto anexos podem ser mantidos em armazenamento local ou compatível com S3. Contratos compartilhados reduzem divergências entre frontend, API e runtime. Nenhum desses componentes autoriza armazenamento de conversas reais do WhatsApp no repositório público.</w:t>
      </w:r>
    </w:p>
    <w:p>
      <w:pPr>
        <w:pStyle w:val="Heading2"/>
        <w:numPr>
          <w:ilvl w:val="1"/>
          <w:numId w:val="10"/>
        </w:numPr>
      </w:pPr>
      <w:bookmarkStart w:id="1037" w:name="_TCC_H_1037"/>
      <w:r>
        <w:t>FLUXO DE ATENDIMENTO</w:t>
      </w:r>
      <w:bookmarkEnd w:id="1037"/>
    </w:p>
    <w:p>
      <w:pPr/>
      <w:r>
        <w:t>O fluxo inicia com a normalização da mensagem e a seleção da arquitetura pelos metadados da conversa ou da run. Em seguida, a API despacha a solicitação ao runtime e publica eventos de processamento. A arquitetura interpreta o contexto, aciona ferramentas e produz a resposta. Quando identifica conteúdo clínico, insuficiência de evidência ou outro critério de risco, a execução é marcada para revisão humana.</w:t>
      </w:r>
    </w:p>
    <w:p>
      <w:pPr/>
      <w:r>
        <w:t>Na arquitetura centralizada, as decisões passam por um supervisor. No workflow, cada etapa só começa depois da anterior, com responsabilidades previsíveis. No swarm, as transferências são registradas como handoffs e limitadas por configuração. Ao final, o runtime devolve texto, desfecho, contagens e identificador de trace; a API persiste o resultado e a interface atualiza o atendimento por eventos enviados ao cliente.</w:t>
      </w:r>
    </w:p>
    <w:p>
      <w:pPr>
        <w:pStyle w:val="Heading1"/>
        <w:numPr>
          <w:ilvl w:val="0"/>
          <w:numId w:val="10"/>
        </w:numPr>
      </w:pPr>
      <w:bookmarkStart w:id="1038" w:name="_TCC_H_1038"/>
      <w:r>
        <w:t>DESENVOLVIMENTO DO SISTEMA</w:t>
      </w:r>
      <w:bookmarkEnd w:id="1038"/>
    </w:p>
    <w:p>
      <w:pPr>
        <w:pStyle w:val="Heading2"/>
        <w:numPr>
          <w:ilvl w:val="1"/>
          <w:numId w:val="10"/>
        </w:numPr>
      </w:pPr>
      <w:bookmarkStart w:id="1039" w:name="_TCC_H_1039"/>
      <w:r>
        <w:t>TECNOLOGIAS UTILIZADAS</w:t>
      </w:r>
      <w:bookmarkEnd w:id="1039"/>
    </w:p>
    <w:p>
      <w:pPr/>
      <w:r>
        <w:t>O projeto utiliza uma stack dividida em backend transacional, frontend web e serviço de execução dos agentes. No backend, Python, FastAPI, Pydantic, SQLAlchemy, Alembic e PostgreSQL sustentam endpoints, validação e persistência. Server-Sent Events transmitem atualizações de processamento. Anexos podem ser armazenados localmente ou em serviço compatível com S3, com MinIO no ambiente local.</w:t>
      </w:r>
    </w:p>
    <w:p>
      <w:pPr/>
      <w:r>
        <w:t>O frontend utiliza Next.js, React, TypeScript e Tailwind CSS. A interface reúne workspace de chat, histórico, anexos, timeline operacional, revisão humana, inspeção técnica, dashboard e visualização dos fluxos. Contratos compartilhados em TypeScript mantêm alinhados os objetos usados pelo frontend e pela API.</w:t>
      </w:r>
    </w:p>
    <w:p>
      <w:pPr/>
      <w:r>
        <w:t>O runtime dos agentes utiliza Python, FastAPI, Strands Agents e AWS Bedrock quando o modo live está ativado. OpenTelemetry/OTLP pode exportar telemetria. O runtime também possui modo mock, empregado em testes determinísticos, no qual ferramentas e respostas controladas verificam contratos e sequências de eventos sem depender do modelo remoto.</w:t>
      </w:r>
    </w:p>
    <w:p>
      <w:pPr>
        <w:pStyle w:val="Heading2"/>
        <w:numPr>
          <w:ilvl w:val="1"/>
          <w:numId w:val="10"/>
        </w:numPr>
      </w:pPr>
      <w:bookmarkStart w:id="1040" w:name="_TCC_H_1040"/>
      <w:r>
        <w:t>IMPLEMENTAÇÃO DOS AGENTES</w:t>
      </w:r>
      <w:bookmarkEnd w:id="1040"/>
    </w:p>
    <w:p>
      <w:pPr/>
      <w:r>
        <w:t>Os agentes compartilham um contexto de execução que oferece histórico recente da conversa, mensagem atual, anexos e ferramentas. O contexto mede chamadas, erros, loops, handoffs, tokens e tempos até eventos públicos. A seleção de rota considera três intenções implementadas: perguntas frequentes, consulta de estoque e processamento de anexos.</w:t>
      </w:r>
    </w:p>
    <w:p>
      <w:pPr/>
      <w:r>
        <w:t>As ferramentas faq_lookup, stock_lookup e attachment_intake encapsulam a lógica de domínio. No modo live, hooks registram o início e o término de cada chamada. Se a invocação do modelo falha ou não está habilitada, o runtime utiliza respostas mock explicitamente identificadas, evitando apresentar a simulação como execução real.</w:t>
      </w:r>
    </w:p>
    <w:p>
      <w:pPr>
        <w:pStyle w:val="Heading2"/>
        <w:numPr>
          <w:ilvl w:val="1"/>
          <w:numId w:val="10"/>
        </w:numPr>
      </w:pPr>
      <w:bookmarkStart w:id="1041" w:name="_TCC_H_1041"/>
      <w:r>
        <w:t>IMPLEMENTAÇÃO DAS ARQUITETURAS</w:t>
      </w:r>
      <w:bookmarkEnd w:id="1041"/>
    </w:p>
    <w:p>
      <w:pPr/>
      <w:r>
        <w:t>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handoffs entre pares.</w:t>
      </w:r>
    </w:p>
    <w:p>
      <w:pPr/>
      <w:r>
        <w:t>O workflow estruturado implementa um pipeline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t>O swarm descentralizado utiliza uma ferramenta de handoff.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handoff e loop.</w:t>
      </w:r>
    </w:p>
    <w:p>
      <w:pPr>
        <w:pStyle w:val="Heading2"/>
        <w:numPr>
          <w:ilvl w:val="1"/>
          <w:numId w:val="10"/>
        </w:numPr>
      </w:pPr>
      <w:bookmarkStart w:id="1042" w:name="_TCC_H_1042"/>
      <w:r>
        <w:t>INTEGRAÇÃO COM FERRAMENTAS</w:t>
      </w:r>
      <w:bookmarkEnd w:id="1042"/>
    </w:p>
    <w:p>
      <w:pPr/>
      <w:r>
        <w:t>A API cria e acompanha runs, despacha a execução ao runtime e persiste o desfecho. Eventos técnicos descrevem nós, mensagens, ferramentas e handoffs, permitindo alimentar a timeline da interface e os relatórios comparativos. O benchmark existente executa os mesmos cenários contra as três arquiteturas e agrega sucesso, latência p50/p95, tokens, chamadas de ferramenta, erros, loops, handoffs e revisão humana.</w:t>
      </w:r>
    </w:p>
    <w:p>
      <w:pPr/>
      <w:r>
        <w:t>Os testes utilizam Pytest no backend e no runtime, Playwright no frontend e cenários declarativos em YAML para validação E2E. O framework atual verifica rota, eventos, termos esperados, termos proibidos e timeout. A avaliação semântica das respostas em modo live permanece pendente da definição metodológica registrada na OQ-002; portanto, ela não é tratada como resultado implementado.</w:t>
      </w:r>
    </w:p>
    <w:p>
      <w:pPr>
        <w:pStyle w:val="Heading1"/>
        <w:numPr>
          <w:ilvl w:val="0"/>
          <w:numId w:val="10"/>
        </w:numPr>
      </w:pPr>
      <w:bookmarkStart w:id="1043" w:name="_TCC_H_1043"/>
      <w:r>
        <w:t>EXPERIMENTOS E RESULTADOS</w:t>
      </w:r>
      <w:bookmarkEnd w:id="1043"/>
    </w:p>
    <w:p>
      <w:pPr>
        <w:pStyle w:val="Heading2"/>
        <w:numPr>
          <w:ilvl w:val="1"/>
          <w:numId w:val="10"/>
        </w:numPr>
      </w:pPr>
      <w:bookmarkStart w:id="1044" w:name="_TCC_H_1044"/>
      <w:r>
        <w:t>CENÁRIOS DE TESTE</w:t>
      </w:r>
      <w:bookmarkEnd w:id="1044"/>
    </w:p>
    <w:p>
      <w:pPr>
        <w:pStyle w:val="WorkingNote"/>
      </w:pPr>
      <w:r>
        <w:t>Placeholder protegido: descrever somente após congelamento do protocolo e preparação dos cenários.</w:t>
      </w:r>
    </w:p>
    <w:p>
      <w:pPr>
        <w:pStyle w:val="Heading2"/>
        <w:numPr>
          <w:ilvl w:val="1"/>
          <w:numId w:val="10"/>
        </w:numPr>
      </w:pPr>
      <w:bookmarkStart w:id="1045" w:name="_TCC_H_1045"/>
      <w:r>
        <w:t>MÉTRICAS ANALISADAS</w:t>
      </w:r>
      <w:bookmarkEnd w:id="1045"/>
    </w:p>
    <w:p>
      <w:pPr>
        <w:pStyle w:val="WorkingNote"/>
      </w:pPr>
      <w:r>
        <w:t>Placeholder protegido: preencher somente após aprovação das métricas e execução reproduzível.</w:t>
      </w:r>
    </w:p>
    <w:p>
      <w:pPr>
        <w:pStyle w:val="Heading2"/>
        <w:numPr>
          <w:ilvl w:val="1"/>
          <w:numId w:val="10"/>
        </w:numPr>
      </w:pPr>
      <w:bookmarkStart w:id="1046" w:name="_TCC_H_1046"/>
      <w:r>
        <w:t>RESULTADOS OBTIDOS</w:t>
      </w:r>
      <w:bookmarkEnd w:id="1046"/>
    </w:p>
    <w:p>
      <w:pPr>
        <w:pStyle w:val="WorkingNote"/>
      </w:pPr>
      <w:r>
        <w:t>Placeholder protegido: não inserir resultados antes da abertura humana do evidence gate.</w:t>
      </w:r>
    </w:p>
    <w:p>
      <w:pPr>
        <w:pStyle w:val="Heading2"/>
        <w:numPr>
          <w:ilvl w:val="1"/>
          <w:numId w:val="10"/>
        </w:numPr>
      </w:pPr>
      <w:bookmarkStart w:id="1047" w:name="_TCC_H_1047"/>
      <w:r>
        <w:t>COMPARAÇÃO ENTRE ARQUITETURAS</w:t>
      </w:r>
      <w:bookmarkEnd w:id="1047"/>
    </w:p>
    <w:p>
      <w:pPr>
        <w:pStyle w:val="WorkingNote"/>
      </w:pPr>
      <w:r>
        <w:t>Placeholder protegido: comparar apenas evidências revisadas pelos autores.</w:t>
      </w:r>
    </w:p>
    <w:p>
      <w:pPr>
        <w:pStyle w:val="Heading1"/>
        <w:numPr>
          <w:ilvl w:val="0"/>
          <w:numId w:val="10"/>
        </w:numPr>
      </w:pPr>
      <w:bookmarkStart w:id="1048" w:name="_TCC_H_1048"/>
      <w:r>
        <w:t>DISCUSSÃO</w:t>
      </w:r>
      <w:bookmarkEnd w:id="1048"/>
    </w:p>
    <w:p>
      <w:pPr>
        <w:pStyle w:val="Heading2"/>
        <w:numPr>
          <w:ilvl w:val="1"/>
          <w:numId w:val="10"/>
        </w:numPr>
      </w:pPr>
      <w:bookmarkStart w:id="1049" w:name="_TCC_H_1049"/>
      <w:r>
        <w:t>ANÁLISE DOS RESULTADOS</w:t>
      </w:r>
      <w:bookmarkEnd w:id="1049"/>
    </w:p>
    <w:p>
      <w:pPr>
        <w:pStyle w:val="WorkingNote"/>
      </w:pPr>
      <w:r>
        <w:t>Placeholder protegido: redigir somente após validação dos resultados.</w:t>
      </w:r>
    </w:p>
    <w:p>
      <w:pPr>
        <w:pStyle w:val="Heading2"/>
        <w:numPr>
          <w:ilvl w:val="1"/>
          <w:numId w:val="10"/>
        </w:numPr>
      </w:pPr>
      <w:bookmarkStart w:id="1050" w:name="_TCC_H_1050"/>
      <w:r>
        <w:t>VANTAGENS E LIMITAÇÕES</w:t>
      </w:r>
      <w:bookmarkEnd w:id="1050"/>
    </w:p>
    <w:p>
      <w:pPr>
        <w:pStyle w:val="WorkingNote"/>
      </w:pPr>
      <w:r>
        <w:t>Placeholder protegido: derivar das evidências e ameaças à validade verificadas.</w:t>
      </w:r>
    </w:p>
    <w:p>
      <w:pPr>
        <w:pStyle w:val="Heading2"/>
        <w:numPr>
          <w:ilvl w:val="1"/>
          <w:numId w:val="10"/>
        </w:numPr>
      </w:pPr>
      <w:bookmarkStart w:id="1051" w:name="_TCC_H_1051"/>
      <w:r>
        <w:t>IMPLICAÇÕES PRÁTICAS</w:t>
      </w:r>
      <w:bookmarkEnd w:id="1051"/>
    </w:p>
    <w:p>
      <w:pPr>
        <w:pStyle w:val="WorkingNote"/>
      </w:pPr>
      <w:r>
        <w:t>Placeholder protegido: não antecipar implicações sem resultados revisados.</w:t>
      </w:r>
    </w:p>
    <w:p>
      <w:pPr>
        <w:pStyle w:val="Heading1"/>
        <w:numPr>
          <w:ilvl w:val="0"/>
          <w:numId w:val="10"/>
        </w:numPr>
      </w:pPr>
      <w:bookmarkStart w:id="1052" w:name="_TCC_H_1052"/>
      <w:r>
        <w:t>CONSIDERAÇÕES FINAIS</w:t>
      </w:r>
      <w:bookmarkEnd w:id="1052"/>
    </w:p>
    <w:p>
      <w:pPr>
        <w:pStyle w:val="Heading2"/>
        <w:numPr>
          <w:ilvl w:val="1"/>
          <w:numId w:val="10"/>
        </w:numPr>
      </w:pPr>
      <w:bookmarkStart w:id="1053" w:name="_TCC_H_1053"/>
      <w:r>
        <w:t>CONCLUSÕES</w:t>
      </w:r>
      <w:bookmarkEnd w:id="1053"/>
    </w:p>
    <w:p>
      <w:pPr>
        <w:pStyle w:val="WorkingNote"/>
      </w:pPr>
      <w:r>
        <w:t>Placeholder protegido: responder à pergunta de pesquisa somente após os experimentos.</w:t>
      </w:r>
    </w:p>
    <w:p>
      <w:pPr>
        <w:pStyle w:val="Heading2"/>
        <w:numPr>
          <w:ilvl w:val="1"/>
          <w:numId w:val="10"/>
        </w:numPr>
      </w:pPr>
      <w:bookmarkStart w:id="1054" w:name="_TCC_H_1054"/>
      <w:r>
        <w:t>CONTRIBUIÇÕES DO TRABALHO</w:t>
      </w:r>
      <w:bookmarkEnd w:id="1054"/>
    </w:p>
    <w:p>
      <w:pPr>
        <w:pStyle w:val="WorkingNote"/>
      </w:pPr>
      <w:r>
        <w:t>Placeholder protegido: consolidar apenas contribuições sustentadas pelas evidências.</w:t>
      </w:r>
    </w:p>
    <w:p>
      <w:pPr>
        <w:pStyle w:val="Heading2"/>
        <w:numPr>
          <w:ilvl w:val="1"/>
          <w:numId w:val="10"/>
        </w:numPr>
      </w:pPr>
      <w:bookmarkStart w:id="1055" w:name="_TCC_H_1055"/>
      <w:r>
        <w:t>TRABALHOS FUTUROS</w:t>
      </w:r>
      <w:bookmarkEnd w:id="1055"/>
    </w:p>
    <w:p>
      <w:pPr>
        <w:pStyle w:val="WorkingNote"/>
      </w:pPr>
      <w:r>
        <w:t>Placeholder protegido: definir após discussão das limitações e resultados.</w:t>
      </w:r>
    </w:p>
    <w:p>
      <w:pPr>
        <w:pStyle w:val="FrontMatterHeading"/>
        <w:pageBreakBefore/>
      </w:pPr>
      <w:bookmarkStart w:id="1056" w:name="_TCC_H_1056"/>
      <w:r>
        <w:t>REFERÊNCIAS</w:t>
      </w:r>
      <w:bookmarkEnd w:id="1056"/>
    </w:p>
    <w:p>
      <w:pPr>
        <w:pStyle w:val="ReferenceEntry"/>
        <w:pageBreakBefore w:val="0"/>
      </w:pPr>
      <w:r>
        <w:t>ADA HEALTH. Health. Powered by Ada. Disponível em: https://ada.com/. Acesso em: 11 maio 2026.</w:t>
      </w:r>
    </w:p>
    <w:p>
      <w:pPr>
        <w:pStyle w:val="ReferenceEntry"/>
        <w:pageBreakBefore w:val="0"/>
      </w:pPr>
      <w:r>
        <w:t xml:space="preserve">ALVAREZ, Goar </w:t>
      </w:r>
      <w:r>
        <w:rPr>
          <w:i w:val="1"/>
          <w:iCs w:val="1"/>
        </w:rPr>
        <w:t>et al.</w:t>
      </w:r>
      <w:r>
        <w:t xml:space="preserve"> Community pharmacy working conditions: is stress impacting patient care? Exploratory Research in Clinical and Social Pharmacy, [S. l.], v. 20, art. 100641, 2025. DOI: 10.1016/j.rcsop.2025.100641. Disponível em: https://www.sciencedirect.com/science/article/pii/S2667276625000824. Acesso em: 30 mar. 2026.</w:t>
      </w:r>
    </w:p>
    <w:p>
      <w:pPr>
        <w:pStyle w:val="ReferenceEntry"/>
        <w:pageBreakBefore w:val="0"/>
      </w:pPr>
      <w:r>
        <w:t>AMAZON. Pharmacy AI Assistant FAQs. Disponível em: https://www.amazon.com/gp/help/customer/display.html?nodeId=TUr5MrIi8Cltxsx4cQ. Acesso em: 11 maio 2026.</w:t>
      </w:r>
    </w:p>
    <w:p>
      <w:pPr>
        <w:pStyle w:val="ReferenceEntry"/>
        <w:pageBreakBefore w:val="0"/>
      </w:pPr>
      <w:r>
        <w:t>AMAZON SCIENCE. The life of a prescription at Amazon Pharmacy. Disponível em: https://www.amazon.science/blog/the-life-of-a-prescription-at-amazon-pharmacy. Acesso em: 11 maio 2026.</w:t>
      </w:r>
    </w:p>
    <w:p>
      <w:pPr>
        <w:pStyle w:val="ReferenceEntry"/>
        <w:pageBreakBefore w:val="0"/>
      </w:pPr>
      <w:r>
        <w:t>ANTHROPIC. Building effective AI agents. 2024. Disponível em: https://www.anthropic.com/research/building-effective-agents. Acesso em: 20 mar. 2026.</w:t>
      </w:r>
    </w:p>
    <w:p>
      <w:pPr>
        <w:pStyle w:val="ReferenceEntry"/>
        <w:pageBreakBefore w:val="0"/>
      </w:pPr>
      <w:r>
        <w:t xml:space="preserve">BALAPRAKASH, Prasanna </w:t>
      </w:r>
      <w:r>
        <w:rPr>
          <w:i w:val="1"/>
          <w:iCs w:val="1"/>
        </w:rPr>
        <w:t>et al.</w:t>
      </w:r>
      <w:r>
        <w:t xml:space="preserve"> SWARM: reimagining scientific workflow management systems in a distributed world. International Journal of High Performance Computing Applications, [S. l.], v. 39, n. 5, p. 692-712, 2025. DOI: 10.1177/10943420251339317. Disponível em: https://doi.org/10.1177/10943420251339317. Acesso em: 30 mar. 2026.</w:t>
      </w:r>
    </w:p>
    <w:p>
      <w:pPr>
        <w:pStyle w:val="ReferenceEntry"/>
        <w:pageBreakBefore w:val="0"/>
      </w:pPr>
      <w:r>
        <w:t xml:space="preserve">BUESING, Eric </w:t>
      </w:r>
      <w:r>
        <w:rPr>
          <w:i w:val="1"/>
          <w:iCs w:val="1"/>
        </w:rPr>
        <w:t>et al.</w:t>
      </w:r>
      <w:r>
        <w:t xml:space="preserve"> Where is customer care in 2024? [S. l.]: McKinsey &amp; Company, 2024. Disponível em: https://www.mckinsey.com/capabilities/operations/our-insights/where-is-customer-care-in-2024. Acesso em: 30 mar. 2026.</w:t>
      </w:r>
    </w:p>
    <w:p>
      <w:pPr>
        <w:pStyle w:val="ReferenceEntry"/>
        <w:pageBreakBefore w:val="0"/>
      </w:pPr>
      <w:r>
        <w:t>FIP. An artificial intelligence toolkit for pharmacy: an introduction and resource guide for pharmacists. The Hague: International Pharmaceutical Federation, 2025. Disponível em: https://www.fip.org/file/6202. Acesso em: 30 mar. 2026.</w:t>
      </w:r>
    </w:p>
    <w:p>
      <w:pPr>
        <w:pStyle w:val="ReferenceEntry"/>
        <w:pageBreakBefore w:val="0"/>
      </w:pPr>
      <w:r>
        <w:t xml:space="preserve">HAMMOND, Lewis </w:t>
      </w:r>
      <w:r>
        <w:rPr>
          <w:i w:val="1"/>
          <w:iCs w:val="1"/>
        </w:rPr>
        <w:t>et al.</w:t>
      </w:r>
      <w:r>
        <w:t xml:space="preserve"> Multi-Agent Risks from Advanced AI. arXiv:2502.14143, 2025. Disponível em: https://arxiv.org/abs/2502.14143. Acesso em: 16 ago. 2026.</w:t>
      </w:r>
    </w:p>
    <w:p>
      <w:pPr>
        <w:pStyle w:val="ReferenceEntry"/>
        <w:pageBreakBefore w:val="0"/>
      </w:pPr>
      <w:r>
        <w:t xml:space="preserve">HATZIMANOLIS, Andrew </w:t>
      </w:r>
      <w:r>
        <w:rPr>
          <w:i w:val="1"/>
          <w:iCs w:val="1"/>
        </w:rPr>
        <w:t>et al.</w:t>
      </w:r>
      <w:r>
        <w:t xml:space="preserve"> Applications of artificial intelligence in current pharmacy practice: a scoping review. Research in Social and Administrative Pharmacy, [S. l.], v. 21, n. 3, p. 134-141, 2025. DOI: 10.1016/j.sapharm.2024.12.007. Disponível em: https://doi.org/10.1016/j.sapharm.2024.12.007. Acesso em: 30 mar. 2026.</w:t>
      </w:r>
    </w:p>
    <w:p>
      <w:pPr>
        <w:pStyle w:val="ReferenceEntry"/>
        <w:pageBreakBefore w:val="0"/>
      </w:pPr>
      <w:r>
        <w:t>INFERMEDICA. Symptom Checker. Disponível em: https://infermedica.com/product/symptom-checker. Acesso em: 11 maio 2026.</w:t>
      </w:r>
    </w:p>
    <w:p>
      <w:pPr>
        <w:pStyle w:val="ReferenceEntry"/>
        <w:pageBreakBefore w:val="0"/>
      </w:pPr>
      <w:r>
        <w:t>INTERCOM. Fin AI Agent explained. Disponível em: https://www.intercom.com/help/en/articles/7120684-fin-ai-agent-explained. Acesso em: 11 maio 2026.</w:t>
      </w:r>
    </w:p>
    <w:p>
      <w:pPr>
        <w:pStyle w:val="ReferenceEntry"/>
        <w:pageBreakBefore w:val="0"/>
      </w:pPr>
      <w:r>
        <w:t>JAGATAP, Akshay; MERUGU, Srujana; COMAR, Prakash Mandayam. RxLens: Multi-Agent LLM-powered Scan and Order for Pharmacy. In: Proceedings of the 2025 Conference of the Nations of the Americas Chapter of the Association for Computational Linguistics: Human Language Technologies, 2025, Albuquerque. [S. l.]: Association for Computational Linguistics, 2025. p. 822-832. DOI: 10.18653/v1/2025.naacl-industry.63.</w:t>
      </w:r>
    </w:p>
    <w:p>
      <w:pPr>
        <w:pStyle w:val="ReferenceEntry"/>
        <w:pageBreakBefore w:val="0"/>
      </w:pPr>
      <w:r>
        <w:t xml:space="preserve">KIM, Yubin </w:t>
      </w:r>
      <w:r>
        <w:rPr>
          <w:i w:val="1"/>
          <w:iCs w:val="1"/>
        </w:rPr>
        <w:t>et al.</w:t>
      </w:r>
      <w:r>
        <w:t xml:space="preserve"> Capable language models can outgrow the benefits of collaboration. Nature Machine Intelligence, [S. l.], v. 8, p. 1157-1172, 2026. DOI: 10.1038/s42256-026-01268-y. Disponível em: https://doi.org/10.1038/s42256-026-01268-y. Acesso em: 16 ago. 2026.</w:t>
      </w:r>
    </w:p>
    <w:p>
      <w:pPr>
        <w:pStyle w:val="ReferenceEntry"/>
        <w:pageBreakBefore w:val="0"/>
      </w:pPr>
      <w:r>
        <w:t xml:space="preserve">LI, Xinyi </w:t>
      </w:r>
      <w:r>
        <w:rPr>
          <w:i w:val="1"/>
          <w:iCs w:val="1"/>
        </w:rPr>
        <w:t>et al.</w:t>
      </w:r>
      <w:r>
        <w:t xml:space="preserve"> A survey on LLM-based multi-agent systems: workflow, infrastructure, and challenges. Vicinagearth, [S. l.], v. 1, art. 9, 2024. DOI: 10.1007/s44336-024-00009-2. Disponível em: https://link.springer.com/article/10.1007/s44336-024-00009-2. Acesso em: 30 mar. 2026.</w:t>
      </w:r>
    </w:p>
    <w:p>
      <w:pPr>
        <w:pStyle w:val="ReferenceEntry"/>
        <w:pageBreakBefore w:val="0"/>
      </w:pPr>
      <w:r>
        <w:t>MCKINSEY &amp; COMPANY. The state of AI in early 2024: gen AI adoption spikes and starts to generate value. [S. l.], 2024. Disponível em: https://www.mckinsey.com/capabilities/quantumblack/our-insights/the-state-of-ai-2024. Acesso em: 30 mar. 2026.</w:t>
      </w:r>
    </w:p>
    <w:p>
      <w:pPr>
        <w:pStyle w:val="ReferenceEntry"/>
        <w:pageBreakBefore w:val="0"/>
      </w:pPr>
      <w:r>
        <w:t>PGEU. Position paper on artificial intelligence. Brussels: Pharmaceutical Group of the European Union, 2025. Disponível em: https://www.pgeu.eu/wp-content/uploads/2025/06/PGEU-Position-Paper-on-Artificial-Intelligence.pdf. Acesso em: 30 mar. 2026.</w:t>
      </w:r>
    </w:p>
    <w:p>
      <w:pPr>
        <w:pStyle w:val="ReferenceEntry"/>
        <w:pageBreakBefore w:val="0"/>
      </w:pPr>
      <w:r>
        <w:t xml:space="preserve">PICCIALLI, Francesco </w:t>
      </w:r>
      <w:r>
        <w:rPr>
          <w:i w:val="1"/>
          <w:iCs w:val="1"/>
        </w:rPr>
        <w:t>et al.</w:t>
      </w:r>
      <w:r>
        <w:t xml:space="preserve"> AgentAI: a comprehensive survey on autonomous agents in distributed AI for industry 4.0. Expert Systems with Applications, [S. l.], v. 291, art. 128404, 2025. DOI: 10.1016/j.eswa.2025.128404. Disponível em: https://doi.org/10.1016/j.eswa.2025.128404. Acesso em: 16 ago. 2026.</w:t>
      </w:r>
    </w:p>
    <w:p>
      <w:pPr>
        <w:pStyle w:val="ReferenceEntry"/>
        <w:pageBreakBefore w:val="0"/>
      </w:pPr>
      <w:r>
        <w:t>SALESFORCE. AI Customer Service Agents. Disponível em: https://www.salesforce.com/service/ai/customer-service-agents/. Acesso em: 11 maio 2026.</w:t>
      </w:r>
    </w:p>
    <w:p>
      <w:pPr>
        <w:pStyle w:val="ReferenceEntry"/>
        <w:pageBreakBefore w:val="0"/>
      </w:pPr>
      <w:r>
        <w:t>STANFORD HAI. AI Index Report 2025. Stanford: Stanford Institute for Human-Centered Artificial Intelligence, 2025. Disponível em: https://hai.stanford.edu/ai-index. Acesso em: 30 mar. 2026.</w:t>
      </w:r>
    </w:p>
    <w:p>
      <w:pPr>
        <w:pStyle w:val="ReferenceEntry"/>
        <w:pageBreakBefore w:val="0"/>
      </w:pPr>
      <w:r>
        <w:t>WHO EUROPE. Advancing the role of pharmacists to meet changing patient and health system needs.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t xml:space="preserve">YU, Chaojia </w:t>
      </w:r>
      <w:r>
        <w:rPr>
          <w:i w:val="1"/>
          <w:iCs w:val="1"/>
        </w:rPr>
        <w:t>et al.</w:t>
      </w:r>
      <w:r>
        <w:t xml:space="preserve"> A survey on agent workflow: status and future. In: 2025 8th International Conference on Artificial Intelligence and Big Data (ICAIBD), 2025, Chengdu. [S. l.]: IEEE, 2025. p. 770-781. DOI: 10.1109/ICAIBD64986.2025.11082076. Disponível em: https://doi.org/10.1109/ICAIBD64986.2025.11082076. Acesso em: 30 mar. 2026.</w:t>
      </w:r>
    </w:p>
    <w:p>
      <w:pPr>
        <w:pStyle w:val="ReferenceEntry"/>
        <w:pageBreakBefore w:val="0"/>
      </w:pPr>
      <w:r>
        <w:t>ZENDESK. About AI agents.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709" w:left="0" w:right="0"/>
      <w:jc w:val="both"/>
    </w:pPr>
    <w:rPr>
      <w:rFonts w:ascii="Arial" w:hAnsi="Arial" w:eastAsia="Arial" w:cs="Arial"/>
      <w:b w:val="0"/>
      <w:caps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ind w:left="0" w:firstLine="0" w:right="0"/>
      <w:jc w:val="left"/>
      <w:outlineLvl w:val="0"/>
    </w:pPr>
    <w:rPr>
      <w:rFonts w:asciiTheme="majorHAnsi" w:eastAsiaTheme="majorEastAsia" w:hAnsiTheme="majorHAnsi" w:cstheme="majorBidi" w:ascii="Arial" w:hAnsi="Arial" w:eastAsia="Arial" w:cs="Arial"/>
      <w:b/>
      <w:bCs/>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360" w:line="360" w:lineRule="auto"/>
      <w:ind w:left="0" w:firstLine="0" w:right="0"/>
      <w:jc w:val="left"/>
      <w:outlineLvl w:val="1"/>
    </w:pPr>
    <w:rPr>
      <w:rFonts w:asciiTheme="majorHAnsi" w:eastAsiaTheme="majorEastAsia" w:hAnsiTheme="majorHAnsi" w:cstheme="majorBidi" w:ascii="Arial" w:hAnsi="Arial" w:eastAsia="Arial" w:cs="Arial"/>
      <w:b w:val="0"/>
      <w:bCs/>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0" w:after="360" w:line="360" w:lineRule="auto"/>
      <w:ind w:left="0" w:firstLine="0" w:right="0"/>
      <w:jc w:val="left"/>
      <w:outlineLvl w:val="2"/>
    </w:pPr>
    <w:rPr>
      <w:rFonts w:asciiTheme="majorHAnsi" w:eastAsiaTheme="majorEastAsia" w:hAnsiTheme="majorHAnsi" w:cstheme="majorBidi" w:ascii="Arial" w:hAnsi="Arial" w:eastAsia="Arial" w:cs="Arial"/>
      <w:b w:val="0"/>
      <w:bCs/>
      <w:caps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caps/>
      <w:color w:val="000000"/>
      <w:sz w:val="28"/>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spacing w:after="240" w:line="240" w:lineRule="auto" w:before="0"/>
      <w:ind w:firstLine="0" w:left="0" w:right="0"/>
      <w:jc w:val="left"/>
    </w:pPr>
    <w:rPr>
      <w:rFonts w:ascii="Arial" w:hAnsi="Arial" w:eastAsia="Arial" w:cs="Arial"/>
      <w:b w:val="0"/>
      <w:caps w:val="0"/>
      <w:color w:val="000000"/>
      <w:sz w:val="24"/>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firstLine="0" w:left="0" w:right="0"/>
      <w:jc w:val="left"/>
    </w:pPr>
    <w:rPr>
      <w:rFonts w:ascii="Arial" w:hAnsi="Arial" w:eastAsia="Arial" w:cs="Arial"/>
      <w:b/>
      <w:caps w:val="0"/>
      <w:color w:val="000000"/>
      <w:sz w:val="24"/>
    </w:rPr>
  </w:style>
  <w:style w:type="paragraph" w:customStyle="1" w:styleId="FacensTOC2">
    <w:name w:val="Facens TOC 2"/>
    <w:pPr>
      <w:keepLines/>
      <w:tabs>
        <w:tab w:pos="8646" w:val="right" w:leader="dot"/>
      </w:tabs>
      <w:spacing w:before="0" w:after="0" w:line="360" w:lineRule="auto"/>
      <w:ind w:firstLine="0" w:left="425" w:right="0"/>
      <w:jc w:val="left"/>
    </w:pPr>
    <w:rPr>
      <w:rFonts w:ascii="Arial" w:hAnsi="Arial" w:eastAsia="Arial" w:cs="Arial"/>
      <w:b w:val="0"/>
      <w:caps w:val="0"/>
      <w:color w:val="000000"/>
      <w:sz w:val="24"/>
    </w:rPr>
  </w:style>
  <w:style w:type="paragraph" w:customStyle="1" w:styleId="FacensTOC3">
    <w:name w:val="Facens TOC 3"/>
    <w:pPr>
      <w:keepLines/>
      <w:tabs>
        <w:tab w:pos="8220" w:val="right" w:leader="dot"/>
      </w:tabs>
      <w:spacing w:before="0" w:after="0" w:line="360" w:lineRule="auto"/>
      <w:ind w:firstLine="0" w:left="850" w:right="0"/>
      <w:jc w:val="left"/>
    </w:pPr>
    <w:rPr>
      <w:rFonts w:ascii="Arial" w:hAnsi="Arial" w:eastAsia="Arial" w:cs="Arial"/>
      <w:b w:val="0"/>
      <w:caps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