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34</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34</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36</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41</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14</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14</w:t>
        </w:r>
      </w:hyperlink>
    </w:p>
    <w:p>
      <w:pPr>
        <w:pStyle w:val="FacensTOC3"/>
        <w:tabs>
          <w:tab w:pos="9071" w:val="right" w:leader="dot"/>
        </w:tabs>
      </w:pPr>
      <w:hyperlink w:anchor="_TCC_H_1003" w:history="1">
        <w:r>
          <w:rPr>
            <w:rFonts w:ascii="Arial" w:hAnsi="Arial" w:eastAsia="Arial" w:cs="Arial"/>
            <w:color w:val="000000"/>
            <w:u w:val="none"/>
            <w:sz w:val="24"/>
          </w:rPr>
          <w:t>2.1.1 ESTRUTURA DO ATENDIMENTO FARMACÊUTICO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3"/>
        <w:tabs>
          <w:tab w:pos="9071" w:val="right" w:leader="dot"/>
        </w:tabs>
      </w:pPr>
      <w:hyperlink w:anchor="_TCC_H_1004" w:history="1">
        <w:r>
          <w:rPr>
            <w:rFonts w:ascii="Arial" w:hAnsi="Arial" w:eastAsia="Arial" w:cs="Arial"/>
            <w:color w:val="000000"/>
            <w:u w:val="none"/>
            <w:sz w:val="24"/>
          </w:rPr>
          <w:t>2.1.2 DESAFIOS OPERACIONAIS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2.1.3 OPORTUNIDADES DE AUTOMAÇÃO</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2"/>
        <w:tabs>
          <w:tab w:pos="9071" w:val="right" w:leader="dot"/>
        </w:tabs>
      </w:pPr>
      <w:hyperlink w:anchor="_TCC_H_1006"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2.2.1 CONCEITOS DE INTELIGÊNCIA ARTIFICIAL</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15</w:t>
        </w:r>
      </w:hyperlink>
    </w:p>
    <w:p>
      <w:pPr>
        <w:pStyle w:val="FacensTOC3"/>
        <w:tabs>
          <w:tab w:pos="9071" w:val="right" w:leader="dot"/>
        </w:tabs>
      </w:pPr>
      <w:hyperlink w:anchor="_TCC_H_1008" w:history="1">
        <w:r>
          <w:rPr>
            <w:rFonts w:ascii="Arial" w:hAnsi="Arial" w:eastAsia="Arial" w:cs="Arial"/>
            <w:color w:val="000000"/>
            <w:u w:val="none"/>
            <w:sz w:val="24"/>
          </w:rPr>
          <w:t>2.2.2 IA APLICADA AO ATENDIMENTO AO CLIENTE</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15</w:t>
        </w:r>
      </w:hyperlink>
    </w:p>
    <w:p>
      <w:pPr>
        <w:pStyle w:val="FacensTOC3"/>
        <w:tabs>
          <w:tab w:pos="9071" w:val="right" w:leader="dot"/>
        </w:tabs>
      </w:pPr>
      <w:hyperlink w:anchor="_TCC_H_1009" w:history="1">
        <w:r>
          <w:rPr>
            <w:rFonts w:ascii="Arial" w:hAnsi="Arial" w:eastAsia="Arial" w:cs="Arial"/>
            <w:color w:val="000000"/>
            <w:u w:val="none"/>
            <w:sz w:val="24"/>
          </w:rPr>
          <w:t>2.2.3 USO DE IA EM SAÚDE E FARMÁCIAS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15</w:t>
        </w:r>
      </w:hyperlink>
    </w:p>
    <w:p>
      <w:pPr>
        <w:pStyle w:val="FacensTOC2"/>
        <w:tabs>
          <w:tab w:pos="9071" w:val="right" w:leader="dot"/>
        </w:tabs>
      </w:pPr>
      <w:hyperlink w:anchor="_TCC_H_1010" w:history="1">
        <w:r>
          <w:rPr>
            <w:rFonts w:ascii="Arial" w:hAnsi="Arial" w:eastAsia="Arial" w:cs="Arial"/>
            <w:color w:val="000000"/>
            <w:u w:val="none"/>
            <w:sz w:val="24"/>
          </w:rPr>
          <w:t xml:space="preserve">2.3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16</w:t>
        </w:r>
      </w:hyperlink>
    </w:p>
    <w:p>
      <w:pPr>
        <w:pStyle w:val="FacensTOC3"/>
        <w:tabs>
          <w:tab w:pos="9071" w:val="right" w:leader="dot"/>
        </w:tabs>
      </w:pPr>
      <w:hyperlink w:anchor="_TCC_H_1011" w:history="1">
        <w:r>
          <w:rPr>
            <w:rFonts w:ascii="Arial" w:hAnsi="Arial" w:eastAsia="Arial" w:cs="Arial"/>
            <w:color w:val="000000"/>
            <w:u w:val="none"/>
            <w:sz w:val="24"/>
          </w:rPr>
          <w:t>2.3.1 CONCEITO DE LLM</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16</w:t>
        </w:r>
      </w:hyperlink>
    </w:p>
    <w:p>
      <w:pPr>
        <w:pStyle w:val="FacensTOC3"/>
        <w:tabs>
          <w:tab w:pos="9071" w:val="right" w:leader="dot"/>
        </w:tabs>
      </w:pPr>
      <w:hyperlink w:anchor="_TCC_H_1012" w:history="1">
        <w:r>
          <w:rPr>
            <w:rFonts w:ascii="Arial" w:hAnsi="Arial" w:eastAsia="Arial" w:cs="Arial"/>
            <w:color w:val="000000"/>
            <w:u w:val="none"/>
            <w:sz w:val="24"/>
          </w:rPr>
          <w:t>2.3.2 USO DE LLM EM 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16</w:t>
        </w:r>
      </w:hyperlink>
    </w:p>
    <w:p>
      <w:pPr>
        <w:pStyle w:val="FacensTOC3"/>
        <w:tabs>
          <w:tab w:pos="9071" w:val="right" w:leader="dot"/>
        </w:tabs>
      </w:pPr>
      <w:hyperlink w:anchor="_TCC_H_1013" w:history="1">
        <w:r>
          <w:rPr>
            <w:rFonts w:ascii="Arial" w:hAnsi="Arial" w:eastAsia="Arial" w:cs="Arial"/>
            <w:color w:val="000000"/>
            <w:u w:val="none"/>
            <w:sz w:val="24"/>
          </w:rPr>
          <w:t>2.3.3 FERRAMENTAS E INTEGRAÇÃO</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16</w:t>
        </w:r>
      </w:hyperlink>
    </w:p>
    <w:p>
      <w:pPr>
        <w:pStyle w:val="FacensTOC2"/>
        <w:tabs>
          <w:tab w:pos="9071" w:val="right" w:leader="dot"/>
        </w:tabs>
      </w:pPr>
      <w:hyperlink w:anchor="_TCC_H_1014"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17</w:t>
        </w:r>
      </w:hyperlink>
    </w:p>
    <w:p>
      <w:pPr>
        <w:pStyle w:val="FacensTOC3"/>
        <w:tabs>
          <w:tab w:pos="9071" w:val="right" w:leader="dot"/>
        </w:tabs>
      </w:pPr>
      <w:hyperlink w:anchor="_TCC_H_1015" w:history="1">
        <w:r>
          <w:rPr>
            <w:rFonts w:ascii="Arial" w:hAnsi="Arial" w:eastAsia="Arial" w:cs="Arial"/>
            <w:color w:val="000000"/>
            <w:u w:val="none"/>
            <w:sz w:val="24"/>
          </w:rPr>
          <w:t>2.4.1 DEFINIÇÃO E CARACTERÍSTICAS</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17</w:t>
        </w:r>
      </w:hyperlink>
    </w:p>
    <w:p>
      <w:pPr>
        <w:pStyle w:val="FacensTOC3"/>
        <w:tabs>
          <w:tab w:pos="9071" w:val="right" w:leader="dot"/>
        </w:tabs>
      </w:pPr>
      <w:hyperlink w:anchor="_TCC_H_1016" w:history="1">
        <w:r>
          <w:rPr>
            <w:rFonts w:ascii="Arial" w:hAnsi="Arial" w:eastAsia="Arial" w:cs="Arial"/>
            <w:color w:val="000000"/>
            <w:u w:val="none"/>
            <w:sz w:val="24"/>
          </w:rPr>
          <w:t>2.4.2 ARQUITETURA DE SISTEMAS MULTIAGENTES</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17</w:t>
        </w:r>
      </w:hyperlink>
    </w:p>
    <w:p>
      <w:pPr>
        <w:pStyle w:val="FacensTOC3"/>
        <w:tabs>
          <w:tab w:pos="9071" w:val="right" w:leader="dot"/>
        </w:tabs>
      </w:pPr>
      <w:hyperlink w:anchor="_TCC_H_1017" w:history="1">
        <w:r>
          <w:rPr>
            <w:rFonts w:ascii="Arial" w:hAnsi="Arial" w:eastAsia="Arial" w:cs="Arial"/>
            <w:color w:val="000000"/>
            <w:u w:val="none"/>
            <w:sz w:val="24"/>
          </w:rPr>
          <w:t>2.4.3 COMUNICAÇÃO E COORDENAÇÃO ENTRE AGENTES</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18</w:t>
        </w:r>
      </w:hyperlink>
    </w:p>
    <w:p>
      <w:pPr>
        <w:pStyle w:val="FacensTOC2"/>
        <w:tabs>
          <w:tab w:pos="9071" w:val="right" w:leader="dot"/>
        </w:tabs>
      </w:pPr>
      <w:hyperlink w:anchor="_TCC_H_1018"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19</w:t>
        </w:r>
      </w:hyperlink>
    </w:p>
    <w:p>
      <w:pPr>
        <w:pStyle w:val="FacensTOC3"/>
        <w:tabs>
          <w:tab w:pos="9071" w:val="right" w:leader="dot"/>
        </w:tabs>
      </w:pPr>
      <w:hyperlink w:anchor="_TCC_H_1019"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19</w:t>
        </w:r>
      </w:hyperlink>
    </w:p>
    <w:p>
      <w:pPr>
        <w:pStyle w:val="FacensTOC3"/>
        <w:tabs>
          <w:tab w:pos="9071" w:val="right" w:leader="dot"/>
        </w:tabs>
      </w:pPr>
      <w:hyperlink w:anchor="_TCC_H_1020" w:history="1">
        <w:r>
          <w:rPr>
            <w:rFonts w:ascii="Arial" w:hAnsi="Arial" w:eastAsia="Arial" w:cs="Arial"/>
            <w:color w:val="000000"/>
            <w:u w:val="none"/>
            <w:sz w:val="24"/>
          </w:rPr>
          <w:t xml:space="preserve">2.5.2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19</w:t>
        </w:r>
      </w:hyperlink>
    </w:p>
    <w:p>
      <w:pPr>
        <w:pStyle w:val="FacensTOC3"/>
        <w:tabs>
          <w:tab w:pos="9071" w:val="right" w:leader="dot"/>
        </w:tabs>
      </w:pPr>
      <w:hyperlink w:anchor="_TCC_H_1021" w:history="1">
        <w:r>
          <w:rPr>
            <w:rFonts w:ascii="Arial" w:hAnsi="Arial" w:eastAsia="Arial" w:cs="Arial"/>
            <w:color w:val="000000"/>
            <w:u w:val="none"/>
            <w:sz w:val="24"/>
          </w:rPr>
          <w:t>2.5.3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20</w:t>
        </w:r>
      </w:hyperlink>
    </w:p>
    <w:p>
      <w:pPr>
        <w:pStyle w:val="FacensTOC3"/>
        <w:tabs>
          <w:tab w:pos="9071" w:val="right" w:leader="dot"/>
        </w:tabs>
      </w:pPr>
      <w:hyperlink w:anchor="_TCC_H_1022" w:history="1">
        <w:r>
          <w:rPr>
            <w:rFonts w:ascii="Arial" w:hAnsi="Arial" w:eastAsia="Arial" w:cs="Arial"/>
            <w:color w:val="000000"/>
            <w:u w:val="none"/>
            <w:sz w:val="24"/>
          </w:rPr>
          <w:t>2.5.4 CARACTERÍSTICAS E DIFERENÇAS ENTRE AS ARQUITETURAS</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20</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23</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23</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24</w:t>
        </w:r>
      </w:hyperlink>
    </w:p>
    <w:p>
      <w:pPr>
        <w:pStyle w:val="FacensTOC2"/>
        <w:tabs>
          <w:tab w:pos="9071" w:val="right" w:leader="dot"/>
        </w:tabs>
      </w:pPr>
      <w:hyperlink w:anchor="_TCC_H_1026"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26</w:t>
        </w:r>
      </w:hyperlink>
    </w:p>
    <w:p>
      <w:pPr>
        <w:pStyle w:val="FacensTOC2"/>
        <w:tabs>
          <w:tab w:pos="9071" w:val="right" w:leader="dot"/>
        </w:tabs>
      </w:pPr>
      <w:hyperlink w:anchor="_TCC_H_1027"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29</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30</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30</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31</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32</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34</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35</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36</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37</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37</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38</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38</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38</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39</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41</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42</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43</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45</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45</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45</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45</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46</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47</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47</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47</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48</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48</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50</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50</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50</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50</w:t>
        </w:r>
      </w:hyperlink>
    </w:p>
    <w:p>
      <w:pPr>
        <w:pStyle w:val="FacensTOC3"/>
        <w:tabs>
          <w:tab w:pos="9071" w:val="right" w:leader="dot"/>
        </w:tabs>
      </w:pPr>
      <w:hyperlink w:anchor="_TCC_H_1058"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50</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51</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51</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51</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51</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52</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52</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52</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52</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53</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ATENDIMENTO EM FARMÁCIAS</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ESTRUTURA DO ATENDIMENTO FARMACÊUTICO</w:t>
      </w:r>
      <w:bookmarkEnd w:id="1003"/>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04" w:name="_TCC_H_1004"/>
      <w:r>
        <w:rPr>
          <w:rFonts w:ascii="Arial" w:hAnsi="Arial" w:eastAsia="Arial" w:cs="Arial"/>
          <w:b w:val="0"/>
          <w:caps/>
          <w:color w:val="000000"/>
          <w:sz w:val="24"/>
        </w:rPr>
        <w:t>DESAFIOS OPERACIONAIS</w:t>
      </w:r>
      <w:bookmarkEnd w:id="1004"/>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05" w:name="_TCC_H_1005"/>
      <w:r>
        <w:rPr>
          <w:rFonts w:ascii="Arial" w:hAnsi="Arial" w:eastAsia="Arial" w:cs="Arial"/>
          <w:b w:val="0"/>
          <w:caps/>
          <w:color w:val="000000"/>
          <w:sz w:val="24"/>
        </w:rPr>
        <w:t>OPORTUNIDADES DE AUTOMAÇÃO</w:t>
      </w:r>
      <w:bookmarkEnd w:id="1005"/>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2"/>
        <w:numPr>
          <w:ilvl w:val="1"/>
          <w:numId w:val="14"/>
        </w:numPr>
        <w:spacing w:before="360" w:after="360"/>
      </w:pPr>
      <w:bookmarkStart w:id="1006" w:name="_TCC_H_1006"/>
      <w:r>
        <w:rPr>
          <w:rFonts w:ascii="Arial" w:hAnsi="Arial" w:eastAsia="Arial" w:cs="Arial"/>
          <w:b/>
          <w:caps/>
          <w:color w:val="000000"/>
          <w:sz w:val="24"/>
        </w:rPr>
        <w:t>INTELIGÊNCIA ARTIFICIAL NO ATENDIMENTO</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CONCEITOS DE INTELIGÊNCIA ARTIFICIAL</w:t>
      </w:r>
      <w:bookmarkEnd w:id="1007"/>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8" w:name="_TCC_H_1008"/>
      <w:r>
        <w:rPr>
          <w:rFonts w:ascii="Arial" w:hAnsi="Arial" w:eastAsia="Arial" w:cs="Arial"/>
          <w:b w:val="0"/>
          <w:caps/>
          <w:color w:val="000000"/>
          <w:sz w:val="24"/>
        </w:rPr>
        <w:t>IA APLICADA AO ATENDIMENTO AO CLIENTE</w:t>
      </w:r>
      <w:bookmarkEnd w:id="1008"/>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9" w:name="_TCC_H_1009"/>
      <w:r>
        <w:rPr>
          <w:rFonts w:ascii="Arial" w:hAnsi="Arial" w:eastAsia="Arial" w:cs="Arial"/>
          <w:b w:val="0"/>
          <w:caps/>
          <w:color w:val="000000"/>
          <w:sz w:val="24"/>
        </w:rPr>
        <w:t>USO DE IA EM SAÚDE E FARMÁCIAS</w:t>
      </w:r>
      <w:bookmarkEnd w:id="1009"/>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10" w:name="_TCC_H_1010"/>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CONCEITO DE LLM</w:t>
      </w:r>
      <w:bookmarkEnd w:id="1011"/>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12" w:name="_TCC_H_1012"/>
      <w:r>
        <w:rPr>
          <w:rFonts w:ascii="Arial" w:hAnsi="Arial" w:eastAsia="Arial" w:cs="Arial"/>
          <w:b w:val="0"/>
          <w:caps/>
          <w:color w:val="000000"/>
          <w:sz w:val="24"/>
        </w:rPr>
        <w:t>USO DE LLM EM AGENTES</w:t>
      </w:r>
      <w:bookmarkEnd w:id="1012"/>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13" w:name="_TCC_H_1013"/>
      <w:r>
        <w:rPr>
          <w:rFonts w:ascii="Arial" w:hAnsi="Arial" w:eastAsia="Arial" w:cs="Arial"/>
          <w:b w:val="0"/>
          <w:caps/>
          <w:color w:val="000000"/>
          <w:sz w:val="24"/>
        </w:rPr>
        <w:t>FERRAMENTAS E INTEGRAÇÃO</w:t>
      </w:r>
      <w:bookmarkEnd w:id="1013"/>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4" w:name="_TCC_H_1014"/>
      <w:r>
        <w:rPr>
          <w:rFonts w:ascii="Arial" w:hAnsi="Arial" w:eastAsia="Arial" w:cs="Arial"/>
          <w:b/>
          <w:caps/>
          <w:color w:val="000000"/>
          <w:sz w:val="24"/>
        </w:rPr>
        <w:t>SISTEMAS MULTIAGENTES</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DEFINIÇÃO E CARACTERÍSTICAS</w:t>
      </w:r>
      <w:bookmarkEnd w:id="1015"/>
    </w:p>
    <w:p>
      <w:pPr/>
      <w:r>
        <w:rPr>
          <w:rFonts w:ascii="Arial" w:hAnsi="Arial" w:eastAsia="Arial" w:cs="Arial"/>
          <w:color w:val="000000"/>
          <w:sz w:val="24"/>
        </w:rPr>
        <w:t>Um sistema multiagente é formado por unidades computacionais que percebem informações, tomam decisões e atuam em um ambiente compartilhado, preservando algum grau de autonomia local. O comportamento global resulta da capacidade de cada agente e das regras que distribuem responsabilidades, informações e autoridade. Isso diferencia um sistema multiagente de uma aplicação que apenas realiza chamadas independentes a modelos: a colaboração exige uma estrutura comum de objetivos, comunicação e coordenação.</w:t>
      </w:r>
    </w:p>
    <w:p>
      <w:pPr/>
      <w:r>
        <w:rPr>
          <w:rFonts w:ascii="Arial" w:hAnsi="Arial" w:eastAsia="Arial" w:cs="Arial"/>
          <w:color w:val="000000"/>
          <w:sz w:val="24"/>
        </w:rPr>
        <w:t xml:space="preserve">Nos sistemas baseados em </w:t>
      </w:r>
      <w:r>
        <w:rPr>
          <w:rFonts w:ascii="Arial" w:hAnsi="Arial" w:eastAsia="Arial" w:cs="Arial"/>
          <w:i w:val="1"/>
          <w:color w:val="000000"/>
          <w:sz w:val="24"/>
          <w:iCs w:val="1"/>
        </w:rPr>
        <w:t>Large Language Models</w:t>
      </w:r>
      <w:r>
        <w:rPr>
          <w:rFonts w:ascii="Arial" w:hAnsi="Arial" w:eastAsia="Arial" w:cs="Arial"/>
          <w:color w:val="000000"/>
          <w:sz w:val="24"/>
        </w:rPr>
        <w:t xml:space="preserve">, os agentes podem ser diferenciados por instruções, papéis, ferramentas, fontes de conhecimento e permissões. Um agente pode classificar a solicitação, outro recuperar evidências e um terceiro sintetizar a resposta. Li </w:t>
      </w:r>
      <w:r>
        <w:rPr>
          <w:rFonts w:ascii="Arial" w:hAnsi="Arial" w:eastAsia="Arial" w:cs="Arial"/>
          <w:i w:val="1"/>
          <w:iCs w:val="1"/>
          <w:color w:val="000000"/>
          <w:sz w:val="24"/>
        </w:rPr>
        <w:t>et al.</w:t>
      </w:r>
      <w:r>
        <w:rPr>
          <w:rFonts w:ascii="Arial" w:hAnsi="Arial" w:eastAsia="Arial" w:cs="Arial"/>
          <w:color w:val="000000"/>
          <w:sz w:val="24"/>
        </w:rPr>
        <w:t xml:space="preserve"> (2024) descrevem elementos como perfil, percepção, ação, interação e evolução, evidenciando que o modelo é somente parte de uma organização mais ampla. A especialização facilita a decomposição, mas cria dependências: cada transferência exige preservar contexto e interpretar corretamente a saída anterior.</w:t>
      </w:r>
    </w:p>
    <w:p>
      <w:pPr/>
      <w:r>
        <w:rPr>
          <w:rFonts w:ascii="Arial" w:hAnsi="Arial" w:eastAsia="Arial" w:cs="Arial"/>
          <w:color w:val="000000"/>
          <w:sz w:val="24"/>
        </w:rPr>
        <w:t xml:space="preserve">A quantidade de agentes, portanto, não mede sozinha a capacidade do sistema. Configurações com os mesmos agentes e modelos podem divergir por topologia, participação e compartilhamento de contexto. Qian </w:t>
      </w:r>
      <w:r>
        <w:rPr>
          <w:rFonts w:ascii="Arial" w:hAnsi="Arial" w:eastAsia="Arial" w:cs="Arial"/>
          <w:i w:val="1"/>
          <w:iCs w:val="1"/>
          <w:color w:val="000000"/>
          <w:sz w:val="24"/>
        </w:rPr>
        <w:t>et al.</w:t>
      </w:r>
      <w:r>
        <w:rPr>
          <w:rFonts w:ascii="Arial" w:hAnsi="Arial" w:eastAsia="Arial" w:cs="Arial"/>
          <w:color w:val="000000"/>
          <w:sz w:val="24"/>
        </w:rPr>
        <w:t xml:space="preserve"> (2025) representam a colaboração por grafos acíclicos direcionados; Zhu </w:t>
      </w:r>
      <w:r>
        <w:rPr>
          <w:rFonts w:ascii="Arial" w:hAnsi="Arial" w:eastAsia="Arial" w:cs="Arial"/>
          <w:i w:val="1"/>
          <w:iCs w:val="1"/>
          <w:color w:val="000000"/>
          <w:sz w:val="24"/>
        </w:rPr>
        <w:t>et al.</w:t>
      </w:r>
      <w:r>
        <w:rPr>
          <w:rFonts w:ascii="Arial" w:hAnsi="Arial" w:eastAsia="Arial" w:cs="Arial"/>
          <w:color w:val="000000"/>
          <w:sz w:val="24"/>
        </w:rPr>
        <w:t xml:space="preserve"> (2025) organizam protocolos em estrela, árvore, cadeia e grafo. Esses trabalhos sustentam uma distinção central: agentes são as unidades participantes; a arquitetura de coordenação define como elas formam um sistema.</w:t>
      </w:r>
    </w:p>
    <w:p>
      <w:pPr>
        <w:pStyle w:val="Heading3"/>
        <w:numPr>
          <w:ilvl w:val="2"/>
          <w:numId w:val="14"/>
        </w:numPr>
        <w:spacing w:before="360" w:after="360"/>
      </w:pPr>
      <w:bookmarkStart w:id="1016" w:name="_TCC_H_1016"/>
      <w:r>
        <w:rPr>
          <w:rFonts w:ascii="Arial" w:hAnsi="Arial" w:eastAsia="Arial" w:cs="Arial"/>
          <w:b w:val="0"/>
          <w:caps/>
          <w:color w:val="000000"/>
          <w:sz w:val="24"/>
        </w:rPr>
        <w:t>ARQUITETURA DE SISTEMAS MULTIAGENTES</w:t>
      </w:r>
      <w:bookmarkEnd w:id="1016"/>
    </w:p>
    <w:p>
      <w:pPr/>
      <w:r>
        <w:rPr>
          <w:rFonts w:ascii="Arial" w:hAnsi="Arial" w:eastAsia="Arial" w:cs="Arial"/>
          <w:color w:val="000000"/>
          <w:sz w:val="24"/>
        </w:rPr>
        <w:t>A arquitetura abrange a composição dos agentes e as relações que regulam sua atuação. Ela define quem inicia a execução, quais componentes acionam ferramentas, como o estado é mantido, quem autoriza transferências, quando o fluxo termina e qual unidade produz a resposta final. Portanto, não deve ser descrita apenas como um diagrama de módulos: ela contém decisões que condicionam o percurso de cada tarefa.</w:t>
      </w:r>
    </w:p>
    <w:p>
      <w:pPr/>
      <w:r>
        <w:rPr>
          <w:rFonts w:ascii="Arial" w:hAnsi="Arial" w:eastAsia="Arial" w:cs="Arial"/>
          <w:color w:val="000000"/>
          <w:sz w:val="24"/>
        </w:rPr>
        <w:t xml:space="preserve">Revisões recentes mostram variações de topologia, autoridade, memória e controle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Em uma organização hierárquica, um supervisor seleciona especialistas e consolida saídas. Em uma estrutura sequencial, o controle está incorporado à ordem das etapas. Em uma rede descentralizada, os agentes escolhem para qual par transferir a tarefa. Cada forma determina caminhos, pontos de falha e evidências diferentes para auditoria.</w:t>
      </w:r>
    </w:p>
    <w:p>
      <w:pPr/>
      <w:r>
        <w:rPr>
          <w:rFonts w:ascii="Arial" w:hAnsi="Arial" w:eastAsia="Arial" w:cs="Arial"/>
          <w:color w:val="000000"/>
          <w:sz w:val="24"/>
        </w:rPr>
        <w:t xml:space="preserve">A topologia torna parte dessas diferenças observável. Uma estrela concentra comunicação em um nó; uma cadeia impõe ordem linear; uma árvore distribui subtarefas por níveis; e um grafo permite relações mais flexíveis (QIAN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2025). Contudo, grafos semelhantes podem adotar regras diferentes para participação, contexto, repetição e encerramento. A análise precisa combinar a forma da rede com os mecanismos de execução.</w:t>
      </w:r>
    </w:p>
    <w:p>
      <w:pPr/>
      <w:r>
        <w:rPr>
          <w:rFonts w:ascii="Arial" w:hAnsi="Arial" w:eastAsia="Arial" w:cs="Arial"/>
          <w:color w:val="000000"/>
          <w:sz w:val="24"/>
        </w:rPr>
        <w:t xml:space="preserve">Em comparações experimentais, componentes alheios à variável arquitetural devem permanecer equivalentes. Modelo, ferramentas, cenários e critérios de avaliação precisam ser controlados para relacionar diferenças observadas à coordenação. No MAB, uma base funcional comum sustenta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w:t>
      </w:r>
      <w:r>
        <w:rPr>
          <w:rFonts w:ascii="Arial" w:hAnsi="Arial" w:eastAsia="Arial" w:cs="Arial"/>
          <w:i w:val="1"/>
          <w:color w:val="000000"/>
          <w:sz w:val="24"/>
          <w:iCs w:val="1"/>
        </w:rPr>
        <w:t>swarm</w:t>
      </w:r>
      <w:r>
        <w:rPr>
          <w:rFonts w:ascii="Arial" w:hAnsi="Arial" w:eastAsia="Arial" w:cs="Arial"/>
          <w:color w:val="000000"/>
          <w:sz w:val="24"/>
        </w:rPr>
        <w:t xml:space="preserve"> descentralizado. A farmácia fornece tarefas concretas, enquanto a arquitetura determina como os agentes organizam o trabalho.</w:t>
      </w:r>
    </w:p>
    <w:p>
      <w:pPr>
        <w:pStyle w:val="Heading3"/>
        <w:numPr>
          <w:ilvl w:val="2"/>
          <w:numId w:val="14"/>
        </w:numPr>
        <w:spacing w:before="360" w:after="360"/>
      </w:pPr>
      <w:bookmarkStart w:id="1017" w:name="_TCC_H_1017"/>
      <w:r>
        <w:rPr>
          <w:rFonts w:ascii="Arial" w:hAnsi="Arial" w:eastAsia="Arial" w:cs="Arial"/>
          <w:b w:val="0"/>
          <w:caps/>
          <w:color w:val="000000"/>
          <w:sz w:val="24"/>
        </w:rPr>
        <w:t>COMUNICAÇÃO E COORDENAÇÃO ENTRE AGENTES</w:t>
      </w:r>
      <w:bookmarkEnd w:id="1017"/>
    </w:p>
    <w:p>
      <w:pPr/>
      <w:r>
        <w:rPr>
          <w:rFonts w:ascii="Arial" w:hAnsi="Arial" w:eastAsia="Arial" w:cs="Arial"/>
          <w:color w:val="000000"/>
          <w:sz w:val="24"/>
        </w:rPr>
        <w:t xml:space="preserve">A comunicação corresponde ao intercâmbio de solicitações, resultados, evidências e informações de controle. Ela pode ocorrer por mensagens diretas, estado compartilhado, chamadas mediadas ou </w:t>
      </w:r>
      <w:r>
        <w:rPr>
          <w:rFonts w:ascii="Arial" w:hAnsi="Arial" w:eastAsia="Arial" w:cs="Arial"/>
          <w:i w:val="1"/>
          <w:color w:val="000000"/>
          <w:sz w:val="24"/>
          <w:iCs w:val="1"/>
        </w:rPr>
        <w:t>handoffs</w:t>
      </w:r>
      <w:r>
        <w:rPr>
          <w:rFonts w:ascii="Arial" w:hAnsi="Arial" w:eastAsia="Arial" w:cs="Arial"/>
          <w:color w:val="000000"/>
          <w:sz w:val="24"/>
        </w:rPr>
        <w:t>, nos quais um agente transfere a continuidade para outro. Metadados como origem, destino, ferramenta, motivo da transferência e estado permitem reconstruir não apenas a resposta, mas o processo que a produziu.</w:t>
      </w:r>
    </w:p>
    <w:p>
      <w:pPr/>
      <w:r>
        <w:rPr>
          <w:rFonts w:ascii="Arial" w:hAnsi="Arial" w:eastAsia="Arial" w:cs="Arial"/>
          <w:color w:val="000000"/>
          <w:sz w:val="24"/>
        </w:rPr>
        <w:t xml:space="preserve">Coordenação transforma essas interações em um fluxo coerente: estabelece participantes, autoridade sobre o próximo passo, resolução de conflitos e encerramento. Wang </w:t>
      </w:r>
      <w:r>
        <w:rPr>
          <w:rFonts w:ascii="Arial" w:hAnsi="Arial" w:eastAsia="Arial" w:cs="Arial"/>
          <w:i w:val="1"/>
          <w:iCs w:val="1"/>
          <w:color w:val="000000"/>
          <w:sz w:val="24"/>
        </w:rPr>
        <w:t>et al.</w:t>
      </w:r>
      <w:r>
        <w:rPr>
          <w:rFonts w:ascii="Arial" w:hAnsi="Arial" w:eastAsia="Arial" w:cs="Arial"/>
          <w:color w:val="000000"/>
          <w:sz w:val="24"/>
        </w:rPr>
        <w:t xml:space="preserve"> (2025) organizam estratégias colaborativas em governança, participação, interação e gestão do histórico. Assim, coordenar não é apenas enviar mensagens, mas selecionar participantes e preservar o contexto necessário às decisões subsequentes.</w:t>
      </w:r>
    </w:p>
    <w:p>
      <w:pPr/>
      <w:r>
        <w:rPr>
          <w:rFonts w:ascii="Arial" w:hAnsi="Arial" w:eastAsia="Arial" w:cs="Arial"/>
          <w:color w:val="000000"/>
          <w:sz w:val="24"/>
        </w:rPr>
        <w:t xml:space="preserve">O compartilhamento produz benefícios e custos. Evidências podem evitar trabalho duplicado, enquanto contexto incorreto pode propagar decisões inadequadas. Transferências excessivas elevam mensagens, tokens e latência. Hammond </w:t>
      </w:r>
      <w:r>
        <w:rPr>
          <w:rFonts w:ascii="Arial" w:hAnsi="Arial" w:eastAsia="Arial" w:cs="Arial"/>
          <w:i w:val="1"/>
          <w:iCs w:val="1"/>
          <w:color w:val="000000"/>
          <w:sz w:val="24"/>
        </w:rPr>
        <w:t>et al.</w:t>
      </w:r>
      <w:r>
        <w:rPr>
          <w:rFonts w:ascii="Arial" w:hAnsi="Arial" w:eastAsia="Arial" w:cs="Arial"/>
          <w:color w:val="000000"/>
          <w:sz w:val="24"/>
        </w:rPr>
        <w:t xml:space="preserve"> (2025) incluem descoordenação, conflito e cooperação indesejada entre os riscos multiagentes. Mesmo com objetivo comum, podem ocorrer rotas incorretas, repetição, ciclos ou consolidação de evidência insuficiente.</w:t>
      </w:r>
    </w:p>
    <w:p>
      <w:pPr/>
      <w:r>
        <w:rPr>
          <w:rFonts w:ascii="Arial" w:hAnsi="Arial" w:eastAsia="Arial" w:cs="Arial"/>
          <w:color w:val="000000"/>
          <w:sz w:val="24"/>
        </w:rPr>
        <w:t xml:space="preserve">Por isso, observabilidade e limites operacionais integram a coordenação. Identificadores, mensagens, ferramentas, transições, contagem de </w:t>
      </w:r>
      <w:r>
        <w:rPr>
          <w:rFonts w:ascii="Arial" w:hAnsi="Arial" w:eastAsia="Arial" w:cs="Arial"/>
          <w:i w:val="1"/>
          <w:color w:val="000000"/>
          <w:sz w:val="24"/>
          <w:iCs w:val="1"/>
        </w:rPr>
        <w:t>handoffs</w:t>
      </w:r>
      <w:r>
        <w:rPr>
          <w:rFonts w:ascii="Arial" w:hAnsi="Arial" w:eastAsia="Arial" w:cs="Arial"/>
          <w:color w:val="000000"/>
          <w:sz w:val="24"/>
        </w:rPr>
        <w:t xml:space="preserve"> e condições de </w:t>
      </w:r>
      <w:r>
        <w:rPr>
          <w:rFonts w:ascii="Arial" w:hAnsi="Arial" w:eastAsia="Arial" w:cs="Arial"/>
          <w:i w:val="1"/>
          <w:color w:val="000000"/>
          <w:sz w:val="24"/>
          <w:iCs w:val="1"/>
        </w:rPr>
        <w:t>timeout</w:t>
      </w:r>
      <w:r>
        <w:rPr>
          <w:rFonts w:ascii="Arial" w:hAnsi="Arial" w:eastAsia="Arial" w:cs="Arial"/>
          <w:color w:val="000000"/>
          <w:sz w:val="24"/>
        </w:rPr>
        <w:t xml:space="preserve"> permitem verificar o comportamento. A telemetria não elimina erros semânticos, mas torna comparáveis custos e caminhos. A seção seguinte distingue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w:t>
      </w:r>
      <w:r>
        <w:rPr>
          <w:rFonts w:ascii="Arial" w:hAnsi="Arial" w:eastAsia="Arial" w:cs="Arial"/>
          <w:i w:val="1"/>
          <w:color w:val="000000"/>
          <w:sz w:val="24"/>
          <w:iCs w:val="1"/>
        </w:rPr>
        <w:t>swarm</w:t>
      </w:r>
      <w:r>
        <w:rPr>
          <w:rFonts w:ascii="Arial" w:hAnsi="Arial" w:eastAsia="Arial" w:cs="Arial"/>
          <w:color w:val="000000"/>
          <w:sz w:val="24"/>
        </w:rPr>
        <w:t xml:space="preserve"> descentralizado sem pressupor superioridade antes das evidências experimentais.</w:t>
      </w:r>
    </w:p>
    <w:p>
      <w:pPr>
        <w:pStyle w:val="Heading2"/>
        <w:numPr>
          <w:ilvl w:val="1"/>
          <w:numId w:val="14"/>
        </w:numPr>
        <w:spacing w:before="360" w:after="360"/>
      </w:pPr>
      <w:bookmarkStart w:id="1018" w:name="_TCC_H_1018"/>
      <w:r>
        <w:rPr>
          <w:rFonts w:ascii="Arial" w:hAnsi="Arial" w:eastAsia="Arial" w:cs="Arial"/>
          <w:b/>
          <w:caps/>
          <w:color w:val="000000"/>
          <w:sz w:val="24"/>
        </w:rPr>
        <w:t>ARQUITETURAS DE COORDENAÇÃO</w:t>
      </w:r>
      <w:bookmarkEnd w:id="1018"/>
    </w:p>
    <w:p>
      <w:pPr>
        <w:pStyle w:val="Heading3"/>
        <w:numPr>
          <w:ilvl w:val="2"/>
          <w:numId w:val="14"/>
        </w:numPr>
        <w:spacing w:before="0" w:after="360"/>
      </w:pPr>
      <w:bookmarkStart w:id="1019" w:name="_TCC_H_1019"/>
      <w:r>
        <w:rPr>
          <w:rFonts w:ascii="Arial" w:hAnsi="Arial" w:eastAsia="Arial" w:cs="Arial"/>
          <w:b w:val="0"/>
          <w:caps/>
          <w:color w:val="000000"/>
          <w:sz w:val="24"/>
        </w:rPr>
        <w:t>ORQUESTRAÇÃO CENTRALIZADA</w:t>
      </w:r>
      <w:bookmarkEnd w:id="1019"/>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20" w:name="_TCC_H_1020"/>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20"/>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21" w:name="_TCC_H_1021"/>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21"/>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22" w:name="_TCC_H_1022"/>
      <w:r>
        <w:rPr>
          <w:rFonts w:ascii="Arial" w:hAnsi="Arial" w:eastAsia="Arial" w:cs="Arial"/>
          <w:b w:val="0"/>
          <w:caps/>
          <w:color w:val="000000"/>
          <w:sz w:val="24"/>
        </w:rPr>
        <w:t>CARACTERÍSTICAS E DIFERENÇAS ENTRE AS ARQUITETURAS</w:t>
      </w:r>
      <w:bookmarkEnd w:id="1022"/>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w:t>
      </w:r>
      <w:r>
        <w:rPr>
          <w:rFonts w:ascii="Arial" w:hAnsi="Arial" w:eastAsia="Arial" w:cs="Arial"/>
          <w:i/>
          <w:color w:val="000000"/>
          <w:sz w:val="24"/>
        </w:rPr>
        <w:t>frameworks</w:t>
      </w:r>
      <w:r>
        <w:rPr>
          <w:rFonts w:ascii="Arial" w:hAnsi="Arial" w:eastAsia="Arial" w:cs="Arial"/>
          <w:color w:val="000000"/>
          <w:sz w:val="24"/>
        </w:rPr>
        <w:t xml:space="preserve">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6" w:name="_TCC_H_1026"/>
      <w:r>
        <w:rPr>
          <w:rFonts w:ascii="Arial" w:hAnsi="Arial" w:eastAsia="Arial" w:cs="Arial"/>
          <w:b/>
          <w:caps/>
          <w:color w:val="000000"/>
          <w:sz w:val="24"/>
        </w:rPr>
        <w:t>ANÁLISE DOS TRABALHOS CORRELATOS</w:t>
      </w:r>
      <w:bookmarkEnd w:id="1026"/>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Wang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Cada um cobre uma parte do problema: comparação de famílias arquiteturais, decomposição dos mecanismos de colaboração, avaliação de protocolos topológicos, efeito da escala e interação entre topologia e configuração dos agentes. Nenhum deles, isoladamente,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7" w:name="_TCC_H_1027"/>
      <w:r>
        <w:rPr>
          <w:rFonts w:ascii="Arial" w:hAnsi="Arial" w:eastAsia="Arial" w:cs="Arial"/>
          <w:b/>
          <w:caps/>
          <w:color w:val="000000"/>
          <w:sz w:val="24"/>
        </w:rPr>
        <w:t>LACUNAS E OPORTUNIDADES</w:t>
      </w:r>
      <w:bookmarkEnd w:id="1027"/>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mas as condições não correspondem integralmente às três estratégias implementadas no MAB.</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0"/>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1"/>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2"/>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3"/>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8" w:name="_TCC_H_1058"/>
      <w:r>
        <w:rPr>
          <w:rFonts w:ascii="Arial" w:hAnsi="Arial" w:eastAsia="Arial" w:cs="Arial"/>
          <w:b w:val="0"/>
          <w:caps/>
          <w:color w:val="000000"/>
          <w:sz w:val="24"/>
        </w:rPr>
        <w:t>CARACTERÍSTICAS E DIFERENÇAS ENTRE AS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