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20" w:history="1">
        <w:r>
          <w:rPr>
            <w:rFonts w:ascii="Arial" w:hAnsi="Arial" w:eastAsia="Arial" w:cs="Arial"/>
            <w:color w:val="000000"/>
            <w:u w:val="none"/>
            <w:sz w:val="24"/>
          </w:rPr>
          <w:t>Figura 1 – Ciclo de execução de um agente com ferramentas.</w:t>
        </w:r>
      </w:hyperlink>
      <w:r>
        <w:rPr>
          <w:rFonts w:ascii="Arial" w:hAnsi="Arial" w:eastAsia="Arial" w:cs="Arial"/>
          <w:b w:val="0"/>
          <w:caps w:val="0"/>
          <w:color w:val="000000"/>
          <w:sz w:val="24"/>
        </w:rPr>
        <w:tab/>
      </w:r>
      <w:hyperlink w:anchor="_TCC_F_IMG_C020" w:history="1">
        <w:r>
          <w:rPr>
            <w:rFonts w:ascii="Arial" w:hAnsi="Arial" w:eastAsia="Arial" w:cs="Arial"/>
            <w:color w:val="000000"/>
            <w:u w:val="none"/>
            <w:sz w:val="24"/>
          </w:rPr>
          <w:t>16</w:t>
        </w:r>
      </w:hyperlink>
    </w:p>
    <w:p>
      <w:pPr>
        <w:pStyle w:val="FacensFigureList"/>
        <w:tabs>
          <w:tab w:pos="9071" w:val="right" w:leader="dot"/>
        </w:tabs>
      </w:pPr>
      <w:hyperlink w:anchor="_TCC_F_IMG_C022" w:history="1">
        <w:r>
          <w:rPr>
            <w:rFonts w:ascii="Arial" w:hAnsi="Arial" w:eastAsia="Arial" w:cs="Arial"/>
            <w:color w:val="000000"/>
            <w:u w:val="none"/>
            <w:sz w:val="24"/>
          </w:rPr>
          <w:t>Figura 2 – Exemplos de topologias de comunicação entre agentes.</w:t>
        </w:r>
      </w:hyperlink>
      <w:r>
        <w:rPr>
          <w:rFonts w:ascii="Arial" w:hAnsi="Arial" w:eastAsia="Arial" w:cs="Arial"/>
          <w:b w:val="0"/>
          <w:caps w:val="0"/>
          <w:color w:val="000000"/>
          <w:sz w:val="24"/>
        </w:rPr>
        <w:tab/>
      </w:r>
      <w:hyperlink w:anchor="_TCC_F_IMG_C022" w:history="1">
        <w:r>
          <w:rPr>
            <w:rFonts w:ascii="Arial" w:hAnsi="Arial" w:eastAsia="Arial" w:cs="Arial"/>
            <w:color w:val="000000"/>
            <w:u w:val="none"/>
            <w:sz w:val="24"/>
          </w:rPr>
          <w:t>18</w:t>
        </w:r>
      </w:hyperlink>
    </w:p>
    <w:p>
      <w:pPr>
        <w:pStyle w:val="FacensFigureList"/>
        <w:tabs>
          <w:tab w:pos="9071" w:val="right" w:leader="dot"/>
        </w:tabs>
      </w:pPr>
      <w:hyperlink w:anchor="_TCC_F_IMG_C019" w:history="1">
        <w:r>
          <w:rPr>
            <w:rFonts w:ascii="Arial" w:hAnsi="Arial" w:eastAsia="Arial" w:cs="Arial"/>
            <w:color w:val="000000"/>
            <w:u w:val="none"/>
            <w:sz w:val="24"/>
          </w:rPr>
          <w:t>Figura 3 – Distribuição de controle nas três arquiteturas de coordenação.</w:t>
        </w:r>
      </w:hyperlink>
      <w:r>
        <w:rPr>
          <w:rFonts w:ascii="Arial" w:hAnsi="Arial" w:eastAsia="Arial" w:cs="Arial"/>
          <w:b w:val="0"/>
          <w:caps w:val="0"/>
          <w:color w:val="000000"/>
          <w:sz w:val="24"/>
        </w:rPr>
        <w:tab/>
      </w:r>
      <w:hyperlink w:anchor="_TCC_F_IMG_C019" w:history="1">
        <w:r>
          <w:rPr>
            <w:rFonts w:ascii="Arial" w:hAnsi="Arial" w:eastAsia="Arial" w:cs="Arial"/>
            <w:color w:val="000000"/>
            <w:u w:val="none"/>
            <w:sz w:val="24"/>
          </w:rPr>
          <w:t>21</w:t>
        </w:r>
      </w:hyperlink>
    </w:p>
    <w:p>
      <w:pPr>
        <w:pStyle w:val="FacensFigureList"/>
        <w:tabs>
          <w:tab w:pos="9071" w:val="right" w:leader="dot"/>
        </w:tabs>
      </w:pPr>
      <w:hyperlink w:anchor="_TCC_F_IMG_C012" w:history="1">
        <w:r>
          <w:rPr>
            <w:rFonts w:ascii="Arial" w:hAnsi="Arial" w:eastAsia="Arial" w:cs="Arial"/>
            <w:color w:val="000000"/>
            <w:u w:val="none"/>
            <w:sz w:val="24"/>
          </w:rPr>
          <w:t>Figura 4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34</w:t>
        </w:r>
      </w:hyperlink>
    </w:p>
    <w:p>
      <w:pPr>
        <w:pStyle w:val="FacensFigureList"/>
        <w:tabs>
          <w:tab w:pos="9071" w:val="right" w:leader="dot"/>
        </w:tabs>
      </w:pPr>
      <w:hyperlink w:anchor="_TCC_F_IMG_C010" w:history="1">
        <w:r>
          <w:rPr>
            <w:rFonts w:ascii="Arial" w:hAnsi="Arial" w:eastAsia="Arial" w:cs="Arial"/>
            <w:color w:val="000000"/>
            <w:u w:val="none"/>
            <w:sz w:val="24"/>
          </w:rPr>
          <w:t>Figura 5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34</w:t>
        </w:r>
      </w:hyperlink>
    </w:p>
    <w:p>
      <w:pPr>
        <w:pStyle w:val="FacensFigureList"/>
        <w:tabs>
          <w:tab w:pos="9071" w:val="right" w:leader="dot"/>
        </w:tabs>
      </w:pPr>
      <w:hyperlink w:anchor="_TCC_F_IMG_C011" w:history="1">
        <w:r>
          <w:rPr>
            <w:rFonts w:ascii="Arial" w:hAnsi="Arial" w:eastAsia="Arial" w:cs="Arial"/>
            <w:color w:val="000000"/>
            <w:u w:val="none"/>
            <w:sz w:val="24"/>
          </w:rPr>
          <w:t>Figura 6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36</w:t>
        </w:r>
      </w:hyperlink>
    </w:p>
    <w:p>
      <w:pPr>
        <w:pStyle w:val="FacensFigureList"/>
        <w:tabs>
          <w:tab w:pos="9071" w:val="right" w:leader="dot"/>
        </w:tabs>
      </w:pPr>
      <w:hyperlink w:anchor="_TCC_F_IMG_C013" w:history="1">
        <w:r>
          <w:rPr>
            <w:rFonts w:ascii="Arial" w:hAnsi="Arial" w:eastAsia="Arial" w:cs="Arial"/>
            <w:color w:val="000000"/>
            <w:u w:val="none"/>
            <w:sz w:val="24"/>
          </w:rPr>
          <w:t>Figura 7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41</w:t>
        </w:r>
      </w:hyperlink>
    </w:p>
    <w:p>
      <w:pPr>
        <w:pStyle w:val="FacensFigureList"/>
        <w:tabs>
          <w:tab w:pos="9071" w:val="right" w:leader="dot"/>
        </w:tabs>
      </w:pPr>
      <w:hyperlink w:anchor="_TCC_F_IMG_C024" w:history="1">
        <w:r>
          <w:rPr>
            <w:rFonts w:ascii="Arial" w:hAnsi="Arial" w:eastAsia="Arial" w:cs="Arial"/>
            <w:color w:val="000000"/>
            <w:u w:val="none"/>
            <w:sz w:val="24"/>
          </w:rPr>
          <w:t>Figura 8 – Organização dos serviços do MAB.</w:t>
        </w:r>
      </w:hyperlink>
      <w:r>
        <w:rPr>
          <w:rFonts w:ascii="Arial" w:hAnsi="Arial" w:eastAsia="Arial" w:cs="Arial"/>
          <w:b w:val="0"/>
          <w:caps w:val="0"/>
          <w:color w:val="000000"/>
          <w:sz w:val="24"/>
        </w:rPr>
        <w:tab/>
      </w:r>
      <w:hyperlink w:anchor="_TCC_F_IMG_C024" w:history="1">
        <w:r>
          <w:rPr>
            <w:rFonts w:ascii="Arial" w:hAnsi="Arial" w:eastAsia="Arial" w:cs="Arial"/>
            <w:color w:val="000000"/>
            <w:u w:val="none"/>
            <w:sz w:val="24"/>
          </w:rPr>
          <w:t>46</w:t>
        </w:r>
      </w:hyperlink>
    </w:p>
    <w:p>
      <w:pPr>
        <w:pStyle w:val="FacensFigureList"/>
        <w:tabs>
          <w:tab w:pos="9071" w:val="right" w:leader="dot"/>
        </w:tabs>
      </w:pPr>
      <w:hyperlink w:anchor="_TCC_F_IMG_C026" w:history="1">
        <w:r>
          <w:rPr>
            <w:rFonts w:ascii="Arial" w:hAnsi="Arial" w:eastAsia="Arial" w:cs="Arial"/>
            <w:color w:val="000000"/>
            <w:u w:val="none"/>
            <w:sz w:val="24"/>
          </w:rPr>
          <w:t>Figura 9 – Base funcional e configurações comparadas no MAB.</w:t>
        </w:r>
      </w:hyperlink>
      <w:r>
        <w:rPr>
          <w:rFonts w:ascii="Arial" w:hAnsi="Arial" w:eastAsia="Arial" w:cs="Arial"/>
          <w:b w:val="0"/>
          <w:caps w:val="0"/>
          <w:color w:val="000000"/>
          <w:sz w:val="24"/>
        </w:rPr>
        <w:tab/>
      </w:r>
      <w:hyperlink w:anchor="_TCC_F_IMG_C026" w:history="1">
        <w:r>
          <w:rPr>
            <w:rFonts w:ascii="Arial" w:hAnsi="Arial" w:eastAsia="Arial" w:cs="Arial"/>
            <w:color w:val="000000"/>
            <w:u w:val="none"/>
            <w:sz w:val="24"/>
          </w:rPr>
          <w:t>50</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9</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2"/>
        <w:tabs>
          <w:tab w:pos="9071" w:val="right" w:leader="dot"/>
        </w:tabs>
      </w:pPr>
      <w:hyperlink w:anchor="_TCC_H_1003"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2"/>
        <w:tabs>
          <w:tab w:pos="9071" w:val="right" w:leader="dot"/>
        </w:tabs>
      </w:pPr>
      <w:hyperlink w:anchor="_TCC_H_1004" w:history="1">
        <w:r>
          <w:rPr>
            <w:rFonts w:ascii="Arial" w:hAnsi="Arial" w:eastAsia="Arial" w:cs="Arial"/>
            <w:color w:val="000000"/>
            <w:u w:val="none"/>
            <w:sz w:val="24"/>
          </w:rPr>
          <w:t>2.3 MODELOS DE LINGUAGEM E AGENTES INTELIGENTES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2.3.1 MODELOS DE LINGUAGEM DE GRANDE PORTE</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3"/>
        <w:tabs>
          <w:tab w:pos="9071" w:val="right" w:leader="dot"/>
        </w:tabs>
      </w:pPr>
      <w:hyperlink w:anchor="_TCC_H_1006" w:history="1">
        <w:r>
          <w:rPr>
            <w:rFonts w:ascii="Arial" w:hAnsi="Arial" w:eastAsia="Arial" w:cs="Arial"/>
            <w:color w:val="000000"/>
            <w:u w:val="none"/>
            <w:sz w:val="24"/>
          </w:rPr>
          <w:t>2.3.2 AGENTES BASEADOS EM LLM</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2.3.3 FERRAMENTAS, CONTEXTO E LIMITES DE EXECUÇÃO</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16</w:t>
        </w:r>
      </w:hyperlink>
    </w:p>
    <w:p>
      <w:pPr>
        <w:pStyle w:val="FacensTOC2"/>
        <w:tabs>
          <w:tab w:pos="9071" w:val="right" w:leader="dot"/>
        </w:tabs>
      </w:pPr>
      <w:hyperlink w:anchor="_TCC_H_1008"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17</w:t>
        </w:r>
      </w:hyperlink>
    </w:p>
    <w:p>
      <w:pPr>
        <w:pStyle w:val="FacensTOC3"/>
        <w:tabs>
          <w:tab w:pos="9071" w:val="right" w:leader="dot"/>
        </w:tabs>
      </w:pPr>
      <w:hyperlink w:anchor="_TCC_H_1009" w:history="1">
        <w:r>
          <w:rPr>
            <w:rFonts w:ascii="Arial" w:hAnsi="Arial" w:eastAsia="Arial" w:cs="Arial"/>
            <w:color w:val="000000"/>
            <w:u w:val="none"/>
            <w:sz w:val="24"/>
          </w:rPr>
          <w:t>2.4.1 AGENTES E DIVISÃO DE RESPONSABILIDADES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17</w:t>
        </w:r>
      </w:hyperlink>
    </w:p>
    <w:p>
      <w:pPr>
        <w:pStyle w:val="FacensTOC3"/>
        <w:tabs>
          <w:tab w:pos="9071" w:val="right" w:leader="dot"/>
        </w:tabs>
      </w:pPr>
      <w:hyperlink w:anchor="_TCC_H_1010" w:history="1">
        <w:r>
          <w:rPr>
            <w:rFonts w:ascii="Arial" w:hAnsi="Arial" w:eastAsia="Arial" w:cs="Arial"/>
            <w:color w:val="000000"/>
            <w:u w:val="none"/>
            <w:sz w:val="24"/>
          </w:rPr>
          <w:t>2.4.2 TOPOLOGIA E DISTRIBUIÇÃO DE CONTROLE</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17</w:t>
        </w:r>
      </w:hyperlink>
    </w:p>
    <w:p>
      <w:pPr>
        <w:pStyle w:val="FacensTOC3"/>
        <w:tabs>
          <w:tab w:pos="9071" w:val="right" w:leader="dot"/>
        </w:tabs>
      </w:pPr>
      <w:hyperlink w:anchor="_TCC_H_1011" w:history="1">
        <w:r>
          <w:rPr>
            <w:rFonts w:ascii="Arial" w:hAnsi="Arial" w:eastAsia="Arial" w:cs="Arial"/>
            <w:color w:val="000000"/>
            <w:u w:val="none"/>
            <w:sz w:val="24"/>
          </w:rPr>
          <w:t>2.4.3 COMUNICAÇÃO, COORDENAÇÃO E OBSERVABILIDADE</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18</w:t>
        </w:r>
      </w:hyperlink>
    </w:p>
    <w:p>
      <w:pPr>
        <w:pStyle w:val="FacensTOC2"/>
        <w:tabs>
          <w:tab w:pos="9071" w:val="right" w:leader="dot"/>
        </w:tabs>
      </w:pPr>
      <w:hyperlink w:anchor="_TCC_H_1012"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19</w:t>
        </w:r>
      </w:hyperlink>
    </w:p>
    <w:p>
      <w:pPr>
        <w:pStyle w:val="FacensTOC3"/>
        <w:tabs>
          <w:tab w:pos="9071" w:val="right" w:leader="dot"/>
        </w:tabs>
      </w:pPr>
      <w:hyperlink w:anchor="_TCC_H_1013"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19</w:t>
        </w:r>
      </w:hyperlink>
    </w:p>
    <w:p>
      <w:pPr>
        <w:pStyle w:val="FacensTOC3"/>
        <w:tabs>
          <w:tab w:pos="9071" w:val="right" w:leader="dot"/>
        </w:tabs>
      </w:pPr>
      <w:hyperlink w:anchor="_TCC_H_1014" w:history="1">
        <w:r>
          <w:rPr>
            <w:rFonts w:ascii="Arial" w:hAnsi="Arial" w:eastAsia="Arial" w:cs="Arial"/>
            <w:color w:val="000000"/>
            <w:u w:val="none"/>
            <w:sz w:val="24"/>
          </w:rPr>
          <w:t>2.5.2 FLUXO ESTRUTURADO (</w:t>
        </w:r>
        <w:r>
          <w:rPr>
            <w:rFonts w:ascii="Arial" w:hAnsi="Arial" w:eastAsia="Arial" w:cs="Arial"/>
            <w:color w:val="000000"/>
            <w:u w:val="none"/>
            <w:sz w:val="24"/>
            <w:i w:val="1"/>
            <w:iCs w:val="1"/>
          </w:rPr>
          <w:t>WORKFLOW</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19</w:t>
        </w:r>
      </w:hyperlink>
    </w:p>
    <w:p>
      <w:pPr>
        <w:pStyle w:val="FacensTOC3"/>
        <w:tabs>
          <w:tab w:pos="9071" w:val="right" w:leader="dot"/>
        </w:tabs>
      </w:pPr>
      <w:hyperlink w:anchor="_TCC_H_1015" w:history="1">
        <w:r>
          <w:rPr>
            <w:rFonts w:ascii="Arial" w:hAnsi="Arial" w:eastAsia="Arial" w:cs="Arial"/>
            <w:color w:val="000000"/>
            <w:u w:val="none"/>
            <w:sz w:val="24"/>
          </w:rPr>
          <w:t>2.5.3 COORDENAÇÃO DESCENTRALIZADA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20</w:t>
        </w:r>
      </w:hyperlink>
    </w:p>
    <w:p>
      <w:pPr>
        <w:pStyle w:val="FacensTOC3"/>
        <w:tabs>
          <w:tab w:pos="9071" w:val="right" w:leader="dot"/>
        </w:tabs>
      </w:pPr>
      <w:hyperlink w:anchor="_TCC_H_1016" w:history="1">
        <w:r>
          <w:rPr>
            <w:rFonts w:ascii="Arial" w:hAnsi="Arial" w:eastAsia="Arial" w:cs="Arial"/>
            <w:color w:val="000000"/>
            <w:u w:val="none"/>
            <w:sz w:val="24"/>
          </w:rPr>
          <w:t>2.5.4 SÍNTESE DA COMPARAÇÃO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20</w:t>
        </w:r>
      </w:hyperlink>
    </w:p>
    <w:p>
      <w:pPr>
        <w:pStyle w:val="FacensTOC1"/>
        <w:tabs>
          <w:tab w:pos="9071" w:val="right" w:leader="dot"/>
        </w:tabs>
      </w:pPr>
      <w:hyperlink w:anchor="_TCC_H_1017"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17" w:history="1">
        <w:r>
          <w:rPr>
            <w:rFonts w:ascii="Arial" w:hAnsi="Arial" w:eastAsia="Arial" w:cs="Arial"/>
            <w:color w:val="000000"/>
            <w:u w:val="none"/>
            <w:sz w:val="24"/>
          </w:rPr>
          <w:t>22</w:t>
        </w:r>
      </w:hyperlink>
    </w:p>
    <w:p>
      <w:pPr>
        <w:pStyle w:val="FacensTOC2"/>
        <w:tabs>
          <w:tab w:pos="9071" w:val="right" w:leader="dot"/>
        </w:tabs>
      </w:pPr>
      <w:hyperlink w:anchor="_TCC_H_1018"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22</w:t>
        </w:r>
      </w:hyperlink>
    </w:p>
    <w:p>
      <w:pPr>
        <w:pStyle w:val="FacensTOC2"/>
        <w:tabs>
          <w:tab w:pos="9071" w:val="right" w:leader="dot"/>
        </w:tabs>
      </w:pPr>
      <w:hyperlink w:anchor="_TCC_H_1019"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23</w:t>
        </w:r>
      </w:hyperlink>
    </w:p>
    <w:p>
      <w:pPr>
        <w:pStyle w:val="FacensTOC2"/>
        <w:tabs>
          <w:tab w:pos="9071" w:val="right" w:leader="dot"/>
        </w:tabs>
      </w:pPr>
      <w:hyperlink w:anchor="_TCC_H_1020"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25</w:t>
        </w:r>
      </w:hyperlink>
    </w:p>
    <w:p>
      <w:pPr>
        <w:pStyle w:val="FacensTOC2"/>
        <w:tabs>
          <w:tab w:pos="9071" w:val="right" w:leader="dot"/>
        </w:tabs>
      </w:pPr>
      <w:hyperlink w:anchor="_TCC_H_1021"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28</w:t>
        </w:r>
      </w:hyperlink>
    </w:p>
    <w:p>
      <w:pPr>
        <w:pStyle w:val="FacensTOC1"/>
        <w:tabs>
          <w:tab w:pos="9071" w:val="right" w:leader="dot"/>
        </w:tabs>
      </w:pPr>
      <w:hyperlink w:anchor="_TCC_H_1022"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2" w:history="1">
        <w:r>
          <w:rPr>
            <w:rFonts w:ascii="Arial" w:hAnsi="Arial" w:eastAsia="Arial" w:cs="Arial"/>
            <w:color w:val="000000"/>
            <w:u w:val="none"/>
            <w:sz w:val="24"/>
          </w:rPr>
          <w:t>30</w:t>
        </w:r>
      </w:hyperlink>
    </w:p>
    <w:p>
      <w:pPr>
        <w:pStyle w:val="FacensTOC2"/>
        <w:tabs>
          <w:tab w:pos="9071" w:val="right" w:leader="dot"/>
        </w:tabs>
      </w:pPr>
      <w:hyperlink w:anchor="_TCC_H_1023"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3" w:history="1">
        <w:r>
          <w:rPr>
            <w:rFonts w:ascii="Arial" w:hAnsi="Arial" w:eastAsia="Arial" w:cs="Arial"/>
            <w:color w:val="000000"/>
            <w:u w:val="none"/>
            <w:sz w:val="24"/>
          </w:rPr>
          <w:t>30</w:t>
        </w:r>
      </w:hyperlink>
    </w:p>
    <w:p>
      <w:pPr>
        <w:pStyle w:val="FacensTOC2"/>
        <w:tabs>
          <w:tab w:pos="9071" w:val="right" w:leader="dot"/>
        </w:tabs>
      </w:pPr>
      <w:hyperlink w:anchor="_TCC_H_1024"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31</w:t>
        </w:r>
      </w:hyperlink>
    </w:p>
    <w:p>
      <w:pPr>
        <w:pStyle w:val="FacensTOC2"/>
        <w:tabs>
          <w:tab w:pos="9071" w:val="right" w:leader="dot"/>
        </w:tabs>
      </w:pPr>
      <w:hyperlink w:anchor="_TCC_H_1025"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32</w:t>
        </w:r>
      </w:hyperlink>
    </w:p>
    <w:p>
      <w:pPr>
        <w:pStyle w:val="FacensTOC2"/>
        <w:tabs>
          <w:tab w:pos="9071" w:val="right" w:leader="dot"/>
        </w:tabs>
      </w:pPr>
      <w:hyperlink w:anchor="_TCC_H_1026"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34</w:t>
        </w:r>
      </w:hyperlink>
    </w:p>
    <w:p>
      <w:pPr>
        <w:pStyle w:val="FacensTOC2"/>
        <w:tabs>
          <w:tab w:pos="9071" w:val="right" w:leader="dot"/>
        </w:tabs>
      </w:pPr>
      <w:hyperlink w:anchor="_TCC_H_1027"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35</w:t>
        </w:r>
      </w:hyperlink>
    </w:p>
    <w:p>
      <w:pPr>
        <w:pStyle w:val="FacensTOC2"/>
        <w:tabs>
          <w:tab w:pos="9071" w:val="right" w:leader="dot"/>
        </w:tabs>
      </w:pPr>
      <w:hyperlink w:anchor="_TCC_H_1028"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28" w:history="1">
        <w:r>
          <w:rPr>
            <w:rFonts w:ascii="Arial" w:hAnsi="Arial" w:eastAsia="Arial" w:cs="Arial"/>
            <w:color w:val="000000"/>
            <w:u w:val="none"/>
            <w:sz w:val="24"/>
          </w:rPr>
          <w:t>36</w:t>
        </w:r>
      </w:hyperlink>
    </w:p>
    <w:p>
      <w:pPr>
        <w:pStyle w:val="FacensTOC2"/>
        <w:tabs>
          <w:tab w:pos="9071" w:val="right" w:leader="dot"/>
        </w:tabs>
      </w:pPr>
      <w:hyperlink w:anchor="_TCC_H_1029"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37</w:t>
        </w:r>
      </w:hyperlink>
    </w:p>
    <w:p>
      <w:pPr>
        <w:pStyle w:val="FacensTOC2"/>
        <w:tabs>
          <w:tab w:pos="9071" w:val="right" w:leader="dot"/>
        </w:tabs>
      </w:pPr>
      <w:hyperlink w:anchor="_TCC_H_1030"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38</w:t>
        </w:r>
      </w:hyperlink>
    </w:p>
    <w:p>
      <w:pPr>
        <w:pStyle w:val="FacensTOC3"/>
        <w:tabs>
          <w:tab w:pos="9071" w:val="right" w:leader="dot"/>
        </w:tabs>
      </w:pPr>
      <w:hyperlink w:anchor="_TCC_H_1031"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38</w:t>
        </w:r>
      </w:hyperlink>
    </w:p>
    <w:p>
      <w:pPr>
        <w:pStyle w:val="FacensTOC3"/>
        <w:tabs>
          <w:tab w:pos="9071" w:val="right" w:leader="dot"/>
        </w:tabs>
      </w:pPr>
      <w:hyperlink w:anchor="_TCC_H_1032"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38</w:t>
        </w:r>
      </w:hyperlink>
    </w:p>
    <w:p>
      <w:pPr>
        <w:pStyle w:val="FacensTOC3"/>
        <w:tabs>
          <w:tab w:pos="9071" w:val="right" w:leader="dot"/>
        </w:tabs>
      </w:pPr>
      <w:hyperlink w:anchor="_TCC_H_1033"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39</w:t>
        </w:r>
      </w:hyperlink>
    </w:p>
    <w:p>
      <w:pPr>
        <w:pStyle w:val="FacensTOC2"/>
        <w:tabs>
          <w:tab w:pos="9071" w:val="right" w:leader="dot"/>
        </w:tabs>
      </w:pPr>
      <w:hyperlink w:anchor="_TCC_H_1034"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39</w:t>
        </w:r>
      </w:hyperlink>
    </w:p>
    <w:p>
      <w:pPr>
        <w:pStyle w:val="FacensTOC2"/>
        <w:tabs>
          <w:tab w:pos="9071" w:val="right" w:leader="dot"/>
        </w:tabs>
      </w:pPr>
      <w:hyperlink w:anchor="_TCC_H_1035"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41</w:t>
        </w:r>
      </w:hyperlink>
    </w:p>
    <w:p>
      <w:pPr>
        <w:pStyle w:val="FacensTOC2"/>
        <w:tabs>
          <w:tab w:pos="9071" w:val="right" w:leader="dot"/>
        </w:tabs>
      </w:pPr>
      <w:hyperlink w:anchor="_TCC_H_1036"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42</w:t>
        </w:r>
      </w:hyperlink>
    </w:p>
    <w:p>
      <w:pPr>
        <w:pStyle w:val="FacensTOC2"/>
        <w:tabs>
          <w:tab w:pos="9071" w:val="right" w:leader="dot"/>
        </w:tabs>
      </w:pPr>
      <w:hyperlink w:anchor="_TCC_H_1037"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43</w:t>
        </w:r>
      </w:hyperlink>
    </w:p>
    <w:p>
      <w:pPr>
        <w:pStyle w:val="FacensTOC1"/>
        <w:tabs>
          <w:tab w:pos="9071" w:val="right" w:leader="dot"/>
        </w:tabs>
      </w:pPr>
      <w:hyperlink w:anchor="_TCC_H_1038"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45</w:t>
        </w:r>
      </w:hyperlink>
    </w:p>
    <w:p>
      <w:pPr>
        <w:pStyle w:val="FacensTOC2"/>
        <w:tabs>
          <w:tab w:pos="9071" w:val="right" w:leader="dot"/>
        </w:tabs>
      </w:pPr>
      <w:hyperlink w:anchor="_TCC_H_1039"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45</w:t>
        </w:r>
      </w:hyperlink>
    </w:p>
    <w:p>
      <w:pPr>
        <w:pStyle w:val="FacensTOC2"/>
        <w:tabs>
          <w:tab w:pos="9071" w:val="right" w:leader="dot"/>
        </w:tabs>
      </w:pPr>
      <w:hyperlink w:anchor="_TCC_H_1040"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45</w:t>
        </w:r>
      </w:hyperlink>
    </w:p>
    <w:p>
      <w:pPr>
        <w:pStyle w:val="FacensTOC2"/>
        <w:tabs>
          <w:tab w:pos="9071" w:val="right" w:leader="dot"/>
        </w:tabs>
      </w:pPr>
      <w:hyperlink w:anchor="_TCC_H_1041"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46</w:t>
        </w:r>
      </w:hyperlink>
    </w:p>
    <w:p>
      <w:pPr>
        <w:pStyle w:val="FacensTOC2"/>
        <w:tabs>
          <w:tab w:pos="9071" w:val="right" w:leader="dot"/>
        </w:tabs>
      </w:pPr>
      <w:hyperlink w:anchor="_TCC_H_1042"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47</w:t>
        </w:r>
      </w:hyperlink>
    </w:p>
    <w:p>
      <w:pPr>
        <w:pStyle w:val="FacensTOC1"/>
        <w:tabs>
          <w:tab w:pos="9071" w:val="right" w:leader="dot"/>
        </w:tabs>
      </w:pPr>
      <w:hyperlink w:anchor="_TCC_H_1043"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48</w:t>
        </w:r>
      </w:hyperlink>
    </w:p>
    <w:p>
      <w:pPr>
        <w:pStyle w:val="FacensTOC2"/>
        <w:tabs>
          <w:tab w:pos="9071" w:val="right" w:leader="dot"/>
        </w:tabs>
      </w:pPr>
      <w:hyperlink w:anchor="_TCC_H_1044"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48</w:t>
        </w:r>
      </w:hyperlink>
    </w:p>
    <w:p>
      <w:pPr>
        <w:pStyle w:val="FacensTOC2"/>
        <w:tabs>
          <w:tab w:pos="9071" w:val="right" w:leader="dot"/>
        </w:tabs>
      </w:pPr>
      <w:hyperlink w:anchor="_TCC_H_1045"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48</w:t>
        </w:r>
      </w:hyperlink>
    </w:p>
    <w:p>
      <w:pPr>
        <w:pStyle w:val="FacensTOC2"/>
        <w:tabs>
          <w:tab w:pos="9071" w:val="right" w:leader="dot"/>
        </w:tabs>
      </w:pPr>
      <w:hyperlink w:anchor="_TCC_H_1046"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49</w:t>
        </w:r>
      </w:hyperlink>
    </w:p>
    <w:p>
      <w:pPr>
        <w:pStyle w:val="FacensTOC2"/>
        <w:tabs>
          <w:tab w:pos="9071" w:val="right" w:leader="dot"/>
        </w:tabs>
      </w:pPr>
      <w:hyperlink w:anchor="_TCC_H_1047"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50</w:t>
        </w:r>
      </w:hyperlink>
    </w:p>
    <w:p>
      <w:pPr>
        <w:pStyle w:val="FacensTOC1"/>
        <w:tabs>
          <w:tab w:pos="9071" w:val="right" w:leader="dot"/>
        </w:tabs>
      </w:pPr>
      <w:hyperlink w:anchor="_TCC_H_1048"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51</w:t>
        </w:r>
      </w:hyperlink>
    </w:p>
    <w:p>
      <w:pPr>
        <w:pStyle w:val="FacensTOC2"/>
        <w:tabs>
          <w:tab w:pos="9071" w:val="right" w:leader="dot"/>
        </w:tabs>
      </w:pPr>
      <w:hyperlink w:anchor="_TCC_H_1049"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51</w:t>
        </w:r>
      </w:hyperlink>
    </w:p>
    <w:p>
      <w:pPr>
        <w:pStyle w:val="FacensTOC2"/>
        <w:tabs>
          <w:tab w:pos="9071" w:val="right" w:leader="dot"/>
        </w:tabs>
      </w:pPr>
      <w:hyperlink w:anchor="_TCC_H_1050"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51</w:t>
        </w:r>
      </w:hyperlink>
    </w:p>
    <w:p>
      <w:pPr>
        <w:pStyle w:val="FacensTOC2"/>
        <w:tabs>
          <w:tab w:pos="9071" w:val="right" w:leader="dot"/>
        </w:tabs>
      </w:pPr>
      <w:hyperlink w:anchor="_TCC_H_1051"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51</w:t>
        </w:r>
      </w:hyperlink>
    </w:p>
    <w:p>
      <w:pPr>
        <w:pStyle w:val="FacensTOC3"/>
        <w:tabs>
          <w:tab w:pos="9071" w:val="right" w:leader="dot"/>
        </w:tabs>
      </w:pPr>
      <w:hyperlink w:anchor="_TCC_H_1052"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51</w:t>
        </w:r>
      </w:hyperlink>
    </w:p>
    <w:p>
      <w:pPr>
        <w:pStyle w:val="FacensTOC1"/>
        <w:tabs>
          <w:tab w:pos="9071" w:val="right" w:leader="dot"/>
        </w:tabs>
      </w:pPr>
      <w:hyperlink w:anchor="_TCC_H_1053"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3" w:history="1">
        <w:r>
          <w:rPr>
            <w:rFonts w:ascii="Arial" w:hAnsi="Arial" w:eastAsia="Arial" w:cs="Arial"/>
            <w:color w:val="000000"/>
            <w:u w:val="none"/>
            <w:sz w:val="24"/>
          </w:rPr>
          <w:t>52</w:t>
        </w:r>
      </w:hyperlink>
    </w:p>
    <w:p>
      <w:pPr>
        <w:pStyle w:val="FacensTOC2"/>
        <w:tabs>
          <w:tab w:pos="9071" w:val="right" w:leader="dot"/>
        </w:tabs>
      </w:pPr>
      <w:hyperlink w:anchor="_TCC_H_1054"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52</w:t>
        </w:r>
      </w:hyperlink>
    </w:p>
    <w:p>
      <w:pPr>
        <w:pStyle w:val="FacensTOC2"/>
        <w:tabs>
          <w:tab w:pos="9071" w:val="right" w:leader="dot"/>
        </w:tabs>
      </w:pPr>
      <w:hyperlink w:anchor="_TCC_H_1055"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52</w:t>
        </w:r>
      </w:hyperlink>
    </w:p>
    <w:p>
      <w:pPr>
        <w:pStyle w:val="FacensTOC2"/>
        <w:tabs>
          <w:tab w:pos="9071" w:val="right" w:leader="dot"/>
        </w:tabs>
      </w:pPr>
      <w:hyperlink w:anchor="_TCC_H_1056"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52</w:t>
        </w:r>
      </w:hyperlink>
    </w:p>
    <w:p>
      <w:pPr>
        <w:pStyle w:val="FacensTOC1"/>
        <w:tabs>
          <w:tab w:pos="9071" w:val="right" w:leader="dot"/>
        </w:tabs>
      </w:pPr>
      <w:hyperlink w:anchor="_TCC_H_1057"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7" w:history="1">
        <w:r>
          <w:rPr>
            <w:rFonts w:ascii="Arial" w:hAnsi="Arial" w:eastAsia="Arial" w:cs="Arial"/>
            <w:color w:val="000000"/>
            <w:u w:val="none"/>
            <w:sz w:val="24"/>
          </w:rPr>
          <w:t>53</w:t>
        </w:r>
      </w:hyperlink>
    </w:p>
    <w:p>
      <w:pPr>
        <w:pStyle w:val="FacensTOC2"/>
        <w:tabs>
          <w:tab w:pos="9071" w:val="right" w:leader="dot"/>
        </w:tabs>
      </w:pPr>
      <w:hyperlink w:anchor="_TCC_H_1058"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53</w:t>
        </w:r>
      </w:hyperlink>
    </w:p>
    <w:p>
      <w:pPr>
        <w:pStyle w:val="FacensTOC2"/>
        <w:tabs>
          <w:tab w:pos="9071" w:val="right" w:leader="dot"/>
        </w:tabs>
      </w:pPr>
      <w:hyperlink w:anchor="_TCC_H_1059"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9" w:history="1">
        <w:r>
          <w:rPr>
            <w:rFonts w:ascii="Arial" w:hAnsi="Arial" w:eastAsia="Arial" w:cs="Arial"/>
            <w:color w:val="000000"/>
            <w:u w:val="none"/>
            <w:sz w:val="24"/>
          </w:rPr>
          <w:t>53</w:t>
        </w:r>
      </w:hyperlink>
    </w:p>
    <w:p>
      <w:pPr>
        <w:pStyle w:val="FacensTOC2"/>
        <w:tabs>
          <w:tab w:pos="9071" w:val="right" w:leader="dot"/>
        </w:tabs>
      </w:pPr>
      <w:hyperlink w:anchor="_TCC_H_1060"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53</w:t>
        </w:r>
      </w:hyperlink>
    </w:p>
    <w:p>
      <w:pPr>
        <w:pStyle w:val="FacensTOC1"/>
        <w:tabs>
          <w:tab w:pos="9071" w:val="right" w:leader="dot"/>
        </w:tabs>
      </w:pPr>
      <w:hyperlink w:anchor="_TCC_H_1061"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1" w:history="1">
        <w:r>
          <w:rPr>
            <w:rFonts w:ascii="Arial" w:hAnsi="Arial" w:eastAsia="Arial" w:cs="Arial"/>
            <w:color w:val="000000"/>
            <w:u w:val="none"/>
            <w:sz w:val="24"/>
          </w:rPr>
          <w:t>54</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r>
        <w:rPr>
          <w:rFonts w:ascii="Arial" w:hAnsi="Arial" w:eastAsia="Arial" w:cs="Arial"/>
          <w:color w:val="000000"/>
          <w:sz w:val="24"/>
        </w:rPr>
        <w:t>Este capítulo apresenta os conceitos necessários para comparar arquiteturas de coordenação em sistemas baseados em modelos de linguagem. O atendimento em farmácias delimita o estudo de caso. Em seguida, são discutidos os sistemas conversacionais, o funcionamento dos agentes e as formas de organizar sua execução.</w:t>
      </w:r>
    </w:p>
    <w:p>
      <w:pPr>
        <w:pStyle w:val="Heading2"/>
        <w:numPr>
          <w:ilvl w:val="1"/>
          <w:numId w:val="14"/>
        </w:numPr>
        <w:spacing w:before="360" w:after="360"/>
      </w:pPr>
      <w:bookmarkStart w:id="1002" w:name="_TCC_H_1002"/>
      <w:r>
        <w:rPr>
          <w:rFonts w:ascii="Arial" w:hAnsi="Arial" w:eastAsia="Arial" w:cs="Arial"/>
          <w:b/>
          <w:caps/>
          <w:color w:val="000000"/>
          <w:sz w:val="24"/>
        </w:rPr>
        <w:t>ATENDIMENTO EM FARMÁCIAS</w:t>
      </w:r>
      <w:bookmarkEnd w:id="1002"/>
    </w:p>
    <w:p>
      <w:pPr/>
      <w:r>
        <w:rPr>
          <w:rFonts w:ascii="Arial" w:hAnsi="Arial" w:eastAsia="Arial" w:cs="Arial"/>
          <w:color w:val="000000"/>
          <w:sz w:val="24"/>
        </w:rPr>
        <w:t>O atendimento em farmácias reúne atividades comerciais, administrativas e de orientação em saúde. A atuação do farmacêutico vai além da dispensação de medicamentos e inclui o apoio ao uso seguro desses produtos, conforme o contexto dos serviços prestados (WHO EUROPE, 2024). Para a automação, essa diversidade exige distinguir solicitações que podem ser resolvidas por consulta a informações de situações que dependem de avaliação profissional.</w:t>
      </w:r>
    </w:p>
    <w:p>
      <w:pPr/>
      <w:r>
        <w:rPr>
          <w:rFonts w:ascii="Arial" w:hAnsi="Arial" w:eastAsia="Arial" w:cs="Arial"/>
          <w:color w:val="000000"/>
          <w:sz w:val="24"/>
        </w:rPr>
        <w:t>Uma pergunta sobre horário de funcionamento pode ser respondida a partir de informação institucional. Uma consulta de disponibilidade exige acesso a uma fonte de estoque. Já uma dúvida sobre dose ou interação entre medicamentos envolve uma decisão de saúde. Neste trabalho, essas situações ilustram diferentes necessidades de informação e encaminhamento; não constituem categorias observadas em conversas reais, cuja caracterização ainda está prevista na metodologia.</w:t>
      </w:r>
    </w:p>
    <w:p>
      <w:pPr/>
      <w:r>
        <w:rPr>
          <w:rFonts w:ascii="Arial" w:hAnsi="Arial" w:eastAsia="Arial" w:cs="Arial"/>
          <w:color w:val="000000"/>
          <w:sz w:val="24"/>
        </w:rPr>
        <w:t xml:space="preserve">O estudo de Pais </w:t>
      </w:r>
      <w:r>
        <w:rPr>
          <w:rFonts w:ascii="Arial" w:hAnsi="Arial" w:eastAsia="Arial" w:cs="Arial"/>
          <w:i w:val="1"/>
          <w:iCs w:val="1"/>
          <w:color w:val="000000"/>
          <w:sz w:val="24"/>
        </w:rPr>
        <w:t>et al.</w:t>
      </w:r>
      <w:r>
        <w:rPr>
          <w:rFonts w:ascii="Arial" w:hAnsi="Arial" w:eastAsia="Arial" w:cs="Arial"/>
          <w:color w:val="000000"/>
          <w:sz w:val="24"/>
        </w:rPr>
        <w:t xml:space="preserve"> (2024), sobre identificação de erros em instruções de medicamentos em farmácias digitais, mostra a pertinência de avaliar modelos em tarefas farmacêuticas específicas. Seu escopo, porém, não equivale à validação de um atendente autônomo para qualquer solicitação de saúde. Para o estudo de caso do MAB, a automação foi delimitada a funções operacionais e ao encaminhamento para revisão profissional. Essa delimitação permite investigar a coordenação sem assumir capacidade de diagnóstico ou prescrição.</w:t>
      </w:r>
    </w:p>
    <w:p>
      <w:pPr/>
      <w:r>
        <w:rPr>
          <w:rFonts w:ascii="Arial" w:hAnsi="Arial" w:eastAsia="Arial" w:cs="Arial"/>
          <w:color w:val="000000"/>
          <w:sz w:val="24"/>
        </w:rPr>
        <w:t>A farmácia oferece, portanto, um contexto para tarefas com diferentes fontes de informação e graus de sensibilidade. O objeto da comparação continua sendo a organização computacional dessas tarefas. A eventual aplicação das conclusões a outros setores dependerá de estudos adicionais.</w:t>
      </w:r>
    </w:p>
    <w:p>
      <w:pPr>
        <w:pStyle w:val="Heading2"/>
        <w:numPr>
          <w:ilvl w:val="1"/>
          <w:numId w:val="14"/>
        </w:numPr>
        <w:spacing w:before="360" w:after="360"/>
      </w:pPr>
      <w:bookmarkStart w:id="1003" w:name="_TCC_H_1003"/>
      <w:r>
        <w:rPr>
          <w:rFonts w:ascii="Arial" w:hAnsi="Arial" w:eastAsia="Arial" w:cs="Arial"/>
          <w:b/>
          <w:caps/>
          <w:color w:val="000000"/>
          <w:sz w:val="24"/>
        </w:rPr>
        <w:t>INTELIGÊNCIA ARTIFICIAL NO ATENDIMENTO</w:t>
      </w:r>
      <w:bookmarkEnd w:id="1003"/>
    </w:p>
    <w:p>
      <w:pPr/>
      <w:r>
        <w:rPr>
          <w:rFonts w:ascii="Arial" w:hAnsi="Arial" w:eastAsia="Arial" w:cs="Arial"/>
          <w:color w:val="000000"/>
          <w:sz w:val="24"/>
        </w:rPr>
        <w:t>No atendimento, o processamento de linguagem natural permite associar mensagens a intenções, recuperar informações e produzir respostas. A revisão de Adamopoulou e Moussiades (2020) descreve sistemas conversacionais em diferentes áreas e distingue suas finalidades e formas de construção. Essa variedade é relevante porque a presença de uma interface de conversa não determina como o sistema obtém a resposta.</w:t>
      </w:r>
    </w:p>
    <w:p>
      <w:pPr/>
      <w:r>
        <w:rPr>
          <w:rFonts w:ascii="Arial" w:hAnsi="Arial" w:eastAsia="Arial" w:cs="Arial"/>
          <w:color w:val="000000"/>
          <w:sz w:val="24"/>
        </w:rPr>
        <w:t xml:space="preserve">Um </w:t>
      </w:r>
      <w:r>
        <w:rPr>
          <w:rFonts w:ascii="Arial" w:hAnsi="Arial" w:eastAsia="Arial" w:cs="Arial"/>
          <w:i w:val="1"/>
          <w:color w:val="000000"/>
          <w:sz w:val="24"/>
          <w:iCs w:val="1"/>
        </w:rPr>
        <w:t>chatbot</w:t>
      </w:r>
      <w:r>
        <w:rPr>
          <w:rFonts w:ascii="Arial" w:hAnsi="Arial" w:eastAsia="Arial" w:cs="Arial"/>
          <w:color w:val="000000"/>
          <w:sz w:val="24"/>
        </w:rPr>
        <w:t xml:space="preserve"> pode operar por regras, recuperar uma resposta de uma base ou utilizar um modelo generativo. Também pode oferecer acesso a funções executadas por um ou mais agentes. Assim, interface conversacional, modelo de linguagem e agente designam componentes diferentes. A escolha entre essas soluções depende das ações necessárias, das fontes disponíveis e dos limites impostos ao atendimento.</w:t>
      </w:r>
    </w:p>
    <w:p>
      <w:pPr/>
      <w:r>
        <w:rPr>
          <w:rFonts w:ascii="Arial" w:hAnsi="Arial" w:eastAsia="Arial" w:cs="Arial"/>
          <w:color w:val="000000"/>
          <w:sz w:val="24"/>
        </w:rPr>
        <w:t xml:space="preserve">Neste estudo, a qualidade do atendimento automatizado inclui a adequação à solicitação, a correção das informações e o encaminhamento quando a resposta depende de avaliação humana. O tempo de resposta e o consumo de recursos compõem outra dimensão. Esses critérios precisam ser examinados em conjunto: uma resposta fluente pode conter informação incorreta, e uma execução tecnicamente concluída pode não atender à necessidade do usuário. A avaliação de Pais </w:t>
      </w:r>
      <w:r>
        <w:rPr>
          <w:rFonts w:ascii="Arial" w:hAnsi="Arial" w:eastAsia="Arial" w:cs="Arial"/>
          <w:i w:val="1"/>
          <w:iCs w:val="1"/>
          <w:color w:val="000000"/>
          <w:sz w:val="24"/>
        </w:rPr>
        <w:t>et al.</w:t>
      </w:r>
      <w:r>
        <w:rPr>
          <w:rFonts w:ascii="Arial" w:hAnsi="Arial" w:eastAsia="Arial" w:cs="Arial"/>
          <w:color w:val="000000"/>
          <w:sz w:val="24"/>
        </w:rPr>
        <w:t xml:space="preserve"> (2024) reforça a importância de critérios próprios da tarefa, sobretudo quando o conteúdo envolve medicamentos.</w:t>
      </w:r>
    </w:p>
    <w:p>
      <w:pPr>
        <w:pStyle w:val="Heading2"/>
        <w:numPr>
          <w:ilvl w:val="1"/>
          <w:numId w:val="14"/>
        </w:numPr>
        <w:spacing w:before="360" w:after="360"/>
      </w:pPr>
      <w:bookmarkStart w:id="1004" w:name="_TCC_H_1004"/>
      <w:r>
        <w:rPr>
          <w:rFonts w:ascii="Arial" w:hAnsi="Arial" w:eastAsia="Arial" w:cs="Arial"/>
          <w:b/>
          <w:caps/>
          <w:color w:val="000000"/>
          <w:sz w:val="24"/>
        </w:rPr>
        <w:t>MODELOS DE LINGUAGEM E AGENTES INTELIGENTES</w:t>
      </w:r>
      <w:bookmarkEnd w:id="1004"/>
    </w:p>
    <w:p>
      <w:pPr>
        <w:pStyle w:val="Heading3"/>
        <w:numPr>
          <w:ilvl w:val="2"/>
          <w:numId w:val="14"/>
        </w:numPr>
        <w:spacing w:before="0" w:after="360"/>
      </w:pPr>
      <w:bookmarkStart w:id="1005" w:name="_TCC_H_1005"/>
      <w:r>
        <w:rPr>
          <w:rFonts w:ascii="Arial" w:hAnsi="Arial" w:eastAsia="Arial" w:cs="Arial"/>
          <w:b w:val="0"/>
          <w:caps/>
          <w:color w:val="000000"/>
          <w:sz w:val="24"/>
        </w:rPr>
        <w:t>MODELOS DE LINGUAGEM DE GRANDE PORTE</w:t>
      </w:r>
      <w:bookmarkEnd w:id="1005"/>
    </w:p>
    <w:p>
      <w:pPr/>
      <w:r>
        <w:rPr>
          <w:rFonts w:ascii="Arial" w:hAnsi="Arial" w:eastAsia="Arial" w:cs="Arial"/>
          <w:color w:val="000000"/>
          <w:sz w:val="24"/>
        </w:rPr>
        <w:t xml:space="preserve">Modelos de linguagem de grande porte, conhecidos pela sigla LLM, de </w:t>
      </w:r>
      <w:r>
        <w:rPr>
          <w:rFonts w:ascii="Arial" w:hAnsi="Arial" w:eastAsia="Arial" w:cs="Arial"/>
          <w:i w:val="1"/>
          <w:color w:val="000000"/>
          <w:sz w:val="24"/>
          <w:iCs w:val="1"/>
        </w:rPr>
        <w:t>Large Language Model</w:t>
      </w:r>
      <w:r>
        <w:rPr>
          <w:rFonts w:ascii="Arial" w:hAnsi="Arial" w:eastAsia="Arial" w:cs="Arial"/>
          <w:color w:val="000000"/>
          <w:sz w:val="24"/>
        </w:rPr>
        <w:t xml:space="preserve">, aprendem regularidades em grandes coleções de texto. Em um modelo autorregressivo, a geração ocorre pela previsão do próximo </w:t>
      </w:r>
      <w:r>
        <w:rPr>
          <w:rFonts w:ascii="Arial" w:hAnsi="Arial" w:eastAsia="Arial" w:cs="Arial"/>
          <w:i/>
          <w:color w:val="000000"/>
          <w:sz w:val="24"/>
        </w:rPr>
        <w:t>token</w:t>
      </w:r>
      <w:r>
        <w:rPr>
          <w:rFonts w:ascii="Arial" w:hAnsi="Arial" w:eastAsia="Arial" w:cs="Arial"/>
          <w:color w:val="000000"/>
          <w:sz w:val="24"/>
        </w:rPr>
        <w:t xml:space="preserve"> a partir dos anteriores. Um </w:t>
      </w:r>
      <w:r>
        <w:rPr>
          <w:rFonts w:ascii="Arial" w:hAnsi="Arial" w:eastAsia="Arial" w:cs="Arial"/>
          <w:i/>
          <w:color w:val="000000"/>
          <w:sz w:val="24"/>
        </w:rPr>
        <w:t>token</w:t>
      </w:r>
      <w:r>
        <w:rPr>
          <w:rFonts w:ascii="Arial" w:hAnsi="Arial" w:eastAsia="Arial" w:cs="Arial"/>
          <w:color w:val="000000"/>
          <w:sz w:val="24"/>
        </w:rPr>
        <w:t xml:space="preserve"> é uma unidade de representação textual que pode corresponder a uma palavra, parte dela ou sinal de pontuação. Brown </w:t>
      </w:r>
      <w:r>
        <w:rPr>
          <w:rFonts w:ascii="Arial" w:hAnsi="Arial" w:eastAsia="Arial" w:cs="Arial"/>
          <w:i w:val="1"/>
          <w:iCs w:val="1"/>
          <w:color w:val="000000"/>
          <w:sz w:val="24"/>
        </w:rPr>
        <w:t>et al.</w:t>
      </w:r>
      <w:r>
        <w:rPr>
          <w:rFonts w:ascii="Arial" w:hAnsi="Arial" w:eastAsia="Arial" w:cs="Arial"/>
          <w:color w:val="000000"/>
          <w:sz w:val="24"/>
        </w:rPr>
        <w:t xml:space="preserve"> (2020) demonstram o uso de instruções e exemplos no próprio contexto de entrada para orientar tarefas sem atualizar os parâmetros do modelo a cada solicitação.</w:t>
      </w:r>
    </w:p>
    <w:p>
      <w:pPr/>
      <w:r>
        <w:rPr>
          <w:rFonts w:ascii="Arial" w:hAnsi="Arial" w:eastAsia="Arial" w:cs="Arial"/>
          <w:color w:val="000000"/>
          <w:sz w:val="24"/>
        </w:rPr>
        <w:t xml:space="preserve">A arquitetura </w:t>
      </w:r>
      <w:r>
        <w:rPr>
          <w:rFonts w:ascii="Arial" w:hAnsi="Arial" w:eastAsia="Arial" w:cs="Arial"/>
          <w:i/>
          <w:color w:val="000000"/>
          <w:sz w:val="24"/>
        </w:rPr>
        <w:t>Transformer</w:t>
      </w:r>
      <w:r>
        <w:rPr>
          <w:rFonts w:ascii="Arial" w:hAnsi="Arial" w:eastAsia="Arial" w:cs="Arial"/>
          <w:color w:val="000000"/>
          <w:sz w:val="24"/>
        </w:rPr>
        <w:t xml:space="preserve">, apresentada por Vaswani </w:t>
      </w:r>
      <w:r>
        <w:rPr>
          <w:rFonts w:ascii="Arial" w:hAnsi="Arial" w:eastAsia="Arial" w:cs="Arial"/>
          <w:i w:val="1"/>
          <w:iCs w:val="1"/>
          <w:color w:val="000000"/>
          <w:sz w:val="24"/>
        </w:rPr>
        <w:t>et al.</w:t>
      </w:r>
      <w:r>
        <w:rPr>
          <w:rFonts w:ascii="Arial" w:hAnsi="Arial" w:eastAsia="Arial" w:cs="Arial"/>
          <w:color w:val="000000"/>
          <w:sz w:val="24"/>
        </w:rPr>
        <w:t xml:space="preserve"> (2017), utiliza mecanismos de atenção para relacionar elementos da sequência. Esse fundamento ajuda a compreender por que o contexto fornecido ao modelo influencia a resposta: diferentes partes da entrada participam do cálculo das representações usadas na geração.</w:t>
      </w:r>
    </w:p>
    <w:p>
      <w:pPr/>
      <w:r>
        <w:rPr>
          <w:rFonts w:ascii="Arial" w:hAnsi="Arial" w:eastAsia="Arial" w:cs="Arial"/>
          <w:color w:val="000000"/>
          <w:sz w:val="24"/>
        </w:rPr>
        <w:t>Os parâmetros aprendidos durante o treinamento são distintos do contexto fornecido na execução. Histórico de conversa, instruções e resultados de consultas podem ser incluídos nesse contexto sem representar novo treinamento. O acesso a informações atuais, como disponibilidade de produtos, exige uma fonte externa ao conhecimento aprendido. Por isso, a geração de texto precisa ser integrada às funções do sistema de atendimento.</w:t>
      </w:r>
    </w:p>
    <w:p>
      <w:pPr>
        <w:pStyle w:val="Heading3"/>
        <w:numPr>
          <w:ilvl w:val="2"/>
          <w:numId w:val="14"/>
        </w:numPr>
        <w:spacing w:before="360" w:after="360"/>
      </w:pPr>
      <w:bookmarkStart w:id="1006" w:name="_TCC_H_1006"/>
      <w:r>
        <w:rPr>
          <w:rFonts w:ascii="Arial" w:hAnsi="Arial" w:eastAsia="Arial" w:cs="Arial"/>
          <w:b w:val="0"/>
          <w:caps/>
          <w:color w:val="000000"/>
          <w:sz w:val="24"/>
        </w:rPr>
        <w:t>AGENTES BASEADOS EM LLM</w:t>
      </w:r>
      <w:bookmarkEnd w:id="1006"/>
    </w:p>
    <w:p>
      <w:pPr/>
      <w:r>
        <w:rPr>
          <w:rFonts w:ascii="Arial" w:hAnsi="Arial" w:eastAsia="Arial" w:cs="Arial"/>
          <w:color w:val="000000"/>
          <w:sz w:val="24"/>
        </w:rPr>
        <w:t xml:space="preserve">Um agente baseado em LLM combina o modelo com instruções, informações sobre a tarefa e meios de agir no ambiente. Ele utiliza as informações recebidas para selecionar uma ação, observar seu resultado e decidir como continuar. A revisão de Li </w:t>
      </w:r>
      <w:r>
        <w:rPr>
          <w:rFonts w:ascii="Arial" w:hAnsi="Arial" w:eastAsia="Arial" w:cs="Arial"/>
          <w:i w:val="1"/>
          <w:iCs w:val="1"/>
          <w:color w:val="000000"/>
          <w:sz w:val="24"/>
        </w:rPr>
        <w:t>et al.</w:t>
      </w:r>
      <w:r>
        <w:rPr>
          <w:rFonts w:ascii="Arial" w:hAnsi="Arial" w:eastAsia="Arial" w:cs="Arial"/>
          <w:color w:val="000000"/>
          <w:sz w:val="24"/>
        </w:rPr>
        <w:t xml:space="preserve"> (2024) descreve componentes como perfil, percepção, ação e interação, situando o modelo dentro de uma estrutura de execução mais ampla.</w:t>
      </w:r>
    </w:p>
    <w:p>
      <w:pPr/>
      <w:r>
        <w:rPr>
          <w:rFonts w:ascii="Arial" w:hAnsi="Arial" w:eastAsia="Arial" w:cs="Arial"/>
          <w:color w:val="000000"/>
          <w:sz w:val="24"/>
        </w:rPr>
        <w:t xml:space="preserve">Yao </w:t>
      </w:r>
      <w:r>
        <w:rPr>
          <w:rFonts w:ascii="Arial" w:hAnsi="Arial" w:eastAsia="Arial" w:cs="Arial"/>
          <w:i w:val="1"/>
          <w:iCs w:val="1"/>
          <w:color w:val="000000"/>
          <w:sz w:val="24"/>
        </w:rPr>
        <w:t>et al.</w:t>
      </w:r>
      <w:r>
        <w:rPr>
          <w:rFonts w:ascii="Arial" w:hAnsi="Arial" w:eastAsia="Arial" w:cs="Arial"/>
          <w:color w:val="000000"/>
          <w:sz w:val="24"/>
        </w:rPr>
        <w:t xml:space="preserve"> (2023) apresentam o método ReAct, que intercala raciocínio textual, ações e observações do ambiente. O interesse desse método para a fundamentação está no ciclo de execução: uma consulta externa pode fornecer informação para a decisão seguinte, em vez de toda a resposta depender apenas da entrada inicial. Isso não significa que todo agente deva reproduzir exatamente esse método.</w:t>
      </w:r>
    </w:p>
    <w:p>
      <w:pPr/>
      <w:r>
        <w:rPr>
          <w:rFonts w:ascii="Arial" w:hAnsi="Arial" w:eastAsia="Arial" w:cs="Arial"/>
          <w:color w:val="000000"/>
          <w:sz w:val="24"/>
        </w:rPr>
        <w:t>A figura a seguir representa uma forma simplificada desse ciclo. A aplicação executa a chamada de ferramenta solicitada pelo modelo, incorpora o retorno ao contexto e pode realizar uma nova consulta ao LLM. O ciclo termina quando há uma resposta ou quando uma condição de encerramento é atingida. Limites de tempo e de chamadas são controles da aplicação, não garantias fornecidas pela linguagem do modelo.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162000"/>
            <wp:docPr id="5" name="IMG-C020" descr="Entrada de contexto no LLM, seleção de ação, execução de ferramenta, retorno da observação e produção de resposta."/>
            <wp:cNvGraphicFramePr>
              <a:graphicFrameLocks noChangeAspect="1"/>
            </wp:cNvGraphicFramePr>
            <a:graphic>
              <a:graphicData uri="http://schemas.openxmlformats.org/drawingml/2006/picture">
                <pic:pic>
                  <pic:nvPicPr>
                    <pic:cNvPr id="0" name="02-anatomia-agente-llm.png"/>
                    <pic:cNvPicPr/>
                  </pic:nvPicPr>
                  <pic:blipFill>
                    <a:blip r:embed="rId38">
                      <a:extLst>
                        <a:ext uri="{96DAC541-7B7A-43D3-8B79-37D633B846F1}">
                          <ns0:svgBlip xmlns:ns0="http://schemas.microsoft.com/office/drawing/2016/SVG/main" r:embed="rId39"/>
                        </a:ext>
                      </a:extLst>
                    </a:blip>
                    <a:stretch>
                      <a:fillRect/>
                    </a:stretch>
                  </pic:blipFill>
                  <pic:spPr>
                    <a:xfrm>
                      <a:off x="0" y="0"/>
                      <a:ext cx="5580000" cy="3162000"/>
                    </a:xfrm>
                    <a:prstGeom prst="rect"/>
                  </pic:spPr>
                </pic:pic>
              </a:graphicData>
            </a:graphic>
          </wp:inline>
        </w:drawing>
      </w:r>
    </w:p>
    <w:p>
      <w:bookmarkStart w:id="5000" w:name="_TCC_F_IMG_C02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Ciclo de execução de um agente com ferramentas.</w:t>
      </w:r>
      <w:bookmarkEnd w:id="5000"/>
    </w:p>
    <w:p>
      <w:pPr>
        <w:pStyle w:val="FigureSource"/>
        <w:ind w:firstLine="0"/>
        <w:jc w:val="center"/>
      </w:pPr>
      <w:r>
        <w:rPr>
          <w:rFonts w:ascii="Arial" w:hAnsi="Arial" w:eastAsia="Arial" w:cs="Arial"/>
          <w:b w:val="0"/>
          <w:caps w:val="0"/>
          <w:color w:val="000000"/>
          <w:sz w:val="20"/>
        </w:rPr>
        <w:t xml:space="preserve">Fonte: elaboração própria (2026), com base em Yao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(2023).</w:t>
      </w:r>
    </w:p>
    <w:p>
      <w:pPr>
        <w:pStyle w:val="Heading3"/>
        <w:numPr>
          <w:ilvl w:val="2"/>
          <w:numId w:val="14"/>
        </w:numPr>
        <w:spacing w:before="360" w:after="360"/>
      </w:pPr>
      <w:bookmarkStart w:id="1007" w:name="_TCC_H_1007"/>
      <w:r>
        <w:rPr>
          <w:rFonts w:ascii="Arial" w:hAnsi="Arial" w:eastAsia="Arial" w:cs="Arial"/>
          <w:b w:val="0"/>
          <w:caps/>
          <w:color w:val="000000"/>
          <w:sz w:val="24"/>
        </w:rPr>
        <w:t>FERRAMENTAS, CONTEXTO E LIMITES DE EXECUÇÃO</w:t>
      </w:r>
      <w:bookmarkEnd w:id="1007"/>
    </w:p>
    <w:p>
      <w:pPr/>
      <w:r>
        <w:rPr>
          <w:rFonts w:ascii="Arial" w:hAnsi="Arial" w:eastAsia="Arial" w:cs="Arial"/>
          <w:color w:val="000000"/>
          <w:sz w:val="24"/>
        </w:rPr>
        <w:t>Uma ferramenta é uma função que a aplicação disponibiliza ao agente, como consulta a uma base, cálculo ou acesso a um serviço. Sua descrição informa a finalidade e os argumentos esperados. O modelo pode solicitar a chamada, mas a execução ocorre no programa que o envolve. O retorno deve ser distinguido do texto gerado pelo LLM: pode conter um valor encontrado, ausência de dados ou erro de execução.</w:t>
      </w:r>
    </w:p>
    <w:p>
      <w:pPr/>
      <w:r>
        <w:rPr>
          <w:rFonts w:ascii="Arial" w:hAnsi="Arial" w:eastAsia="Arial" w:cs="Arial"/>
          <w:color w:val="000000"/>
          <w:sz w:val="24"/>
        </w:rPr>
        <w:t>Por exemplo, em uma consulta de estoque, o sistema precisa identificar o produto, executar a busca e interpretar o retorno antes de compor a resposta. Se o produto não for localizado, isso deve permanecer explícito. A conexão a ferramentas amplia as ações possíveis, mas também acrescenta falhas de integração e exige tratamento de argumentos, permissões e erros. Esses controles pertencem ao projeto do sistema.</w:t>
      </w:r>
    </w:p>
    <w:p>
      <w:pPr/>
      <w:r>
        <w:rPr>
          <w:rFonts w:ascii="Arial" w:hAnsi="Arial" w:eastAsia="Arial" w:cs="Arial"/>
          <w:color w:val="000000"/>
          <w:sz w:val="24"/>
        </w:rPr>
        <w:t>O contexto de execução registra as informações necessárias para continuar a tarefa. Ele não precisa conter todo o histórico disponível, nem implica memória permanente. A seleção do que cada agente recebe torna-se especialmente importante quando vários agentes participam da mesma solicitação, como discutido a seguir.</w:t>
      </w:r>
    </w:p>
    <w:p>
      <w:pPr>
        <w:pStyle w:val="Heading2"/>
        <w:numPr>
          <w:ilvl w:val="1"/>
          <w:numId w:val="14"/>
        </w:numPr>
        <w:spacing w:before="360" w:after="360"/>
      </w:pPr>
      <w:bookmarkStart w:id="1008" w:name="_TCC_H_1008"/>
      <w:r>
        <w:rPr>
          <w:rFonts w:ascii="Arial" w:hAnsi="Arial" w:eastAsia="Arial" w:cs="Arial"/>
          <w:b/>
          <w:caps/>
          <w:color w:val="000000"/>
          <w:sz w:val="24"/>
        </w:rPr>
        <w:t>SISTEMAS MULTIAGENTES</w:t>
      </w:r>
      <w:bookmarkEnd w:id="1008"/>
    </w:p>
    <w:p>
      <w:pPr>
        <w:pStyle w:val="Heading3"/>
        <w:numPr>
          <w:ilvl w:val="2"/>
          <w:numId w:val="14"/>
        </w:numPr>
        <w:spacing w:before="0" w:after="360"/>
      </w:pPr>
      <w:bookmarkStart w:id="1009" w:name="_TCC_H_1009"/>
      <w:r>
        <w:rPr>
          <w:rFonts w:ascii="Arial" w:hAnsi="Arial" w:eastAsia="Arial" w:cs="Arial"/>
          <w:b w:val="0"/>
          <w:caps/>
          <w:color w:val="000000"/>
          <w:sz w:val="24"/>
        </w:rPr>
        <w:t>AGENTES E DIVISÃO DE RESPONSABILIDADES</w:t>
      </w:r>
      <w:bookmarkEnd w:id="1009"/>
    </w:p>
    <w:p>
      <w:pPr/>
      <w:r>
        <w:rPr>
          <w:rFonts w:ascii="Arial" w:hAnsi="Arial" w:eastAsia="Arial" w:cs="Arial"/>
          <w:color w:val="000000"/>
          <w:sz w:val="24"/>
        </w:rPr>
        <w:t xml:space="preserve">Um sistema multiagente reúne agentes que interagem em um ambiente. Eles podem cooperar, competir ou combinar essas relações. Neste trabalho, o recorte é cooperativo: diferentes agentes participam da resolução de uma solicitação. A especialização pode ser definida por instruções, ferramentas e informações acessíveis, mesmo quando os participantes utilizam o mesmo modelo de linguagem (LI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 xml:space="preserve">Separar responsabilidades permite distribuir tarefas, como recuperar informação, revisar uma resposta e produzir sua versão final. Contudo, essa divisão cria dependências: um agente precisa receber dados suficientes e interpretar corretamente o trabalho anterior. A revisão de Li </w:t>
      </w:r>
      <w:r>
        <w:rPr>
          <w:rFonts w:ascii="Arial" w:hAnsi="Arial" w:eastAsia="Arial" w:cs="Arial"/>
          <w:i w:val="1"/>
          <w:iCs w:val="1"/>
          <w:color w:val="000000"/>
          <w:sz w:val="24"/>
        </w:rPr>
        <w:t>et al.</w:t>
      </w:r>
      <w:r>
        <w:rPr>
          <w:rFonts w:ascii="Arial" w:hAnsi="Arial" w:eastAsia="Arial" w:cs="Arial"/>
          <w:color w:val="000000"/>
          <w:sz w:val="24"/>
        </w:rPr>
        <w:t xml:space="preserve"> (2024) trata a interação como componente próprio do sistema, o que justifica analisar a colaboração além das capacidades individuais.</w:t>
      </w:r>
    </w:p>
    <w:p>
      <w:pPr/>
      <w:r>
        <w:rPr>
          <w:rFonts w:ascii="Arial" w:hAnsi="Arial" w:eastAsia="Arial" w:cs="Arial"/>
          <w:color w:val="000000"/>
          <w:sz w:val="24"/>
        </w:rPr>
        <w:t xml:space="preserve">A participação de mais agentes não garante melhor desempenho. Kim </w:t>
      </w:r>
      <w:r>
        <w:rPr>
          <w:rFonts w:ascii="Arial" w:hAnsi="Arial" w:eastAsia="Arial" w:cs="Arial"/>
          <w:i w:val="1"/>
          <w:iCs w:val="1"/>
          <w:color w:val="000000"/>
          <w:sz w:val="24"/>
        </w:rPr>
        <w:t>et al.</w:t>
      </w:r>
      <w:r>
        <w:rPr>
          <w:rFonts w:ascii="Arial" w:hAnsi="Arial" w:eastAsia="Arial" w:cs="Arial"/>
          <w:color w:val="000000"/>
          <w:sz w:val="24"/>
        </w:rPr>
        <w:t xml:space="preserve"> (2026) investigam condições em que a capacidade do modelo e as características da tarefa alteram os benefícios da colaboração. Para este TCC, essa evidência fundamenta a necessidade de avaliar o custo da divisão de trabalho, em vez de considerar a quantidade de agentes como medida de qualidade.</w:t>
      </w:r>
    </w:p>
    <w:p>
      <w:pPr>
        <w:pStyle w:val="Heading3"/>
        <w:numPr>
          <w:ilvl w:val="2"/>
          <w:numId w:val="14"/>
        </w:numPr>
        <w:spacing w:before="360" w:after="360"/>
      </w:pPr>
      <w:bookmarkStart w:id="1010" w:name="_TCC_H_1010"/>
      <w:r>
        <w:rPr>
          <w:rFonts w:ascii="Arial" w:hAnsi="Arial" w:eastAsia="Arial" w:cs="Arial"/>
          <w:b w:val="0"/>
          <w:caps/>
          <w:color w:val="000000"/>
          <w:sz w:val="24"/>
        </w:rPr>
        <w:t>TOPOLOGIA E DISTRIBUIÇÃO DE CONTROLE</w:t>
      </w:r>
      <w:bookmarkEnd w:id="1010"/>
    </w:p>
    <w:p>
      <w:pPr/>
      <w:r>
        <w:rPr>
          <w:rFonts w:ascii="Arial" w:hAnsi="Arial" w:eastAsia="Arial" w:cs="Arial"/>
          <w:color w:val="000000"/>
          <w:sz w:val="24"/>
        </w:rPr>
        <w:t xml:space="preserve">A topologia descreve as conexões possíveis entre os participantes. Na estrela, os demais nós se ligam a um centro; na cadeia, as conexões formam uma sequência; na árvore, os nós se organizam em ramificações. Outras redes permitem conexões adicionais entre pares. Zhu </w:t>
      </w:r>
      <w:r>
        <w:rPr>
          <w:rFonts w:ascii="Arial" w:hAnsi="Arial" w:eastAsia="Arial" w:cs="Arial"/>
          <w:i w:val="1"/>
          <w:iCs w:val="1"/>
          <w:color w:val="000000"/>
          <w:sz w:val="24"/>
        </w:rPr>
        <w:t>et al.</w:t>
      </w:r>
      <w:r>
        <w:rPr>
          <w:rFonts w:ascii="Arial" w:hAnsi="Arial" w:eastAsia="Arial" w:cs="Arial"/>
          <w:color w:val="000000"/>
          <w:sz w:val="24"/>
        </w:rPr>
        <w:t xml:space="preserve"> (2025) incluem essas formas em sua avaliação de protocolos multiagentes. A figura seguinte apresenta apenas exemplos conceituais das conexões.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999500"/>
            <wp:docPr id="6" name="IMG-C022" descr="Quatro redes com nós e conexões: estrela, cadeia, árvore e rede com conexões adicionais entre pares."/>
            <wp:cNvGraphicFramePr>
              <a:graphicFrameLocks noChangeAspect="1"/>
            </wp:cNvGraphicFramePr>
            <a:graphic>
              <a:graphicData uri="http://schemas.openxmlformats.org/drawingml/2006/picture">
                <pic:pic>
                  <pic:nvPicPr>
                    <pic:cNvPr id="0" name="04-topologias-trabalhos-correlatos.png"/>
                    <pic:cNvPicPr/>
                  </pic:nvPicPr>
                  <pic:blipFill>
                    <a:blip r:embed="rId40">
                      <a:extLst>
                        <a:ext uri="{96DAC541-7B7A-43D3-8B79-37D633B846F1}">
                          <ns1:svgBlip xmlns:ns1="http://schemas.microsoft.com/office/drawing/2016/SVG/main" r:embed="rId41"/>
                        </a:ext>
                      </a:extLst>
                    </a:blip>
                    <a:stretch>
                      <a:fillRect/>
                    </a:stretch>
                  </pic:blipFill>
                  <pic:spPr>
                    <a:xfrm>
                      <a:off x="0" y="0"/>
                      <a:ext cx="5580000" cy="1999500"/>
                    </a:xfrm>
                    <a:prstGeom prst="rect"/>
                  </pic:spPr>
                </pic:pic>
              </a:graphicData>
            </a:graphic>
          </wp:inline>
        </w:drawing>
      </w:r>
    </w:p>
    <w:p>
      <w:bookmarkStart w:id="5001" w:name="_TCC_F_IMG_C02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Exemplos de topologias de comunicação entre agentes.</w:t>
      </w:r>
      <w:bookmarkEnd w:id="5001"/>
    </w:p>
    <w:p>
      <w:pPr>
        <w:pStyle w:val="FigureSource"/>
        <w:ind w:firstLine="0"/>
        <w:jc w:val="center"/>
      </w:pPr>
      <w:r>
        <w:rPr>
          <w:rFonts w:ascii="Arial" w:hAnsi="Arial" w:eastAsia="Arial" w:cs="Arial"/>
          <w:b w:val="0"/>
          <w:caps w:val="0"/>
          <w:color w:val="000000"/>
          <w:sz w:val="20"/>
        </w:rPr>
        <w:t xml:space="preserve">Fonte: elaboração própria (2026), com base em Zhu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 topologia, isoladamente, não informa quem decide a próxima ação, qual conteúdo é transmitido ou quando a tarefa termina. H. Wang </w:t>
      </w:r>
      <w:r>
        <w:rPr>
          <w:rFonts w:ascii="Arial" w:hAnsi="Arial" w:eastAsia="Arial" w:cs="Arial"/>
          <w:i w:val="1"/>
          <w:iCs w:val="1"/>
          <w:color w:val="000000"/>
          <w:sz w:val="24"/>
        </w:rPr>
        <w:t>et al.</w:t>
      </w:r>
      <w:r>
        <w:rPr>
          <w:rFonts w:ascii="Arial" w:hAnsi="Arial" w:eastAsia="Arial" w:cs="Arial"/>
          <w:color w:val="000000"/>
          <w:sz w:val="24"/>
        </w:rPr>
        <w:t xml:space="preserve"> (2025) distinguem organização da autoridade, controle de participação, dinâmica das interações e gestão do histórico. Essas dimensões ajudam a descrever as regras de execução que um desenho de conexões não revela.</w:t>
      </w:r>
    </w:p>
    <w:p>
      <w:pPr/>
      <w:r>
        <w:rPr>
          <w:rFonts w:ascii="Arial" w:hAnsi="Arial" w:eastAsia="Arial" w:cs="Arial"/>
          <w:color w:val="000000"/>
          <w:sz w:val="24"/>
        </w:rPr>
        <w:t xml:space="preserve">Também é necessário separar estrutura permitida de percurso executado. Uma rede pode admitir várias conexões, embora uma solicitação utilize apenas parte delas. Zhuge </w:t>
      </w:r>
      <w:r>
        <w:rPr>
          <w:rFonts w:ascii="Arial" w:hAnsi="Arial" w:eastAsia="Arial" w:cs="Arial"/>
          <w:i w:val="1"/>
          <w:iCs w:val="1"/>
          <w:color w:val="000000"/>
          <w:sz w:val="24"/>
        </w:rPr>
        <w:t>et al.</w:t>
      </w:r>
      <w:r>
        <w:rPr>
          <w:rFonts w:ascii="Arial" w:hAnsi="Arial" w:eastAsia="Arial" w:cs="Arial"/>
          <w:color w:val="000000"/>
          <w:sz w:val="24"/>
        </w:rPr>
        <w:t xml:space="preserve"> (2024) representam agentes e fluxos de informação por grafos computacionais, mostrando que a conectividade pode ser objeto de projeto e otimização. Nesta pesquisa, o interesse está em comparar configurações previamente definidas e observar os percursos que elas produzem.</w:t>
      </w:r>
    </w:p>
    <w:p>
      <w:pPr>
        <w:pStyle w:val="Heading3"/>
        <w:numPr>
          <w:ilvl w:val="2"/>
          <w:numId w:val="14"/>
        </w:numPr>
        <w:spacing w:before="360" w:after="360"/>
      </w:pPr>
      <w:bookmarkStart w:id="1011" w:name="_TCC_H_1011"/>
      <w:r>
        <w:rPr>
          <w:rFonts w:ascii="Arial" w:hAnsi="Arial" w:eastAsia="Arial" w:cs="Arial"/>
          <w:b w:val="0"/>
          <w:caps/>
          <w:color w:val="000000"/>
          <w:sz w:val="24"/>
        </w:rPr>
        <w:t>COMUNICAÇÃO, COORDENAÇÃO E OBSERVABILIDADE</w:t>
      </w:r>
      <w:bookmarkEnd w:id="1011"/>
    </w:p>
    <w:p>
      <w:pPr/>
      <w:r>
        <w:rPr>
          <w:rFonts w:ascii="Arial" w:hAnsi="Arial" w:eastAsia="Arial" w:cs="Arial"/>
          <w:color w:val="000000"/>
          <w:sz w:val="24"/>
        </w:rPr>
        <w:t xml:space="preserve">Comunicação é a troca de informações entre agentes. Coordenação é o conjunto de regras que organiza sua atuação: quem participa, quem recebe a tarefa, como se combinam as respostas e quais condições encerram a execução. Uma transferência de tarefa, ou </w:t>
      </w:r>
      <w:r>
        <w:rPr>
          <w:rFonts w:ascii="Arial" w:hAnsi="Arial" w:eastAsia="Arial" w:cs="Arial"/>
          <w:i w:val="1"/>
          <w:color w:val="000000"/>
          <w:sz w:val="24"/>
          <w:iCs w:val="1"/>
        </w:rPr>
        <w:t>handoff</w:t>
      </w:r>
      <w:r>
        <w:rPr>
          <w:rFonts w:ascii="Arial" w:hAnsi="Arial" w:eastAsia="Arial" w:cs="Arial"/>
          <w:color w:val="000000"/>
          <w:sz w:val="24"/>
        </w:rPr>
        <w:t>, envolve a passagem da continuidade do processamento; uma mensagem, por sua vez, pode apenas fornecer informação a outro participante.</w:t>
      </w:r>
    </w:p>
    <w:p>
      <w:pPr/>
      <w:r>
        <w:rPr>
          <w:rFonts w:ascii="Arial" w:hAnsi="Arial" w:eastAsia="Arial" w:cs="Arial"/>
          <w:color w:val="000000"/>
          <w:sz w:val="24"/>
        </w:rPr>
        <w:t xml:space="preserve">O conteúdo compartilhado pode incluir a solicitação, resultados de ferramentas e partes do histórico. Enviar informação insuficiente pode comprometer a decisão seguinte; repetir todo o contexto em cada interação pode aumentar o consumo de </w:t>
      </w:r>
      <w:r>
        <w:rPr>
          <w:rFonts w:ascii="Arial" w:hAnsi="Arial" w:eastAsia="Arial" w:cs="Arial"/>
          <w:i/>
          <w:color w:val="000000"/>
          <w:sz w:val="24"/>
        </w:rPr>
        <w:t>tokens</w:t>
      </w:r>
      <w:r>
        <w:rPr>
          <w:rFonts w:ascii="Arial" w:hAnsi="Arial" w:eastAsia="Arial" w:cs="Arial"/>
          <w:color w:val="000000"/>
          <w:sz w:val="24"/>
        </w:rPr>
        <w:t xml:space="preserve">. H. Wang </w:t>
      </w:r>
      <w:r>
        <w:rPr>
          <w:rFonts w:ascii="Arial" w:hAnsi="Arial" w:eastAsia="Arial" w:cs="Arial"/>
          <w:i w:val="1"/>
          <w:iCs w:val="1"/>
          <w:color w:val="000000"/>
          <w:sz w:val="24"/>
        </w:rPr>
        <w:t>et al.</w:t>
      </w:r>
      <w:r>
        <w:rPr>
          <w:rFonts w:ascii="Arial" w:hAnsi="Arial" w:eastAsia="Arial" w:cs="Arial"/>
          <w:color w:val="000000"/>
          <w:sz w:val="24"/>
        </w:rPr>
        <w:t xml:space="preserve"> (2025) incluem a gestão do histórico entre os mecanismos que relacionam qualidade e eficiência da colaboração.</w:t>
      </w:r>
    </w:p>
    <w:p>
      <w:pPr/>
      <w:r>
        <w:rPr>
          <w:rFonts w:ascii="Arial" w:hAnsi="Arial" w:eastAsia="Arial" w:cs="Arial"/>
          <w:color w:val="000000"/>
          <w:sz w:val="24"/>
        </w:rPr>
        <w:t xml:space="preserve">As interações também podem propagar erros ou produzir conflitos. Hammond </w:t>
      </w:r>
      <w:r>
        <w:rPr>
          <w:rFonts w:ascii="Arial" w:hAnsi="Arial" w:eastAsia="Arial" w:cs="Arial"/>
          <w:i w:val="1"/>
          <w:iCs w:val="1"/>
          <w:color w:val="000000"/>
          <w:sz w:val="24"/>
        </w:rPr>
        <w:t>et al.</w:t>
      </w:r>
      <w:r>
        <w:rPr>
          <w:rFonts w:ascii="Arial" w:hAnsi="Arial" w:eastAsia="Arial" w:cs="Arial"/>
          <w:color w:val="000000"/>
          <w:sz w:val="24"/>
        </w:rPr>
        <w:t xml:space="preserve"> (2025), em relatório técnico disponibilizado como </w:t>
      </w:r>
      <w:r>
        <w:rPr>
          <w:rFonts w:ascii="Arial" w:hAnsi="Arial" w:eastAsia="Arial" w:cs="Arial"/>
          <w:i/>
          <w:color w:val="000000"/>
          <w:sz w:val="24"/>
        </w:rPr>
        <w:t>preprint</w:t>
      </w:r>
      <w:r>
        <w:rPr>
          <w:rFonts w:ascii="Arial" w:hAnsi="Arial" w:eastAsia="Arial" w:cs="Arial"/>
          <w:color w:val="000000"/>
          <w:sz w:val="24"/>
        </w:rPr>
        <w:t>, sistematizam riscos de descoordenação, conflito e cooperação indesejada. Essa classificação não demonstra que todos esses riscos ocorram no MAB; ela fornece uma base para examinar falhas que surgem da interação entre agentes.</w:t>
      </w:r>
    </w:p>
    <w:p>
      <w:pPr/>
      <w:r>
        <w:rPr>
          <w:rFonts w:ascii="Arial" w:hAnsi="Arial" w:eastAsia="Arial" w:cs="Arial"/>
          <w:color w:val="000000"/>
          <w:sz w:val="24"/>
        </w:rPr>
        <w:t>A observabilidade permite reconstruir a execução a partir de registros de chamadas, retornos, transferências, erros e tempos. Esses registros ajudam a localizar onde o processamento falhou, mas não comprovam que o conteúdo da resposta esteja correto. Por isso, a avaliação precisa relacionar o percurso técnico com critérios de qualidade da tarefa.</w:t>
      </w:r>
    </w:p>
    <w:p>
      <w:pPr>
        <w:pStyle w:val="Heading2"/>
        <w:numPr>
          <w:ilvl w:val="1"/>
          <w:numId w:val="14"/>
        </w:numPr>
        <w:spacing w:before="360" w:after="360"/>
      </w:pPr>
      <w:bookmarkStart w:id="1012" w:name="_TCC_H_1012"/>
      <w:r>
        <w:rPr>
          <w:rFonts w:ascii="Arial" w:hAnsi="Arial" w:eastAsia="Arial" w:cs="Arial"/>
          <w:b/>
          <w:caps/>
          <w:color w:val="000000"/>
          <w:sz w:val="24"/>
        </w:rPr>
        <w:t>ARQUITETURAS DE COORDENAÇÃO</w:t>
      </w:r>
      <w:bookmarkEnd w:id="1012"/>
    </w:p>
    <w:p>
      <w:pPr>
        <w:pStyle w:val="Heading3"/>
        <w:numPr>
          <w:ilvl w:val="2"/>
          <w:numId w:val="14"/>
        </w:numPr>
        <w:spacing w:before="0" w:after="360"/>
      </w:pPr>
      <w:bookmarkStart w:id="1013" w:name="_TCC_H_1013"/>
      <w:r>
        <w:rPr>
          <w:rFonts w:ascii="Arial" w:hAnsi="Arial" w:eastAsia="Arial" w:cs="Arial"/>
          <w:b w:val="0"/>
          <w:caps/>
          <w:color w:val="000000"/>
          <w:sz w:val="24"/>
        </w:rPr>
        <w:t>ORQUESTRAÇÃO CENTRALIZADA</w:t>
      </w:r>
      <w:bookmarkEnd w:id="1013"/>
    </w:p>
    <w:p>
      <w:pPr/>
      <w:r>
        <w:rPr>
          <w:rFonts w:ascii="Arial" w:hAnsi="Arial" w:eastAsia="Arial" w:cs="Arial"/>
          <w:color w:val="000000"/>
          <w:sz w:val="24"/>
        </w:rPr>
        <w:t xml:space="preserve">Na orquestração centralizada, um controlador concentra as decisões sobre o encaminhamento das tarefas e a composição da resposta. Ele pode acionar outros agentes ou utilizar ferramentas diretamente. A característica que define a centralização é a autoridade sobre o fluxo, e não a existência obrigatória de vários especialistas. A dimensão de organização da autoridade discutida por H. Wang </w:t>
      </w:r>
      <w:r>
        <w:rPr>
          <w:rFonts w:ascii="Arial" w:hAnsi="Arial" w:eastAsia="Arial" w:cs="Arial"/>
          <w:i w:val="1"/>
          <w:iCs w:val="1"/>
          <w:color w:val="000000"/>
          <w:sz w:val="24"/>
        </w:rPr>
        <w:t>et al.</w:t>
      </w:r>
      <w:r>
        <w:rPr>
          <w:rFonts w:ascii="Arial" w:hAnsi="Arial" w:eastAsia="Arial" w:cs="Arial"/>
          <w:color w:val="000000"/>
          <w:sz w:val="24"/>
        </w:rPr>
        <w:t xml:space="preserve"> (2025) sustenta essa distinção.</w:t>
      </w:r>
    </w:p>
    <w:p>
      <w:pPr/>
      <w:r>
        <w:rPr>
          <w:rFonts w:ascii="Arial" w:hAnsi="Arial" w:eastAsia="Arial" w:cs="Arial"/>
          <w:color w:val="000000"/>
          <w:sz w:val="24"/>
        </w:rPr>
        <w:t>Um ponto de decisão explícito facilita identificar a origem do encaminhamento e aplicar regras comuns. Ao mesmo tempo, uma escolha incorreta do controlador pode comprometer as etapas seguintes. O efeito sobre latência e custo depende das chamadas realizadas; não decorre automaticamente do rótulo “centralizado”.</w:t>
      </w:r>
    </w:p>
    <w:p>
      <w:pPr>
        <w:pStyle w:val="Heading3"/>
        <w:numPr>
          <w:ilvl w:val="2"/>
          <w:numId w:val="14"/>
        </w:numPr>
        <w:spacing w:before="360" w:after="360"/>
      </w:pPr>
      <w:bookmarkStart w:id="1014" w:name="_TCC_H_1014"/>
      <w:r>
        <w:rPr>
          <w:rFonts w:ascii="Arial" w:hAnsi="Arial" w:eastAsia="Arial" w:cs="Arial"/>
          <w:b w:val="0"/>
          <w:caps/>
          <w:color w:val="000000"/>
          <w:sz w:val="24"/>
        </w:rPr>
        <w:t>FLUXO ESTRUTURADO (</w:t>
      </w:r>
      <w:r>
        <w:rPr>
          <w:rFonts w:ascii="Arial" w:hAnsi="Arial" w:eastAsia="Arial" w:cs="Arial"/>
          <w:b w:val="0"/>
          <w:caps/>
          <w:color w:val="000000"/>
          <w:sz w:val="24"/>
          <w:i w:val="1"/>
          <w:iCs w:val="1"/>
        </w:rPr>
        <w:t>WORKFLOW</w:t>
      </w:r>
      <w:r>
        <w:rPr>
          <w:rFonts w:ascii="Arial" w:hAnsi="Arial" w:eastAsia="Arial" w:cs="Arial"/>
          <w:b w:val="0"/>
          <w:caps/>
          <w:color w:val="000000"/>
          <w:sz w:val="24"/>
        </w:rPr>
        <w:t>)</w:t>
      </w:r>
      <w:bookmarkEnd w:id="1014"/>
    </w:p>
    <w:p>
      <w:pPr/>
      <w:r>
        <w:rPr>
          <w:rFonts w:ascii="Arial" w:hAnsi="Arial" w:eastAsia="Arial" w:cs="Arial"/>
          <w:color w:val="000000"/>
          <w:sz w:val="24"/>
        </w:rPr>
        <w:t xml:space="preserve">Um </w:t>
      </w:r>
      <w:r>
        <w:rPr>
          <w:rFonts w:ascii="Arial" w:hAnsi="Arial" w:eastAsia="Arial" w:cs="Arial"/>
          <w:i w:val="1"/>
          <w:color w:val="000000"/>
          <w:sz w:val="24"/>
          <w:iCs w:val="1"/>
        </w:rPr>
        <w:t>workflow</w:t>
      </w:r>
      <w:r>
        <w:rPr>
          <w:rFonts w:ascii="Arial" w:hAnsi="Arial" w:eastAsia="Arial" w:cs="Arial"/>
          <w:color w:val="000000"/>
          <w:sz w:val="24"/>
        </w:rPr>
        <w:t xml:space="preserve"> organiza o processamento por etapas e transições definidas na aplicação. Cada etapa pode utilizar um agente, uma ferramenta ou uma regra determinística. A passagem entre etapas pode ser sequencial ou condicional. Assim, um fluxo estruturado não precisa executar sempre o mesmo caminho, mas suas alternativas são estabelecidas no projeto. Yu </w:t>
      </w:r>
      <w:r>
        <w:rPr>
          <w:rFonts w:ascii="Arial" w:hAnsi="Arial" w:eastAsia="Arial" w:cs="Arial"/>
          <w:i w:val="1"/>
          <w:iCs w:val="1"/>
          <w:color w:val="000000"/>
          <w:sz w:val="24"/>
        </w:rPr>
        <w:t>et al.</w:t>
      </w:r>
      <w:r>
        <w:rPr>
          <w:rFonts w:ascii="Arial" w:hAnsi="Arial" w:eastAsia="Arial" w:cs="Arial"/>
          <w:color w:val="000000"/>
          <w:sz w:val="24"/>
        </w:rPr>
        <w:t xml:space="preserve"> (2025) revisam diferentes formas de organização de fluxos de agentes.</w:t>
      </w:r>
    </w:p>
    <w:p>
      <w:pPr/>
      <w:r>
        <w:rPr>
          <w:rFonts w:ascii="Arial" w:hAnsi="Arial" w:eastAsia="Arial" w:cs="Arial"/>
          <w:color w:val="000000"/>
          <w:sz w:val="24"/>
        </w:rPr>
        <w:t>A explicitação das transições favorece a identificação da etapa responsável por uma saída e permite definir pontos de validação. A limitação está na cobertura das rotas previstas: solicitações que exigem outra sequência podem depender de uma nova regra. A execução de etapas desnecessárias também pode acrescentar tempo e chamadas ao modelo.</w:t>
      </w:r>
    </w:p>
    <w:p>
      <w:pPr>
        <w:pStyle w:val="Heading3"/>
        <w:numPr>
          <w:ilvl w:val="2"/>
          <w:numId w:val="14"/>
        </w:numPr>
        <w:spacing w:before="360" w:after="360"/>
      </w:pPr>
      <w:bookmarkStart w:id="1015" w:name="_TCC_H_1015"/>
      <w:r>
        <w:rPr>
          <w:rFonts w:ascii="Arial" w:hAnsi="Arial" w:eastAsia="Arial" w:cs="Arial"/>
          <w:b w:val="0"/>
          <w:caps/>
          <w:color w:val="000000"/>
          <w:sz w:val="24"/>
        </w:rPr>
        <w:t>COORDENAÇÃO DESCENTRALIZADA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5"/>
    </w:p>
    <w:p>
      <w:pPr/>
      <w:r>
        <w:rPr>
          <w:rFonts w:ascii="Arial" w:hAnsi="Arial" w:eastAsia="Arial" w:cs="Arial"/>
          <w:color w:val="000000"/>
          <w:sz w:val="24"/>
        </w:rPr>
        <w:t xml:space="preserve">Na coordenação descentralizada, agentes podem decidir a continuidade do trabalho e transferir tarefas entre pares. O termo </w:t>
      </w:r>
      <w:r>
        <w:rPr>
          <w:rFonts w:ascii="Arial" w:hAnsi="Arial" w:eastAsia="Arial" w:cs="Arial"/>
          <w:i w:val="1"/>
          <w:color w:val="000000"/>
          <w:sz w:val="24"/>
          <w:iCs w:val="1"/>
        </w:rPr>
        <w:t>swarm</w:t>
      </w:r>
      <w:r>
        <w:rPr>
          <w:rFonts w:ascii="Arial" w:hAnsi="Arial" w:eastAsia="Arial" w:cs="Arial"/>
          <w:color w:val="000000"/>
          <w:sz w:val="24"/>
        </w:rPr>
        <w:t xml:space="preserve"> é utilizado neste estudo para essa forma de delegação. A existência de um agente que inicia a solicitação não elimina a descentralização das decisões posteriores. Também não implica que todos os agentes estejam conectados entre si ou executem em paralelo.</w:t>
      </w:r>
    </w:p>
    <w:p>
      <w:pPr/>
      <w:r>
        <w:rPr>
          <w:rFonts w:ascii="Arial" w:hAnsi="Arial" w:eastAsia="Arial" w:cs="Arial"/>
          <w:color w:val="000000"/>
          <w:sz w:val="24"/>
        </w:rPr>
        <w:t xml:space="preserve">Essa organização permite solicitar outra competência durante a execução, mas exige regras para identificar o destinatário, transmitir contexto e encerrar transferências. Em termos conceituais, topologia e autonomia precisam ser analisadas separadamente, como indicam as dimensões de interação de Li </w:t>
      </w:r>
      <w:r>
        <w:rPr>
          <w:rFonts w:ascii="Arial" w:hAnsi="Arial" w:eastAsia="Arial" w:cs="Arial"/>
          <w:i w:val="1"/>
          <w:iCs w:val="1"/>
          <w:color w:val="000000"/>
          <w:sz w:val="24"/>
        </w:rPr>
        <w:t>et al.</w:t>
      </w:r>
      <w:r>
        <w:rPr>
          <w:rFonts w:ascii="Arial" w:hAnsi="Arial" w:eastAsia="Arial" w:cs="Arial"/>
          <w:color w:val="000000"/>
          <w:sz w:val="24"/>
        </w:rPr>
        <w:t xml:space="preserve"> (2024). A ausência de um supervisor em cada etapa não dispensa controle de erros nem acompanhamento do fluxo.</w:t>
      </w:r>
    </w:p>
    <w:p>
      <w:pPr>
        <w:pStyle w:val="Heading3"/>
        <w:numPr>
          <w:ilvl w:val="2"/>
          <w:numId w:val="14"/>
        </w:numPr>
        <w:spacing w:before="360" w:after="360"/>
      </w:pPr>
      <w:bookmarkStart w:id="1016" w:name="_TCC_H_1016"/>
      <w:r>
        <w:rPr>
          <w:rFonts w:ascii="Arial" w:hAnsi="Arial" w:eastAsia="Arial" w:cs="Arial"/>
          <w:b w:val="0"/>
          <w:caps/>
          <w:color w:val="000000"/>
          <w:sz w:val="24"/>
        </w:rPr>
        <w:t>SÍNTESE DA COMPARAÇÃO</w:t>
      </w:r>
      <w:bookmarkEnd w:id="1016"/>
    </w:p>
    <w:p>
      <w:pPr/>
      <w:r>
        <w:rPr>
          <w:rFonts w:ascii="Arial" w:hAnsi="Arial" w:eastAsia="Arial" w:cs="Arial"/>
          <w:color w:val="000000"/>
          <w:sz w:val="24"/>
        </w:rPr>
        <w:t>A figura a seguir resume onde o controle é exercido nas três organizações. Os desenhos são esquemas conceituais: representam possibilidades de coordenação, e não medições ou a sequência exata de uma execução do MAB.</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7" name="IMG-C019" descr="Supervisor central ligado a agentes, etapas ordenadas por regras e transferências entre agentes sem supervisor em cada passo."/>
            <wp:cNvGraphicFramePr>
              <a:graphicFrameLocks noChangeAspect="1"/>
            </wp:cNvGraphicFramePr>
            <a:graphic>
              <a:graphicData uri="http://schemas.openxmlformats.org/drawingml/2006/picture">
                <pic:pic>
                  <pic:nvPicPr>
                    <pic:cNvPr id="0" name="01-comparacao-arquiteturas.png"/>
                    <pic:cNvPicPr/>
                  </pic:nvPicPr>
                  <pic:blipFill>
                    <a:blip r:embed="rId42">
                      <a:extLst>
                        <a:ext uri="{96DAC541-7B7A-43D3-8B79-37D633B846F1}">
                          <ns2:svgBlip xmlns:ns2="http://schemas.microsoft.com/office/drawing/2016/SVG/main" r:embed="rId43"/>
                        </a:ext>
                      </a:extLst>
                    </a:blip>
                    <a:stretch>
                      <a:fillRect/>
                    </a:stretch>
                  </pic:blipFill>
                  <pic:spPr>
                    <a:xfrm>
                      <a:off x="0" y="0"/>
                      <a:ext cx="5580000" cy="3301500"/>
                    </a:xfrm>
                    <a:prstGeom prst="rect"/>
                  </pic:spPr>
                </pic:pic>
              </a:graphicData>
            </a:graphic>
          </wp:inline>
        </w:drawing>
      </w:r>
    </w:p>
    <w:p>
      <w:bookmarkStart w:id="5002" w:name="_TCC_F_IMG_C019"/>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Distribuição de controle nas três arquiteturas de coordenação.</w:t>
      </w:r>
      <w:bookmarkEnd w:id="5002"/>
    </w:p>
    <w:p>
      <w:pPr>
        <w:pStyle w:val="FigureSource"/>
        <w:ind w:firstLine="0"/>
        <w:jc w:val="center"/>
      </w:pPr>
      <w:r>
        <w:rPr>
          <w:rFonts w:ascii="Arial" w:hAnsi="Arial" w:eastAsia="Arial" w:cs="Arial"/>
          <w:b w:val="0"/>
          <w:caps w:val="0"/>
          <w:color w:val="000000"/>
          <w:sz w:val="20"/>
        </w:rPr>
        <w:t xml:space="preserve">Fonte: elaboração própria (2026), com base em Li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(2024), Yu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 e H. Wang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As três organizações diferem principalmente pela autoridade sobre o próximo passo e pela definição das transições. Entretanto, o custo depende do percurso realmente executado, das chamadas ao modelo e do contexto transmitido. A comparação deve considerar essas decisões em conjunto com a qualidade das respostas, conforme a análise dos mecanismos de colaboração de H. Wang </w:t>
      </w:r>
      <w:r>
        <w:rPr>
          <w:rFonts w:ascii="Arial" w:hAnsi="Arial" w:eastAsia="Arial" w:cs="Arial"/>
          <w:i w:val="1"/>
          <w:iCs w:val="1"/>
          <w:color w:val="000000"/>
          <w:sz w:val="24"/>
        </w:rPr>
        <w:t>et al.</w:t>
      </w:r>
      <w:r>
        <w:rPr>
          <w:rFonts w:ascii="Arial" w:hAnsi="Arial" w:eastAsia="Arial" w:cs="Arial"/>
          <w:color w:val="000000"/>
          <w:sz w:val="24"/>
        </w:rPr>
        <w:t xml:space="preserve"> (2025).</w:t>
      </w:r>
    </w:p>
    <w:p>
      <w:pPr/>
      <w:r>
        <w:rPr>
          <w:rFonts w:ascii="Arial" w:hAnsi="Arial" w:eastAsia="Arial" w:cs="Arial"/>
          <w:color w:val="000000"/>
          <w:sz w:val="24"/>
        </w:rPr>
        <w:t xml:space="preserve">No MAB, a configuração centralizada utiliza um único agente com ferramentas; o fluxo estruturado e o </w:t>
      </w:r>
      <w:r>
        <w:rPr>
          <w:rFonts w:ascii="Arial" w:hAnsi="Arial" w:eastAsia="Arial" w:cs="Arial"/>
          <w:i w:val="1"/>
          <w:color w:val="000000"/>
          <w:sz w:val="24"/>
          <w:iCs w:val="1"/>
        </w:rPr>
        <w:t>swarm</w:t>
      </w:r>
      <w:r>
        <w:rPr>
          <w:rFonts w:ascii="Arial" w:hAnsi="Arial" w:eastAsia="Arial" w:cs="Arial"/>
          <w:color w:val="000000"/>
          <w:sz w:val="24"/>
        </w:rPr>
        <w:t xml:space="preserve"> distribuem responsabilidades entre agentes, conforme descrito no Capítulo 6. Portanto, o experimento compara configurações completas de coordenação com funções de domínio comuns, e não apenas topologias com igual número de agentes. Essa diferença deve ser considerada na interpretação dos resultados, sem atribuir todo efeito exclusivamente ao formato das conexões. O capítulo seguinte apresenta os trabalhos que orientam esse recorte comparativo.</w:t>
      </w:r>
    </w:p>
    <w:p>
      <w:pPr>
        <w:pStyle w:val="Heading1"/>
        <w:numPr>
          <w:ilvl w:val="0"/>
          <w:numId w:val="14"/>
        </w:numPr>
        <w:spacing w:before="0" w:after="360"/>
      </w:pPr>
      <w:bookmarkStart w:id="1017" w:name="_TCC_H_1017"/>
      <w:r>
        <w:rPr>
          <w:rFonts w:ascii="Arial" w:hAnsi="Arial" w:eastAsia="Arial" w:cs="Arial"/>
          <w:b/>
          <w:caps/>
          <w:color w:val="000000"/>
          <w:sz w:val="28"/>
        </w:rPr>
        <w:t>TRABALHOS CORRELATOS</w:t>
      </w:r>
      <w:bookmarkEnd w:id="1017"/>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18" w:name="_TCC_H_1018"/>
      <w:r>
        <w:rPr>
          <w:rFonts w:ascii="Arial" w:hAnsi="Arial" w:eastAsia="Arial" w:cs="Arial"/>
          <w:b/>
          <w:caps/>
          <w:color w:val="000000"/>
          <w:sz w:val="24"/>
        </w:rPr>
        <w:t>SISTEMAS DE ATENDIMENTO AUTOMATIZADO</w:t>
      </w:r>
      <w:bookmarkEnd w:id="1018"/>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19" w:name="_TCC_H_1019"/>
      <w:r>
        <w:rPr>
          <w:rFonts w:ascii="Arial" w:hAnsi="Arial" w:eastAsia="Arial" w:cs="Arial"/>
          <w:b/>
          <w:caps/>
          <w:color w:val="000000"/>
          <w:sz w:val="24"/>
        </w:rPr>
        <w:t>SISTEMAS MULTIAGENTES APLICADOS</w:t>
      </w:r>
      <w:bookmarkEnd w:id="1019"/>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frameworks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Uma vertente complementar trata a própria arquitetura como objeto de síntese ou adaptação. Zhuge </w:t>
      </w:r>
      <w:r>
        <w:rPr>
          <w:rFonts w:ascii="Arial" w:hAnsi="Arial" w:eastAsia="Arial" w:cs="Arial"/>
          <w:i w:val="1"/>
          <w:iCs w:val="1"/>
          <w:color w:val="000000"/>
          <w:sz w:val="24"/>
        </w:rPr>
        <w:t>et al.</w:t>
      </w:r>
      <w:r>
        <w:rPr>
          <w:rFonts w:ascii="Arial" w:hAnsi="Arial" w:eastAsia="Arial" w:cs="Arial"/>
          <w:color w:val="000000"/>
          <w:sz w:val="24"/>
        </w:rPr>
        <w:t xml:space="preserve"> (2024), no GPTSwarm, representam agentes e fluxos de informação como grafos computacionais, nos quais os nós realizam operações e as arestas definem o fluxo; seus otimizadores atuam tanto sobre instruções locais quanto sobre a conectividade. Liu </w:t>
      </w:r>
      <w:r>
        <w:rPr>
          <w:rFonts w:ascii="Arial" w:hAnsi="Arial" w:eastAsia="Arial" w:cs="Arial"/>
          <w:i w:val="1"/>
          <w:iCs w:val="1"/>
          <w:color w:val="000000"/>
          <w:sz w:val="24"/>
        </w:rPr>
        <w:t>et al.</w:t>
      </w:r>
      <w:r>
        <w:rPr>
          <w:rFonts w:ascii="Arial" w:hAnsi="Arial" w:eastAsia="Arial" w:cs="Arial"/>
          <w:color w:val="000000"/>
          <w:sz w:val="24"/>
        </w:rPr>
        <w:t xml:space="preserve"> (2024), com o DyLAN, selecionam uma equipe conforme a tarefa e fazem os agentes colaborarem em uma estrutura dinâmica. Esses trabalhos ampliam o espaço arquitetural além de topologias fixas, mas otimizam ou selecionam a configuração para a tarefa, em vez de estimar isoladamente o efeito de arquiteturas predefinidas.</w:t>
      </w:r>
    </w:p>
    <w:p>
      <w:pPr/>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e Z. Wang </w:t>
      </w:r>
      <w:r>
        <w:rPr>
          <w:rFonts w:ascii="Arial" w:hAnsi="Arial" w:eastAsia="Arial" w:cs="Arial"/>
          <w:i w:val="1"/>
          <w:iCs w:val="1"/>
          <w:color w:val="000000"/>
          <w:sz w:val="24"/>
        </w:rPr>
        <w:t>et al.</w:t>
      </w:r>
      <w:r>
        <w:rPr>
          <w:rFonts w:ascii="Arial" w:hAnsi="Arial" w:eastAsia="Arial" w:cs="Arial"/>
          <w:color w:val="000000"/>
          <w:sz w:val="24"/>
        </w:rPr>
        <w:t xml:space="preserve"> (2025) abordam a eficiência da comunicação por caminhos distintos. O AgentPrune realiza uma poda única de mensagens em um grafo espaço-temporal; o AgentDropout ajusta matrizes de adjacência ao longo das rodadas e elimina agentes e comunicações redundantes. Yue </w:t>
      </w:r>
      <w:r>
        <w:rPr>
          <w:rFonts w:ascii="Arial" w:hAnsi="Arial" w:eastAsia="Arial" w:cs="Arial"/>
          <w:i w:val="1"/>
          <w:iCs w:val="1"/>
          <w:color w:val="000000"/>
          <w:sz w:val="24"/>
        </w:rPr>
        <w:t>et al.</w:t>
      </w:r>
      <w:r>
        <w:rPr>
          <w:rFonts w:ascii="Arial" w:hAnsi="Arial" w:eastAsia="Arial" w:cs="Arial"/>
          <w:color w:val="000000"/>
          <w:sz w:val="24"/>
        </w:rPr>
        <w:t xml:space="preserve"> (2025), por sua vez, formulam o roteamento do sistema multiagente como uma decisão conjunta sobre modo de colaboração, papéis e modelos. A contribuição comum é mostrar que participação, conectividade e custo são variáveis de projeto. Para esta pesquisa, também delimitam uma diferença: o MAB mantém essas decisões predefinidas em cada condição para comparar arquiteturas, em vez de escolher uma configuração diferente para cada solicitação.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0" w:name="_TCC_H_1020"/>
      <w:r>
        <w:rPr>
          <w:rFonts w:ascii="Arial" w:hAnsi="Arial" w:eastAsia="Arial" w:cs="Arial"/>
          <w:b/>
          <w:caps/>
          <w:color w:val="000000"/>
          <w:sz w:val="24"/>
        </w:rPr>
        <w:t>ANÁLISE DOS TRABALHOS CORRELATOS</w:t>
      </w:r>
      <w:bookmarkEnd w:id="1020"/>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c>
          <w:tcPr>
            <w:tcW w:type="dxa" w:w="2268"/>
          </w:tcPr>
          <w:p>
            <w:r>
              <w:rPr>
                <w:rFonts w:ascii="Arial" w:hAnsi="Arial" w:eastAsia="Arial" w:cs="Arial"/>
                <w:color w:val="000000"/>
                <w:sz w:val="24"/>
              </w:rPr>
              <w:t xml:space="preserve">Zhuge </w:t>
            </w:r>
            <w:r>
              <w:rPr>
                <w:rFonts w:ascii="Arial" w:hAnsi="Arial" w:eastAsia="Arial" w:cs="Arial"/>
                <w:i w:val="1"/>
                <w:iCs w:val="1"/>
                <w:color w:val="000000"/>
                <w:sz w:val="24"/>
              </w:rPr>
              <w:t>et al.</w:t>
            </w:r>
            <w:r>
              <w:rPr>
                <w:rFonts w:ascii="Arial" w:hAnsi="Arial" w:eastAsia="Arial" w:cs="Arial"/>
                <w:color w:val="000000"/>
                <w:sz w:val="24"/>
              </w:rPr>
              <w:t xml:space="preserve"> (2024) e Liu </w:t>
            </w:r>
            <w:r>
              <w:rPr>
                <w:rFonts w:ascii="Arial" w:hAnsi="Arial" w:eastAsia="Arial" w:cs="Arial"/>
                <w:i w:val="1"/>
                <w:iCs w:val="1"/>
                <w:color w:val="000000"/>
                <w:sz w:val="24"/>
              </w:rPr>
              <w:t>et al.</w:t>
            </w:r>
            <w:r>
              <w:rPr>
                <w:rFonts w:ascii="Arial" w:hAnsi="Arial" w:eastAsia="Arial" w:cs="Arial"/>
                <w:color w:val="000000"/>
                <w:sz w:val="24"/>
              </w:rPr>
              <w:t xml:space="preserve"> (2024)</w:t>
            </w:r>
          </w:p>
        </w:tc>
        <w:tc>
          <w:tcPr>
            <w:tcW w:type="dxa" w:w="2268"/>
          </w:tcPr>
          <w:p>
            <w:r>
              <w:rPr>
                <w:rFonts w:ascii="Arial" w:hAnsi="Arial" w:eastAsia="Arial" w:cs="Arial"/>
                <w:color w:val="000000"/>
                <w:sz w:val="24"/>
              </w:rPr>
              <w:t>Grafos otimizáveis, seleção de equipe e comunicação dinâmica</w:t>
            </w:r>
          </w:p>
        </w:tc>
        <w:tc>
          <w:tcPr>
            <w:tcW w:type="dxa" w:w="2268"/>
          </w:tcPr>
          <w:p>
            <w:r>
              <w:rPr>
                <w:rFonts w:ascii="Arial" w:hAnsi="Arial" w:eastAsia="Arial" w:cs="Arial"/>
                <w:color w:val="000000"/>
                <w:sz w:val="24"/>
              </w:rPr>
              <w:t>Sintetizam ou adaptam a configuração à tarefa</w:t>
            </w:r>
          </w:p>
        </w:tc>
        <w:tc>
          <w:tcPr>
            <w:tcW w:type="dxa" w:w="2268"/>
          </w:tcPr>
          <w:p>
            <w:r>
              <w:rPr>
                <w:rFonts w:ascii="Arial" w:hAnsi="Arial" w:eastAsia="Arial" w:cs="Arial"/>
                <w:color w:val="000000"/>
                <w:sz w:val="24"/>
              </w:rPr>
              <w:t>Delimitam arquiteturas adaptativas, distintas da comparação entre condições fixas</w:t>
            </w:r>
          </w:p>
        </w:tc>
      </w:tr>
      <w:tr>
        <w:tc>
          <w:tcPr>
            <w:tcW w:type="dxa" w:w="2268"/>
          </w:tcPr>
          <w:p>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Z. Wang </w:t>
            </w:r>
            <w:r>
              <w:rPr>
                <w:rFonts w:ascii="Arial" w:hAnsi="Arial" w:eastAsia="Arial" w:cs="Arial"/>
                <w:i w:val="1"/>
                <w:iCs w:val="1"/>
                <w:color w:val="000000"/>
                <w:sz w:val="24"/>
              </w:rPr>
              <w:t>et al.</w:t>
            </w:r>
            <w:r>
              <w:rPr>
                <w:rFonts w:ascii="Arial" w:hAnsi="Arial" w:eastAsia="Arial" w:cs="Arial"/>
                <w:color w:val="000000"/>
                <w:sz w:val="24"/>
              </w:rPr>
              <w:t xml:space="preserve"> (2025) e Yue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268"/>
          </w:tcPr>
          <w:p>
            <w:r>
              <w:rPr>
                <w:rFonts w:ascii="Arial" w:hAnsi="Arial" w:eastAsia="Arial" w:cs="Arial"/>
                <w:color w:val="000000"/>
                <w:sz w:val="24"/>
              </w:rPr>
              <w:t>Poda de mensagens, eliminação dinâmica e roteamento conjunto</w:t>
            </w:r>
          </w:p>
        </w:tc>
        <w:tc>
          <w:tcPr>
            <w:tcW w:type="dxa" w:w="2268"/>
          </w:tcPr>
          <w:p>
            <w:r>
              <w:rPr>
                <w:rFonts w:ascii="Arial" w:hAnsi="Arial" w:eastAsia="Arial" w:cs="Arial"/>
                <w:color w:val="000000"/>
                <w:sz w:val="24"/>
              </w:rPr>
              <w:t>Relacionam participação, conectividade e escolha de modelos a custo e desempenho</w:t>
            </w:r>
          </w:p>
        </w:tc>
        <w:tc>
          <w:tcPr>
            <w:tcW w:type="dxa" w:w="2268"/>
          </w:tcPr>
          <w:p>
            <w:r>
              <w:rPr>
                <w:rFonts w:ascii="Arial" w:hAnsi="Arial" w:eastAsia="Arial" w:cs="Arial"/>
                <w:color w:val="000000"/>
                <w:sz w:val="24"/>
              </w:rPr>
              <w:t>Reforçam a necessidade de observar custo de coordenação e controlar decisões arquiteturais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H.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GPTSwarm, DyLAN, AgentPrune, AgentDropout e MasRouter complementam esse núcleo ao tratar a arquitetura como espaço de busca ou adaptação. Em conjunto, os estudos cobrem comparação de famílias arquiteturais, decomposição dos mecanismos de colaboração, avaliação de protocolos topológicos, efeito da escala, otimização da conectividade e roteamento. Nenhum deles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1" w:name="_TCC_H_1021"/>
      <w:r>
        <w:rPr>
          <w:rFonts w:ascii="Arial" w:hAnsi="Arial" w:eastAsia="Arial" w:cs="Arial"/>
          <w:b/>
          <w:caps/>
          <w:color w:val="000000"/>
          <w:sz w:val="24"/>
        </w:rPr>
        <w:t>LACUNAS E OPORTUNIDADES</w:t>
      </w:r>
      <w:bookmarkEnd w:id="1021"/>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além de métodos que sintetizam ou adaptam a arquitetura para cada tarefa, mas essas condições não correspondem integralmente às três estratégias fixas implementadas no MAB. A otimização automática responde a qual configuração selecionar; a comparação controlada proposta neste trabalho investiga o que muda quando a estratégia de coordenação é a variável manipulada.</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2" w:name="_TCC_H_1022"/>
      <w:r>
        <w:rPr>
          <w:rFonts w:ascii="Arial" w:hAnsi="Arial" w:eastAsia="Arial" w:cs="Arial"/>
          <w:b/>
          <w:caps/>
          <w:color w:val="000000"/>
          <w:sz w:val="28"/>
        </w:rPr>
        <w:t>METODOLOGIA</w:t>
      </w:r>
      <w:bookmarkEnd w:id="1022"/>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3" w:name="_TCC_H_1023"/>
      <w:r>
        <w:rPr>
          <w:rFonts w:ascii="Arial" w:hAnsi="Arial" w:eastAsia="Arial" w:cs="Arial"/>
          <w:b/>
          <w:caps/>
          <w:color w:val="000000"/>
          <w:sz w:val="24"/>
        </w:rPr>
        <w:t>CARACTERIZAÇÃO DA PESQUISA</w:t>
      </w:r>
      <w:bookmarkEnd w:id="1023"/>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24" w:name="_TCC_H_1024"/>
      <w:r>
        <w:rPr>
          <w:rFonts w:ascii="Arial" w:hAnsi="Arial" w:eastAsia="Arial" w:cs="Arial"/>
          <w:b/>
          <w:caps/>
          <w:color w:val="000000"/>
          <w:sz w:val="24"/>
        </w:rPr>
        <w:t>OBJETO E CONTEXTO DA PESQUISA</w:t>
      </w:r>
      <w:bookmarkEnd w:id="1024"/>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Não será incluída uma quarta condição de referência (</w:t>
      </w:r>
      <w:r>
        <w:rPr>
          <w:rFonts w:ascii="Arial" w:hAnsi="Arial" w:eastAsia="Arial" w:cs="Arial"/>
          <w:color w:val="000000"/>
          <w:sz w:val="24"/>
          <w:i w:val="1"/>
          <w:iCs w:val="1"/>
        </w:rPr>
        <w:t>baseline</w:t>
      </w:r>
      <w:r>
        <w:rPr>
          <w:rFonts w:ascii="Arial" w:hAnsi="Arial" w:eastAsia="Arial" w:cs="Arial"/>
          <w:color w:val="000000"/>
          <w:sz w:val="24"/>
        </w:rPr>
        <w:t>). A condição centralizada já utiliza um único agente com ferramentas; as demais distribuem funções entre agentes.</w:t>
      </w:r>
    </w:p>
    <w:p>
      <w:pPr>
        <w:pStyle w:val="Heading2"/>
        <w:numPr>
          <w:ilvl w:val="1"/>
          <w:numId w:val="14"/>
        </w:numPr>
        <w:spacing w:before="360" w:after="360"/>
      </w:pPr>
      <w:bookmarkStart w:id="1025" w:name="_TCC_H_1025"/>
      <w:r>
        <w:rPr>
          <w:rFonts w:ascii="Arial" w:hAnsi="Arial" w:eastAsia="Arial" w:cs="Arial"/>
          <w:b/>
          <w:caps/>
          <w:color w:val="000000"/>
          <w:sz w:val="24"/>
        </w:rPr>
        <w:t>ORIGEM DOS DADOS E CONSTRUÇÃO DOS CENÁRIOS</w:t>
      </w:r>
      <w:bookmarkEnd w:id="1025"/>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4"/>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6" w:name="_TCC_H_1026"/>
      <w:r>
        <w:rPr>
          <w:rFonts w:ascii="Arial" w:hAnsi="Arial" w:eastAsia="Arial" w:cs="Arial"/>
          <w:b/>
          <w:caps/>
          <w:color w:val="000000"/>
          <w:sz w:val="24"/>
        </w:rPr>
        <w:t>ETAPAS DA PESQUISA</w:t>
      </w:r>
      <w:bookmarkEnd w:id="1026"/>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5"/>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5</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7" w:name="_TCC_H_1027"/>
      <w:r>
        <w:rPr>
          <w:rFonts w:ascii="Arial" w:hAnsi="Arial" w:eastAsia="Arial" w:cs="Arial"/>
          <w:b/>
          <w:caps/>
          <w:color w:val="000000"/>
          <w:sz w:val="24"/>
        </w:rPr>
        <w:t>DELINEAMENTO EXPERIMENTAL</w:t>
      </w:r>
      <w:bookmarkEnd w:id="1027"/>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6"/>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6</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8" w:name="_TCC_H_1028"/>
      <w:r>
        <w:rPr>
          <w:rFonts w:ascii="Arial" w:hAnsi="Arial" w:eastAsia="Arial" w:cs="Arial"/>
          <w:b/>
          <w:caps/>
          <w:color w:val="000000"/>
          <w:sz w:val="24"/>
        </w:rPr>
        <w:t>AMBIENTE E FERRAMENTAS DE EXECUÇÃO</w:t>
      </w:r>
      <w:bookmarkEnd w:id="1028"/>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29" w:name="_TCC_H_1029"/>
      <w:r>
        <w:rPr>
          <w:rFonts w:ascii="Arial" w:hAnsi="Arial" w:eastAsia="Arial" w:cs="Arial"/>
          <w:b/>
          <w:caps/>
          <w:color w:val="000000"/>
          <w:sz w:val="24"/>
        </w:rPr>
        <w:t>PROBLEMA DE PESQUISA E HIPÓTESES</w:t>
      </w:r>
      <w:bookmarkEnd w:id="1029"/>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0" w:name="_TCC_H_1030"/>
      <w:r>
        <w:rPr>
          <w:rFonts w:ascii="Arial" w:hAnsi="Arial" w:eastAsia="Arial" w:cs="Arial"/>
          <w:b/>
          <w:caps/>
          <w:color w:val="000000"/>
          <w:sz w:val="24"/>
        </w:rPr>
        <w:t>MÉTRICAS DE AVALIAÇÃO</w:t>
      </w:r>
      <w:bookmarkEnd w:id="1030"/>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1" w:name="_TCC_H_1031"/>
      <w:r>
        <w:rPr>
          <w:rFonts w:ascii="Arial" w:hAnsi="Arial" w:eastAsia="Arial" w:cs="Arial"/>
          <w:b w:val="0"/>
          <w:caps/>
          <w:color w:val="000000"/>
          <w:sz w:val="24"/>
        </w:rPr>
        <w:t>DESEMPENHO OPERACIONAL</w:t>
      </w:r>
      <w:bookmarkEnd w:id="1031"/>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2" w:name="_TCC_H_1032"/>
      <w:r>
        <w:rPr>
          <w:rFonts w:ascii="Arial" w:hAnsi="Arial" w:eastAsia="Arial" w:cs="Arial"/>
          <w:b w:val="0"/>
          <w:caps/>
          <w:color w:val="000000"/>
          <w:sz w:val="24"/>
        </w:rPr>
        <w:t>CUSTO DE COORDENAÇÃO</w:t>
      </w:r>
      <w:bookmarkEnd w:id="1032"/>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3" w:name="_TCC_H_1033"/>
      <w:r>
        <w:rPr>
          <w:rFonts w:ascii="Arial" w:hAnsi="Arial" w:eastAsia="Arial" w:cs="Arial"/>
          <w:b w:val="0"/>
          <w:caps/>
          <w:color w:val="000000"/>
          <w:sz w:val="24"/>
        </w:rPr>
        <w:t>SEGURANÇA E ENCAMINHAMENTO PROFISSIONAL</w:t>
      </w:r>
      <w:bookmarkEnd w:id="1033"/>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34" w:name="_TCC_H_1034"/>
      <w:r>
        <w:rPr>
          <w:rFonts w:ascii="Arial" w:hAnsi="Arial" w:eastAsia="Arial" w:cs="Arial"/>
          <w:b/>
          <w:caps/>
          <w:color w:val="000000"/>
          <w:sz w:val="24"/>
        </w:rPr>
        <w:t>AVALIAÇÃO HÍBRIDA DA QUALIDADE DAS RESPOSTAS</w:t>
      </w:r>
      <w:bookmarkEnd w:id="1034"/>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7"/>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7</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5" w:name="_TCC_H_1035"/>
      <w:r>
        <w:rPr>
          <w:rFonts w:ascii="Arial" w:hAnsi="Arial" w:eastAsia="Arial" w:cs="Arial"/>
          <w:b/>
          <w:caps/>
          <w:color w:val="000000"/>
          <w:sz w:val="24"/>
        </w:rPr>
        <w:t>ANÁLISE DOS RESULTADOS</w:t>
      </w:r>
      <w:bookmarkEnd w:id="1035"/>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36" w:name="_TCC_H_1036"/>
      <w:r>
        <w:rPr>
          <w:rFonts w:ascii="Arial" w:hAnsi="Arial" w:eastAsia="Arial" w:cs="Arial"/>
          <w:b/>
          <w:caps/>
          <w:color w:val="000000"/>
          <w:sz w:val="24"/>
        </w:rPr>
        <w:t>LIMITAÇÕES E AMEAÇAS À VALIDADE</w:t>
      </w:r>
      <w:bookmarkEnd w:id="1036"/>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37" w:name="_TCC_H_1037"/>
      <w:r>
        <w:rPr>
          <w:rFonts w:ascii="Arial" w:hAnsi="Arial" w:eastAsia="Arial" w:cs="Arial"/>
          <w:b/>
          <w:caps/>
          <w:color w:val="000000"/>
          <w:sz w:val="24"/>
        </w:rPr>
        <w:t>REPRODUTIBILIDADE DO EXPERIMENTO</w:t>
      </w:r>
      <w:bookmarkEnd w:id="1037"/>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cronograma e ordem das execuções, incluindo semente de randomização e resumo SHA-256;</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38" w:name="_TCC_H_1038"/>
      <w:r>
        <w:rPr>
          <w:rFonts w:ascii="Arial" w:hAnsi="Arial" w:eastAsia="Arial" w:cs="Arial"/>
          <w:b/>
          <w:caps/>
          <w:color w:val="000000"/>
          <w:sz w:val="28"/>
        </w:rPr>
        <w:t>MODELAGEM DA SOLUÇÃO</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VISÃO GERAL DO SISTEMA</w:t>
      </w:r>
      <w:bookmarkEnd w:id="1039"/>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0" w:name="_TCC_H_1040"/>
      <w:r>
        <w:rPr>
          <w:rFonts w:ascii="Arial" w:hAnsi="Arial" w:eastAsia="Arial" w:cs="Arial"/>
          <w:b/>
          <w:caps/>
          <w:color w:val="000000"/>
          <w:sz w:val="24"/>
        </w:rPr>
        <w:t>ARQUITETURA PROPOSTA</w:t>
      </w:r>
      <w:bookmarkEnd w:id="1040"/>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r>
        <w:rPr>
          <w:rFonts w:ascii="Arial" w:hAnsi="Arial" w:eastAsia="Arial" w:cs="Arial"/>
          <w:color w:val="000000"/>
          <w:sz w:val="24"/>
        </w:rPr>
        <w:t>A figura seguinte sintetiza as relações entre os serviços. As três arquiteturas são alternativas de execução selecionadas para cada solicitação; os ramos não indicam processamento simultâneo.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8" name="IMG-C024" descr="Organização dos serviços do MAB."/>
            <wp:cNvGraphicFramePr>
              <a:graphicFrameLocks noChangeAspect="1"/>
            </wp:cNvGraphicFramePr>
            <a:graphic>
              <a:graphicData uri="http://schemas.openxmlformats.org/drawingml/2006/picture">
                <pic:pic>
                  <pic:nvPicPr>
                    <pic:cNvPr id="0" name="06-arquitetura-logica-mab.png"/>
                    <pic:cNvPicPr/>
                  </pic:nvPicPr>
                  <pic:blipFill>
                    <a:blip r:embed="rId44">
                      <a:extLst>
                        <a:ext uri="{96DAC541-7B7A-43D3-8B79-37D633B846F1}">
                          <ns3:svgBlip xmlns:ns3="http://schemas.microsoft.com/office/drawing/2016/SVG/main" r:embed="rId45"/>
                        </a:ext>
                      </a:extLst>
                    </a:blip>
                    <a:stretch>
                      <a:fillRect/>
                    </a:stretch>
                  </pic:blipFill>
                  <pic:spPr>
                    <a:xfrm>
                      <a:off x="0" y="0"/>
                      <a:ext cx="5580000" cy="3301500"/>
                    </a:xfrm>
                    <a:prstGeom prst="rect"/>
                  </pic:spPr>
                </pic:pic>
              </a:graphicData>
            </a:graphic>
          </wp:inline>
        </w:drawing>
      </w:r>
    </w:p>
    <w:p>
      <w:bookmarkStart w:id="5003" w:name="_TCC_F_IMG_C024"/>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8</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Organização dos serviços do MAB.</w:t>
      </w:r>
      <w:bookmarkEnd w:id="5003"/>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1" w:name="_TCC_H_1041"/>
      <w:r>
        <w:rPr>
          <w:rFonts w:ascii="Arial" w:hAnsi="Arial" w:eastAsia="Arial" w:cs="Arial"/>
          <w:b/>
          <w:caps/>
          <w:color w:val="000000"/>
          <w:sz w:val="24"/>
        </w:rPr>
        <w:t>COMPONENTES DO SISTEMA</w:t>
      </w:r>
      <w:bookmarkEnd w:id="1041"/>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2" w:name="_TCC_H_1042"/>
      <w:r>
        <w:rPr>
          <w:rFonts w:ascii="Arial" w:hAnsi="Arial" w:eastAsia="Arial" w:cs="Arial"/>
          <w:b/>
          <w:caps/>
          <w:color w:val="000000"/>
          <w:sz w:val="24"/>
        </w:rPr>
        <w:t>FLUXO DE ATENDIMENTO</w:t>
      </w:r>
      <w:bookmarkEnd w:id="1042"/>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3" w:name="_TCC_H_1043"/>
      <w:r>
        <w:rPr>
          <w:rFonts w:ascii="Arial" w:hAnsi="Arial" w:eastAsia="Arial" w:cs="Arial"/>
          <w:b/>
          <w:caps/>
          <w:color w:val="000000"/>
          <w:sz w:val="28"/>
        </w:rPr>
        <w:t>DESENVOLVIMENTO DO SISTEMA</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TECNOLOGIAS UTILIZADAS</w:t>
      </w:r>
      <w:bookmarkEnd w:id="1044"/>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5" w:name="_TCC_H_1045"/>
      <w:r>
        <w:rPr>
          <w:rFonts w:ascii="Arial" w:hAnsi="Arial" w:eastAsia="Arial" w:cs="Arial"/>
          <w:b/>
          <w:caps/>
          <w:color w:val="000000"/>
          <w:sz w:val="24"/>
        </w:rPr>
        <w:t>IMPLEMENTAÇÃO DOS AGENTES</w:t>
      </w:r>
      <w:bookmarkEnd w:id="1045"/>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6" w:name="_TCC_H_1046"/>
      <w:r>
        <w:rPr>
          <w:rFonts w:ascii="Arial" w:hAnsi="Arial" w:eastAsia="Arial" w:cs="Arial"/>
          <w:b/>
          <w:caps/>
          <w:color w:val="000000"/>
          <w:sz w:val="24"/>
        </w:rPr>
        <w:t>IMPLEMENTAÇÃO DAS ARQUITETURAS</w:t>
      </w:r>
      <w:bookmarkEnd w:id="1046"/>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r>
        <w:rPr>
          <w:rFonts w:ascii="Arial" w:hAnsi="Arial" w:eastAsia="Arial" w:cs="Arial"/>
          <w:color w:val="000000"/>
          <w:sz w:val="24"/>
        </w:rPr>
        <w:t>A figura seguinte distingue a base funcional comum das configurações de coordenação. Modelo, cenários e critérios de avaliação são controles previstos no protocolo. A distribuição de funções e o número de agentes também diferem entre as configurações, o que limita a atribuição de diferenças exclusivamente à topologia.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022500"/>
            <wp:docPr id="9" name="IMG-C026" descr="Base funcional e configurações comparadas no MAB."/>
            <wp:cNvGraphicFramePr>
              <a:graphicFrameLocks noChangeAspect="1"/>
            </wp:cNvGraphicFramePr>
            <a:graphic>
              <a:graphicData uri="http://schemas.openxmlformats.org/drawingml/2006/picture">
                <pic:pic>
                  <pic:nvPicPr>
                    <pic:cNvPr id="0" name="08-componentes-comuns-variaveis.png"/>
                    <pic:cNvPicPr/>
                  </pic:nvPicPr>
                  <pic:blipFill>
                    <a:blip r:embed="rId46">
                      <a:extLst>
                        <a:ext uri="{96DAC541-7B7A-43D3-8B79-37D633B846F1}">
                          <ns4:svgBlip xmlns:ns4="http://schemas.microsoft.com/office/drawing/2016/SVG/main" r:embed="rId47"/>
                        </a:ext>
                      </a:extLst>
                    </a:blip>
                    <a:stretch>
                      <a:fillRect/>
                    </a:stretch>
                  </pic:blipFill>
                  <pic:spPr>
                    <a:xfrm>
                      <a:off x="0" y="0"/>
                      <a:ext cx="5580000" cy="3022500"/>
                    </a:xfrm>
                    <a:prstGeom prst="rect"/>
                  </pic:spPr>
                </pic:pic>
              </a:graphicData>
            </a:graphic>
          </wp:inline>
        </w:drawing>
      </w:r>
    </w:p>
    <w:p>
      <w:bookmarkStart w:id="5004" w:name="_TCC_F_IMG_C026"/>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9</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Base funcional e configurações comparadas no MAB.</w:t>
      </w:r>
      <w:bookmarkEnd w:id="5004"/>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7" w:name="_TCC_H_1047"/>
      <w:r>
        <w:rPr>
          <w:rFonts w:ascii="Arial" w:hAnsi="Arial" w:eastAsia="Arial" w:cs="Arial"/>
          <w:b/>
          <w:caps/>
          <w:color w:val="000000"/>
          <w:sz w:val="24"/>
        </w:rPr>
        <w:t>INTEGRAÇÃO COM FERRAMENTAS</w:t>
      </w:r>
      <w:bookmarkEnd w:id="1047"/>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48" w:name="_TCC_H_1048"/>
      <w:r>
        <w:rPr>
          <w:rFonts w:ascii="Arial" w:hAnsi="Arial" w:eastAsia="Arial" w:cs="Arial"/>
          <w:b/>
          <w:caps/>
          <w:color w:val="000000"/>
          <w:sz w:val="28"/>
        </w:rPr>
        <w:t>EXPERIMENTOS E RESULTADOS</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CENÁRIOS DE TESTE</w:t>
      </w:r>
      <w:bookmarkEnd w:id="1049"/>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0" w:name="_TCC_H_1050"/>
      <w:r>
        <w:rPr>
          <w:rFonts w:ascii="Arial" w:hAnsi="Arial" w:eastAsia="Arial" w:cs="Arial"/>
          <w:b/>
          <w:caps/>
          <w:color w:val="000000"/>
          <w:sz w:val="24"/>
        </w:rPr>
        <w:t>MÉTRICAS ANALISADAS</w:t>
      </w:r>
      <w:bookmarkEnd w:id="1050"/>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1" w:name="_TCC_H_1051"/>
      <w:r>
        <w:rPr>
          <w:rFonts w:ascii="Arial" w:hAnsi="Arial" w:eastAsia="Arial" w:cs="Arial"/>
          <w:b/>
          <w:caps/>
          <w:color w:val="000000"/>
          <w:sz w:val="24"/>
        </w:rPr>
        <w:t>RESULTADOS OBTIDOS</w:t>
      </w:r>
      <w:bookmarkEnd w:id="1051"/>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2" w:name="_TCC_H_1052"/>
      <w:r>
        <w:rPr>
          <w:rFonts w:ascii="Arial" w:hAnsi="Arial" w:eastAsia="Arial" w:cs="Arial"/>
          <w:b w:val="0"/>
          <w:caps/>
          <w:color w:val="000000"/>
          <w:sz w:val="24"/>
        </w:rPr>
        <w:t>CARACTERÍSTICAS E DIFERENÇAS ENTRE AS ARQUITETURAS</w:t>
      </w:r>
      <w:bookmarkEnd w:id="1052"/>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3" w:name="_TCC_H_1053"/>
      <w:r>
        <w:rPr>
          <w:rFonts w:ascii="Arial" w:hAnsi="Arial" w:eastAsia="Arial" w:cs="Arial"/>
          <w:b/>
          <w:caps/>
          <w:color w:val="000000"/>
          <w:sz w:val="28"/>
        </w:rPr>
        <w:t>DISCUSSÃO</w:t>
      </w:r>
      <w:bookmarkEnd w:id="1053"/>
    </w:p>
    <w:p>
      <w:pPr>
        <w:pStyle w:val="Heading2"/>
        <w:numPr>
          <w:ilvl w:val="1"/>
          <w:numId w:val="14"/>
        </w:numPr>
        <w:spacing w:before="0" w:after="360"/>
      </w:pPr>
      <w:bookmarkStart w:id="1054" w:name="_TCC_H_1054"/>
      <w:r>
        <w:rPr>
          <w:rFonts w:ascii="Arial" w:hAnsi="Arial" w:eastAsia="Arial" w:cs="Arial"/>
          <w:b/>
          <w:caps/>
          <w:color w:val="000000"/>
          <w:sz w:val="24"/>
        </w:rPr>
        <w:t>ANÁLISE DOS RESULTADOS</w:t>
      </w:r>
      <w:bookmarkEnd w:id="1054"/>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5" w:name="_TCC_H_1055"/>
      <w:r>
        <w:rPr>
          <w:rFonts w:ascii="Arial" w:hAnsi="Arial" w:eastAsia="Arial" w:cs="Arial"/>
          <w:b/>
          <w:caps/>
          <w:color w:val="000000"/>
          <w:sz w:val="24"/>
        </w:rPr>
        <w:t>VANTAGENS E LIMITAÇÕES</w:t>
      </w:r>
      <w:bookmarkEnd w:id="1055"/>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6" w:name="_TCC_H_1056"/>
      <w:r>
        <w:rPr>
          <w:rFonts w:ascii="Arial" w:hAnsi="Arial" w:eastAsia="Arial" w:cs="Arial"/>
          <w:b/>
          <w:caps/>
          <w:color w:val="000000"/>
          <w:sz w:val="24"/>
        </w:rPr>
        <w:t>IMPLICAÇÕES PRÁTICAS</w:t>
      </w:r>
      <w:bookmarkEnd w:id="1056"/>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7" w:name="_TCC_H_1057"/>
      <w:r>
        <w:rPr>
          <w:rFonts w:ascii="Arial" w:hAnsi="Arial" w:eastAsia="Arial" w:cs="Arial"/>
          <w:b/>
          <w:caps/>
          <w:color w:val="000000"/>
          <w:sz w:val="28"/>
        </w:rPr>
        <w:t>CONSIDERAÇÕES FINAIS</w:t>
      </w:r>
      <w:bookmarkEnd w:id="1057"/>
    </w:p>
    <w:p>
      <w:pPr>
        <w:pStyle w:val="Heading2"/>
        <w:numPr>
          <w:ilvl w:val="1"/>
          <w:numId w:val="14"/>
        </w:numPr>
        <w:spacing w:before="0" w:after="360"/>
      </w:pPr>
      <w:bookmarkStart w:id="1058" w:name="_TCC_H_1058"/>
      <w:r>
        <w:rPr>
          <w:rFonts w:ascii="Arial" w:hAnsi="Arial" w:eastAsia="Arial" w:cs="Arial"/>
          <w:b/>
          <w:caps/>
          <w:color w:val="000000"/>
          <w:sz w:val="24"/>
        </w:rPr>
        <w:t>CONCLUSÕES</w:t>
      </w:r>
      <w:bookmarkEnd w:id="1058"/>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9" w:name="_TCC_H_1059"/>
      <w:r>
        <w:rPr>
          <w:rFonts w:ascii="Arial" w:hAnsi="Arial" w:eastAsia="Arial" w:cs="Arial"/>
          <w:b/>
          <w:caps/>
          <w:color w:val="000000"/>
          <w:sz w:val="24"/>
        </w:rPr>
        <w:t>CONTRIBUIÇÕES DO TRABALHO</w:t>
      </w:r>
      <w:bookmarkEnd w:id="1059"/>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0" w:name="_TCC_H_1060"/>
      <w:r>
        <w:rPr>
          <w:rFonts w:ascii="Arial" w:hAnsi="Arial" w:eastAsia="Arial" w:cs="Arial"/>
          <w:b/>
          <w:caps/>
          <w:color w:val="000000"/>
          <w:sz w:val="24"/>
        </w:rPr>
        <w:t>TRABALHOS FUTUROS</w:t>
      </w:r>
      <w:bookmarkEnd w:id="1060"/>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1" w:name="_TCC_H_1061"/>
      <w:r>
        <w:rPr>
          <w:rFonts w:ascii="Arial" w:hAnsi="Arial" w:eastAsia="Arial" w:cs="Arial"/>
          <w:b/>
          <w:caps/>
          <w:color w:val="000000"/>
          <w:sz w:val="28"/>
        </w:rPr>
        <w:t>REFERÊNCIAS</w:t>
      </w:r>
      <w:bookmarkEnd w:id="1061"/>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ADAMOPOULOU, Eleni; MOUSSIADES, Lefteris. An overview of chatbot technology. In: </w:t>
      </w:r>
      <w:r>
        <w:rPr>
          <w:rFonts w:ascii="Arial" w:hAnsi="Arial" w:eastAsia="Arial" w:cs="Arial"/>
          <w:b w:val="1"/>
          <w:bCs w:val="1"/>
          <w:color w:val="000000"/>
          <w:sz w:val="24"/>
        </w:rPr>
        <w:t>Artificial Intelligence Applications and Innovations</w:t>
      </w:r>
      <w:r>
        <w:rPr>
          <w:rFonts w:ascii="Arial" w:hAnsi="Arial" w:eastAsia="Arial" w:cs="Arial"/>
          <w:color w:val="000000"/>
          <w:sz w:val="24"/>
        </w:rPr>
        <w:t>. Cham: Springer, 2020. v. 584, p. 373-383. DOI: 10.1007/978-3-030-49186-4_31. Disponível em: https://doi.org/10.1007/978-3-030-49186-4_31. Acesso em: 7 set.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BROWN, Tom B. </w:t>
      </w:r>
      <w:r>
        <w:rPr>
          <w:rFonts w:ascii="Arial" w:hAnsi="Arial" w:eastAsia="Arial" w:cs="Arial"/>
          <w:i w:val="1"/>
          <w:iCs w:val="1"/>
          <w:color w:val="000000"/>
          <w:sz w:val="24"/>
        </w:rPr>
        <w:t>et al.</w:t>
      </w:r>
      <w:r>
        <w:rPr>
          <w:rFonts w:ascii="Arial" w:hAnsi="Arial" w:eastAsia="Arial" w:cs="Arial"/>
          <w:color w:val="000000"/>
          <w:sz w:val="24"/>
        </w:rPr>
        <w:t xml:space="preserve"> Language models are few-shot learners.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2020. v. 33. Disponível em: https://proceedings.neurips.cc/paper/2020/hash/1457c0d6bfcb4967418bfb8ac142f64a-Abstract.html. Acesso em: 7 set.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LIU, Zijun </w:t>
      </w:r>
      <w:r>
        <w:rPr>
          <w:rFonts w:ascii="Arial" w:hAnsi="Arial" w:eastAsia="Arial" w:cs="Arial"/>
          <w:i w:val="1"/>
          <w:iCs w:val="1"/>
          <w:color w:val="000000"/>
          <w:sz w:val="24"/>
        </w:rPr>
        <w:t>et al.</w:t>
      </w:r>
      <w:r>
        <w:rPr>
          <w:rFonts w:ascii="Arial" w:hAnsi="Arial" w:eastAsia="Arial" w:cs="Arial"/>
          <w:color w:val="000000"/>
          <w:sz w:val="24"/>
        </w:rPr>
        <w:t xml:space="preserve"> A dynamic LLM-powered agent network for task-oriented agent collaboration. In: </w:t>
      </w:r>
      <w:r>
        <w:rPr>
          <w:rFonts w:ascii="Arial" w:hAnsi="Arial" w:eastAsia="Arial" w:cs="Arial"/>
          <w:b w:val="1"/>
          <w:bCs w:val="1"/>
          <w:color w:val="000000"/>
          <w:sz w:val="24"/>
        </w:rPr>
        <w:t>FIRST CONFERENCE ON LANGUAGE MODELING</w:t>
      </w:r>
      <w:r>
        <w:rPr>
          <w:rFonts w:ascii="Arial" w:hAnsi="Arial" w:eastAsia="Arial" w:cs="Arial"/>
          <w:color w:val="000000"/>
          <w:sz w:val="24"/>
        </w:rPr>
        <w:t>, 2024. [S. l.]: COLM, 2024. Disponível em: https://openreview.net/forum?id=XII0Wp1XA9. Acesso em: 4 set.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VASWANI, Ashish </w:t>
      </w:r>
      <w:r>
        <w:rPr>
          <w:rFonts w:ascii="Arial" w:hAnsi="Arial" w:eastAsia="Arial" w:cs="Arial"/>
          <w:i w:val="1"/>
          <w:iCs w:val="1"/>
          <w:color w:val="000000"/>
          <w:sz w:val="24"/>
        </w:rPr>
        <w:t>et al.</w:t>
      </w:r>
      <w:r>
        <w:rPr>
          <w:rFonts w:ascii="Arial" w:hAnsi="Arial" w:eastAsia="Arial" w:cs="Arial"/>
          <w:color w:val="000000"/>
          <w:sz w:val="24"/>
        </w:rPr>
        <w:t xml:space="preserve"> Attention is all you need.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2017. v. 30. Disponível em: https://proceedings.neurips.cc/paper/2017/hash/3f5ee243547dee91fbd053c1c4a845aa-Abstract.html. Acesso em: 7 set.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WANG, Zhexuan </w:t>
      </w:r>
      <w:r>
        <w:rPr>
          <w:rFonts w:ascii="Arial" w:hAnsi="Arial" w:eastAsia="Arial" w:cs="Arial"/>
          <w:i w:val="1"/>
          <w:iCs w:val="1"/>
          <w:color w:val="000000"/>
          <w:sz w:val="24"/>
        </w:rPr>
        <w:t>et al.</w:t>
      </w:r>
      <w:r>
        <w:rPr>
          <w:rFonts w:ascii="Arial" w:hAnsi="Arial" w:eastAsia="Arial" w:cs="Arial"/>
          <w:color w:val="000000"/>
          <w:sz w:val="24"/>
        </w:rPr>
        <w:t xml:space="preserve"> AgentDropout: dynamic agent elimination for token-efficient and high-performance LLM-based multi-agent collaboration.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24013-24035. DOI: 10.18653/v1/2025.acl-long.1170. Disponível em: https://aclanthology.org/2025.acl-long.1170/. Acesso em: 4 set.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YAO, Shunyu </w:t>
      </w:r>
      <w:r>
        <w:rPr>
          <w:rFonts w:ascii="Arial" w:hAnsi="Arial" w:eastAsia="Arial" w:cs="Arial"/>
          <w:i w:val="1"/>
          <w:iCs w:val="1"/>
          <w:color w:val="000000"/>
          <w:sz w:val="24"/>
        </w:rPr>
        <w:t>et al.</w:t>
      </w:r>
      <w:r>
        <w:rPr>
          <w:rFonts w:ascii="Arial" w:hAnsi="Arial" w:eastAsia="Arial" w:cs="Arial"/>
          <w:color w:val="000000"/>
          <w:sz w:val="24"/>
        </w:rPr>
        <w:t xml:space="preserve"> ReAct: synergizing reasoning and acting in language models. In: </w:t>
      </w:r>
      <w:r>
        <w:rPr>
          <w:rFonts w:ascii="Arial" w:hAnsi="Arial" w:eastAsia="Arial" w:cs="Arial"/>
          <w:b w:val="1"/>
          <w:bCs w:val="1"/>
          <w:color w:val="000000"/>
          <w:sz w:val="24"/>
        </w:rPr>
        <w:t>International Conference on Learning Representations</w:t>
      </w:r>
      <w:r>
        <w:rPr>
          <w:rFonts w:ascii="Arial" w:hAnsi="Arial" w:eastAsia="Arial" w:cs="Arial"/>
          <w:color w:val="000000"/>
          <w:sz w:val="24"/>
        </w:rPr>
        <w:t>, 11., 2023, Kigali. [S. l.]: ICLR, 2023. Disponível em: https://openreview.net/forum?id=WE_vluYUL-X. Acesso em: 7 set.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YUE, Yanwei </w:t>
      </w:r>
      <w:r>
        <w:rPr>
          <w:rFonts w:ascii="Arial" w:hAnsi="Arial" w:eastAsia="Arial" w:cs="Arial"/>
          <w:i w:val="1"/>
          <w:iCs w:val="1"/>
          <w:color w:val="000000"/>
          <w:sz w:val="24"/>
        </w:rPr>
        <w:t>et al.</w:t>
      </w:r>
      <w:r>
        <w:rPr>
          <w:rFonts w:ascii="Arial" w:hAnsi="Arial" w:eastAsia="Arial" w:cs="Arial"/>
          <w:color w:val="000000"/>
          <w:sz w:val="24"/>
        </w:rPr>
        <w:t xml:space="preserve"> MasRouter: learning to route LLMs for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15549-15572. DOI: 10.18653/v1/2025.acl-long.757. Disponível em: https://aclanthology.org/2025.acl-long.757/. Acesso em: 4 set.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ZHANG, Guibin </w:t>
      </w:r>
      <w:r>
        <w:rPr>
          <w:rFonts w:ascii="Arial" w:hAnsi="Arial" w:eastAsia="Arial" w:cs="Arial"/>
          <w:i w:val="1"/>
          <w:iCs w:val="1"/>
          <w:color w:val="000000"/>
          <w:sz w:val="24"/>
        </w:rPr>
        <w:t>et al.</w:t>
      </w:r>
      <w:r>
        <w:rPr>
          <w:rFonts w:ascii="Arial" w:hAnsi="Arial" w:eastAsia="Arial" w:cs="Arial"/>
          <w:color w:val="000000"/>
          <w:sz w:val="24"/>
        </w:rPr>
        <w:t xml:space="preserve"> Cut the crap: an economical communication pipeline for LLM-based multi-agent systems.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https://proceedings.iclr.cc/paper_files/paper/2025/hash/bbc461518c59a2a8d64e70e2c38c4a0e-Abstract-Conference.html. Acesso em: 4 set.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p>
      <w:pPr>
        <w:pStyle w:val="ReferenceEntry"/>
        <w:pageBreakBefore w:val="0"/>
      </w:pPr>
      <w:r>
        <w:rPr>
          <w:rFonts w:ascii="Arial" w:hAnsi="Arial" w:eastAsia="Arial" w:cs="Arial"/>
          <w:color w:val="000000"/>
          <w:sz w:val="24"/>
        </w:rPr>
        <w:t xml:space="preserve">ZHUGE, Mingchen </w:t>
      </w:r>
      <w:r>
        <w:rPr>
          <w:rFonts w:ascii="Arial" w:hAnsi="Arial" w:eastAsia="Arial" w:cs="Arial"/>
          <w:i w:val="1"/>
          <w:iCs w:val="1"/>
          <w:color w:val="000000"/>
          <w:sz w:val="24"/>
        </w:rPr>
        <w:t>et al.</w:t>
      </w:r>
      <w:r>
        <w:rPr>
          <w:rFonts w:ascii="Arial" w:hAnsi="Arial" w:eastAsia="Arial" w:cs="Arial"/>
          <w:color w:val="000000"/>
          <w:sz w:val="24"/>
        </w:rPr>
        <w:t xml:space="preserve"> GPTSwarm: language agents as optimizable graphs. In: INTERNATIONAL CONFERENCE ON MACHINE LEARNING, 41., 2024. </w:t>
      </w:r>
      <w:r>
        <w:rPr>
          <w:rFonts w:ascii="Arial" w:hAnsi="Arial" w:eastAsia="Arial" w:cs="Arial"/>
          <w:b w:val="1"/>
          <w:bCs w:val="1"/>
          <w:color w:val="000000"/>
          <w:sz w:val="24"/>
        </w:rPr>
        <w:t>Proceedings [...]</w:t>
      </w:r>
      <w:r>
        <w:rPr>
          <w:rFonts w:ascii="Arial" w:hAnsi="Arial" w:eastAsia="Arial" w:cs="Arial"/>
          <w:color w:val="000000"/>
          <w:sz w:val="24"/>
        </w:rPr>
        <w:t>. [S. l.]: PMLR, 2024. v. 235, p. 62743-62767. Disponível em: https://proceedings.mlr.press/v235/zhuge24a.html. Acesso em: 4 set.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 Id="rId38" Type="http://schemas.openxmlformats.org/officeDocument/2006/relationships/image" Target="media/image21.png"/><Relationship Id="rId39" Type="http://schemas.openxmlformats.org/officeDocument/2006/relationships/image" Target="media/image21.svg"/><Relationship Id="rId40" Type="http://schemas.openxmlformats.org/officeDocument/2006/relationships/image" Target="media/image22.png"/><Relationship Id="rId41" Type="http://schemas.openxmlformats.org/officeDocument/2006/relationships/image" Target="media/image22.svg"/><Relationship Id="rId42" Type="http://schemas.openxmlformats.org/officeDocument/2006/relationships/image" Target="media/image23.png"/><Relationship Id="rId43" Type="http://schemas.openxmlformats.org/officeDocument/2006/relationships/image" Target="media/image23.svg"/><Relationship Id="rId44" Type="http://schemas.openxmlformats.org/officeDocument/2006/relationships/image" Target="media/image24.png"/><Relationship Id="rId45" Type="http://schemas.openxmlformats.org/officeDocument/2006/relationships/image" Target="media/image24.svg"/><Relationship Id="rId46" Type="http://schemas.openxmlformats.org/officeDocument/2006/relationships/image" Target="media/image25.png"/><Relationship Id="rId47" Type="http://schemas.openxmlformats.org/officeDocument/2006/relationships/image" Target="media/image2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