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uloTCC"/>
      </w:pPr>
      <w:r>
        <w:t>2 REFERENCIAL TEÓRICO</w:t>
      </w:r>
    </w:p>
    <w:p>
      <w:pPr/>
      <w:r>
        <w:t>Este capítulo apresenta os principais conceitos que fundamentam o desenvolvimento do Sistema de Monitoramentos de Receitas IMR. O referencial teórico foi organizado a partir da relação entre saúde digital, assistência farmacêutica, gestão de receitas, proteção de dados pessoais e arquitetura de sistemas web. Esses elementos sustentam a proposta de uma aplicação voltada ao cadastro de clientes, armazenamento de documentos, controle de receitas, acompanhamento de validade e emissão de avisos sobre retirada de medicamentos.</w:t>
      </w:r>
    </w:p>
    <w:p>
      <w:pPr/>
      <w:r>
        <w:t>A parte teórica também dialoga com a documentação técnica do projeto, que organiza o trabalho por requisitos, atores, casos de uso e modelagem de dados. Enquanto a documentação descreve o que o sistema deve realizar, o referencial teórico explica por que essas funcionalidades são relevantes e quais fundamentos justificam as escolhas realizadas na implementação.</w:t>
      </w:r>
    </w:p>
    <w:p>
      <w:pPr>
        <w:pStyle w:val="Heading1"/>
      </w:pPr>
      <w:r>
        <w:t>2.1 SISTEMAS DE INFORMAÇÃO EM SAÚDE E SAÚDE DIGITAL</w:t>
      </w:r>
    </w:p>
    <w:p>
      <w:pPr/>
      <w:r>
        <w:t>Sistemas de informação em saúde são recursos tecnológicos utilizados para coletar, armazenar, processar e disponibilizar informações relacionadas ao cuidado, à gestão e à tomada de decisão em serviços de saúde. Em ambientes nos quais há grande volume de registros, como cadastros de pacientes, receitas médicas, documentos digitalizados e datas de retirada de medicamentos, a informatização contribui para reduzir falhas de controle, melhorar a rastreabilidade e facilitar o acesso às informações necessárias para o atendimento.</w:t>
      </w:r>
    </w:p>
    <w:p>
      <w:pPr/>
      <w:r>
        <w:t>A Organização Mundial da Saúde destaca que a saúde digital deve apoiar sistemas de saúde mais eficientes, sustentáveis, acessíveis e centrados nas pessoas (WORLD HEALTH ORGANIZATION, 2021). Isso significa que a tecnologia não deve ser vista apenas como substituição de processos manuais, mas como instrumento para melhorar a continuidade do cuidado, ampliar a organização dos serviços e apoiar profissionais e usuários na obtenção de informações confiáveis.</w:t>
      </w:r>
    </w:p>
    <w:p>
      <w:pPr/>
      <w:r>
        <w:t>No contexto do Sistema IMR, a saúde digital aparece de forma prática na criação de uma plataforma web capaz de reunir dados de clientes, receitas médicas e documentos associados. A centralização dessas informações evita que cada usuário dependa apenas de papéis, planilhas ou anotações isoladas. A partir de uma base digital, o administrador pode acompanhar receitas vencidas ou próximas do vencimento, e o cliente pode consultar suas próprias informações com maior autonomia.</w:t>
      </w:r>
    </w:p>
    <w:p>
      <w:pPr/>
      <w:r>
        <w:t>Outro ponto relevante é a transição de um modelo reativo para um modelo de acompanhamento ativo. Quando um sistema calcula prazos, identifica receitas próximas do vencimento e apresenta notificações, ele deixa de ser apenas um cadastro eletrônico e passa a funcionar como apoio ao monitoramento. Esse tipo de recurso é importante em serviços que envolvem medicamentos de uso contínuo, renovações periódicas de receita e datas específicas para retirada.</w:t>
      </w:r>
    </w:p>
    <w:p>
      <w:pPr>
        <w:pStyle w:val="Heading1"/>
      </w:pPr>
      <w:r>
        <w:t>2.2 ASSISTÊNCIA FARMACÊUTICA E USO RACIONAL DE MEDICAMENTOS</w:t>
      </w:r>
    </w:p>
    <w:p>
      <w:pPr/>
      <w:r>
        <w:t>A assistência farmacêutica compreende um conjunto de ações relacionadas ao acesso, ao uso correto e ao acompanhamento de medicamentos. No Sistema Único de Saúde, essas ações não se limitam à entrega do medicamento ao usuário, pois também envolvem orientação, acompanhamento e prevenção de problemas relacionados à farmacoterapia. O Ministério da Saúde reforça que o cuidado farmacêutico tem como objetivo promover o uso seguro e racional de medicamentos, buscando melhores resultados em saúde para o paciente e para o serviço (BRASIL, 2026a).</w:t>
      </w:r>
    </w:p>
    <w:p>
      <w:pPr/>
      <w:r>
        <w:t>O uso racional de medicamentos está ligado à escolha adequada do medicamento, à dose correta, ao período de tratamento e ao menor custo possível para o paciente e para a comunidade. O Ministério da Saúde associa o tema à necessidade de informação qualificada, rastreabilidade e orientação segura durante a dispensação e o uso dos medicamentos (BRASIL, 2026b). Assim, o controle de receitas não é apenas uma atividade burocrática, mas uma etapa que contribui para a segurança do paciente e para a organização da assistência.</w:t>
      </w:r>
    </w:p>
    <w:p>
      <w:pPr/>
      <w:r>
        <w:t>Em muitos contextos, principalmente quando há medicamentos de uso contínuo ou retirada periódica, a falta de controle sobre datas pode gerar atrasos, interrupção do tratamento, desperdício ou necessidade de retorno desnecessário aos serviços de saúde. Uma aplicação que registra data da receita, validade e próxima retirada auxilia o usuário a acompanhar seus compromissos e auxilia o responsável administrativo a visualizar situações que exigem atenção.</w:t>
      </w:r>
    </w:p>
    <w:p>
      <w:pPr/>
      <w:r>
        <w:t>O Sistema IMR se relaciona a esse fundamento ao permitir o cadastro de receitas com informações essenciais, como medicamento, data de emissão, validade, próxima retirada, observações e arquivo digital da receita. Esses dados permitem que o processo de acompanhamento seja menos dependente da memória do usuário e mais baseado em registros consultáveis. Dessa forma, o sistema contribui para a continuidade do tratamento e para a organização do atendimento.</w:t>
      </w:r>
    </w:p>
    <w:p>
      <w:pPr>
        <w:pStyle w:val="Heading1"/>
      </w:pPr>
      <w:r>
        <w:t>2.3 MONITORAMENTO DE RECEITAS MÉDICAS, PRAZOS E RETIRADA DE MEDICAMENTOS</w:t>
      </w:r>
    </w:p>
    <w:p>
      <w:pPr/>
      <w:r>
        <w:t>Receitas médicas são documentos que orientam o uso de medicamentos e, em muitos casos, determinam condições de validade, renovação e retirada. Em processos manuais, o controle desses prazos pode ficar disperso entre papéis arquivados, anotações pessoais e comunicação verbal. Essa dispersão dificulta a identificação de receitas vencidas ou próximas do vencimento, especialmente quando o serviço atende vários pacientes.</w:t>
      </w:r>
    </w:p>
    <w:p>
      <w:pPr/>
      <w:r>
        <w:t>O monitoramento digital de receitas busca organizar esse fluxo por meio de registros padronizados e alertas. Ao cadastrar a validade da receita e a data de próxima retirada, o sistema passa a transformar dados em informação operacional. A data isolada informa um evento; o cálculo de dias restantes e a geração de aviso indicam uma situação que requer ação. Essa diferença é central para sistemas de informação, pois o valor da tecnologia está na capacidade de apoiar decisões e reduzir esquecimentos.</w:t>
      </w:r>
    </w:p>
    <w:p>
      <w:pPr/>
      <w:r>
        <w:t>No projeto desenvolvido, as notificações apresentadas ao cliente e ao administrador partem da comparação entre a data atual e os campos de validade ou próxima retirada. Assim, receitas vencidas, receitas próximas do vencimento e medicamentos com retirada prevista podem ser visualizados de forma objetiva. Essa funcionalidade está alinhada à ideia de acompanhamento ativo, pois o sistema não apenas armazena dados, mas sinaliza situações relevantes para o cuidado.</w:t>
      </w:r>
    </w:p>
    <w:p>
      <w:pPr/>
      <w:r>
        <w:t>Além disso, a separação entre área do cliente e área administrativa permite que cada perfil visualize informações compatíveis com sua necessidade. O cliente acompanha suas próprias receitas e notificações, enquanto o administrador acompanha o conjunto de clientes e receitas cadastrados. Essa divisão contribui para a organização do processo e reduz a exposição desnecessária de informações.</w:t>
      </w:r>
    </w:p>
    <w:p>
      <w:pPr>
        <w:pStyle w:val="Heading1"/>
      </w:pPr>
      <w:r>
        <w:t>2.4 DIGITALIZAÇÃO E GUARDA DE DOCUMENTOS DE SAÚDE</w:t>
      </w:r>
    </w:p>
    <w:p>
      <w:pPr/>
      <w:r>
        <w:t>A digitalização de documentos de saúde é um tema importante porque receitas, comprovantes e documentos pessoais podem conter informações sensíveis e precisam ser armazenados de forma organizada. No Brasil, a Lei nº 13.787/2018 trata da digitalização e do uso de sistemas informatizados para guarda, armazenamento e manuseio de prontuário de paciente, destacando requisitos como integridade, autenticidade e confidencialidade do documento digital (BRASIL, 2018b). Mesmo que o sistema desenvolvido não seja um prontuário eletrônico completo, esses princípios servem como referência para qualquer solução que manipule documentos ligados à saúde.</w:t>
      </w:r>
    </w:p>
    <w:p>
      <w:pPr/>
      <w:r>
        <w:t>A integridade significa que o documento não deve ser alterado de forma indevida; a autenticidade está relacionada à possibilidade de reconhecer a origem e a validade do registro; e a confidencialidade exige que o acesso seja restrito a pessoas autorizadas. No Sistema IMR, essas ideias aparecem na funcionalidade de upload de documento do cliente e de upload da receita, que permitem armazenar arquivos em formatos como PDF, JPG e PNG.</w:t>
      </w:r>
    </w:p>
    <w:p>
      <w:pPr/>
      <w:r>
        <w:t>A guarda digital também facilita o acesso posterior. Em vez de depender exclusivamente de arquivos físicos, o usuário ou administrador pode localizar o documento associado ao cadastro ou à receita. Isso favorece a rastreabilidade e reduz perdas de informação. Contudo, o armazenamento digital precisa ser acompanhado por medidas de segurança, como limitação de tipos de arquivo, controle de tamanho, organização em pastas específicas e validação dos dados recebidos.</w:t>
      </w:r>
    </w:p>
    <w:p>
      <w:pPr/>
      <w:r>
        <w:t>O projeto já incorpora parte desses cuidados ao aceitar apenas determinados formatos de arquivo e ao limitar o tamanho do upload. Essas medidas reduzem riscos operacionais e tornam o armazenamento mais previsível. Em versões futuras, o sistema pode evoluir para incluir regras adicionais, como autenticação mais robusta, logs de acesso, criptografia de arquivos e políticas de retenção de documentos.</w:t>
      </w:r>
    </w:p>
    <w:p>
      <w:pPr>
        <w:pStyle w:val="Heading1"/>
      </w:pPr>
      <w:r>
        <w:t>2.5 PROTEÇÃO DE DADOS PESSOAIS E SEGURANÇA DA INFORMAÇÃO</w:t>
      </w:r>
    </w:p>
    <w:p>
      <w:pPr/>
      <w:r>
        <w:t>Sistemas que armazenam nome, CPF, telefone, endereço, data de nascimento, documentos e informações sobre medicamentos tratam dados pessoais e, em parte, dados pessoais sensíveis. A Lei Geral de Proteção de Dados Pessoais, Lei nº 13.709/2018, estabelece normas para o tratamento de dados pessoais em meios físicos e digitais, com o objetivo de proteger direitos fundamentais de liberdade, privacidade e livre desenvolvimento da personalidade (BRASIL, 2018a).</w:t>
      </w:r>
    </w:p>
    <w:p>
      <w:pPr/>
      <w:r>
        <w:t>Na LGPD, dados referentes à saúde são classificados como dados pessoais sensíveis. Isso aumenta a responsabilidade do sistema, pois informações sobre receitas, medicamentos e documentos associados ao paciente podem revelar aspectos da condição de saúde do usuário. Por esse motivo, o desenvolvimento de uma aplicação voltada ao monitoramento de receitas deve considerar princípios como finalidade, necessidade, segurança, prevenção e transparência.</w:t>
      </w:r>
    </w:p>
    <w:p>
      <w:pPr/>
      <w:r>
        <w:t>O princípio da finalidade exige que os dados sejam coletados para objetivos claros, como cadastro do cliente, autenticação, controle de receitas e acompanhamento de prazos. O princípio da necessidade indica que o sistema deve solicitar apenas informações compatíveis com essas finalidades. Já a segurança e a prevenção exigem medidas técnicas para reduzir riscos de acesso indevido, perda, alteração ou vazamento de dados.</w:t>
      </w:r>
    </w:p>
    <w:p>
      <w:pPr/>
      <w:r>
        <w:t>No projeto, algumas medidas de segurança já aparecem na implementação. As senhas dos clientes são armazenadas por meio de hashing com bcrypt, e não em texto simples. A OWASP recomenda que senhas não sejam armazenadas diretamente, mas protegidas por algoritmos de hash adequados e com sal, como Argon2id, scrypt, bcrypt ou PBKDF2, pois isso reduz o impacto caso a base de dados seja comprometida (OWASP FOUNDATION, 2026a).</w:t>
      </w:r>
    </w:p>
    <w:p>
      <w:pPr/>
      <w:r>
        <w:t>A aplicação também define cabeçalhos HTTP de segurança, como proteção contra interpretação indevida de conteúdo e restrição de enquadramento da página. Além disso, os uploads possuem validação de tipo e tamanho. A OWASP orienta que funcionalidades de upload utilizem lista de extensões permitidas, validação de tipo de conteúdo e limites adequados para reduzir riscos associados ao envio de arquivos maliciosos (OWASP FOUNDATION, 2026b).</w:t>
      </w:r>
    </w:p>
    <w:p>
      <w:pPr/>
      <w:r>
        <w:t>Apesar dessas medidas, a segurança da informação deve ser entendida como processo contínuo. A OWASP Top 10 aponta riscos recorrentes em aplicações web, como falhas de controle de acesso, falhas criptográficas, injeção, configuração insegura e falhas de identificação e autenticação (OWASP FOUNDATION, 2021). Para o Sistema IMR, isso reforça a importância de evoluir controles de sessão, autorização por perfil, validação de entrada, proteção de rotas e auditoria de acesso.</w:t>
      </w:r>
    </w:p>
    <w:p>
      <w:pPr>
        <w:pStyle w:val="Heading1"/>
      </w:pPr>
      <w:r>
        <w:t>2.6 ARQUITETURA WEB, MODELO CLIENTE-SERVIDOR E APIS</w:t>
      </w:r>
    </w:p>
    <w:p>
      <w:pPr/>
      <w:r>
        <w:t>Uma aplicação web baseada no modelo cliente-servidor separa a interface utilizada pelo usuário da lógica executada no servidor. O cliente, geralmente representado pelo navegador, envia requisições HTTP; o servidor processa essas requisições, acessa o banco de dados quando necessário e retorna respostas estruturadas. Essa arquitetura favorece a centralização das regras de negócio e permite que diferentes telas consumam os mesmos serviços.</w:t>
      </w:r>
    </w:p>
    <w:p>
      <w:pPr/>
      <w:r>
        <w:t>No Sistema IMR, a interface foi construída com HTML, CSS e JavaScript, enquanto o backend utiliza Node.js com Express. O Node.js é descrito oficialmente como um ambiente JavaScript orientado a eventos e assíncrono, adequado para construir aplicações de rede escaláveis (NODE.JS, 2026). Esse modelo combina bem com aplicações web que precisam responder a múltiplas requisições, acessar banco de dados e processar uploads de arquivos.</w:t>
      </w:r>
    </w:p>
    <w:p>
      <w:pPr/>
      <w:r>
        <w:t>O Express organiza o backend por rotas, permitindo associar caminhos HTTP a funções específicas. A documentação oficial do Express apresenta o uso de roteadores modulares como forma de organizar grupos de rotas e middleware em componentes reutilizáveis (EXPRESS, 2026). No projeto, essa organização aparece nos arquivos de rotas para autenticação, clientes, receitas e notificações, o que facilita a manutenção e separa responsabilidades.</w:t>
      </w:r>
    </w:p>
    <w:p>
      <w:pPr/>
      <w:r>
        <w:t>As APIs do sistema retornam dados em formato JSON ou recebem dados em formato multipart quando há upload de arquivos. Essa padronização permite que o frontend envie cadastros, login, atualização de dados e registros de receita de maneira clara. Também facilita a futura expansão da aplicação, pois outros clientes, como aplicativo móvel ou painel administrativo aprimorado, poderiam consumir os mesmos endpoints com adaptações menores.</w:t>
      </w:r>
    </w:p>
    <w:p>
      <w:pPr>
        <w:pStyle w:val="Heading1"/>
      </w:pPr>
      <w:r>
        <w:t>2.7 BANCO DE DADOS RELACIONAL E INTEGRIDADE DAS INFORMAÇÕES</w:t>
      </w:r>
    </w:p>
    <w:p>
      <w:pPr/>
      <w:r>
        <w:t>O banco de dados relacional organiza informações em tabelas relacionadas por chaves primárias e estrangeiras. Esse modelo é adequado para sistemas que precisam representar entidades como clientes, receitas, notificações e farmácias, mantendo vínculos entre registros. A tabela de receitas, por exemplo, depende da existência de um cliente; por isso, a relação entre cliente e receita deve ser controlada pelo banco para evitar registros órfãos ou inconsistentes.</w:t>
      </w:r>
    </w:p>
    <w:p>
      <w:pPr/>
      <w:r>
        <w:t>No MySQL, chaves estrangeiras permitem relacionar dados distribuídos em tabelas diferentes e ajudam a manter a consistência dessas informações. A documentação oficial do MySQL explica que restrições de chave estrangeira permitem cruzar dados relacionados e suportam ações referenciais como CASCADE, RESTRICT, SET NULL e NO ACTION (ORACLE, 2026).</w:t>
      </w:r>
    </w:p>
    <w:p>
      <w:pPr/>
      <w:r>
        <w:t>O projeto utiliza MySQL com tabelas para clientes, receitas, notificações e farmácias. A relação entre clientes e receitas é definida por chave estrangeira, com exclusão em cascata. Dessa forma, quando um cliente é removido, suas receitas vinculadas também podem ser removidas, reduzindo inconsistências na base. A mesma lógica se aplica a notificações vinculadas ao cliente.</w:t>
      </w:r>
    </w:p>
    <w:p>
      <w:pPr/>
      <w:r>
        <w:t>A escolha por MySQL também contribui para a persistência das informações. Diferentemente do armazenamento temporário no navegador, o banco relacional mantém os dados de forma centralizada e acessível pelo backend. Isso é essencial para um sistema administrativo, pois clientes e receitas devem continuar disponíveis mesmo após o fechamento do navegador ou reinício da aplicação.</w:t>
      </w:r>
    </w:p>
    <w:p>
      <w:pPr/>
      <w:r>
        <w:t>Além da persistência, o banco permite aplicar restrições importantes, como CPF único para clientes, campos obrigatórios e tipos de dados específicos para datas. Esses controles reduzem duplicidade, facilitam consultas e tornam os relatórios mais confiáveis. Em sistemas de saúde, confiabilidade dos dados é requisito essencial, pois decisões equivocadas podem surgir de informações incompletas, duplicadas ou desatualizadas.</w:t>
      </w:r>
    </w:p>
    <w:p>
      <w:pPr>
        <w:pStyle w:val="Heading1"/>
      </w:pPr>
      <w:r>
        <w:t>2.8 USABILIDADE, PERFIS DE ACESSO E EXPERIÊNCIA DO USUÁRIO</w:t>
      </w:r>
    </w:p>
    <w:p>
      <w:pPr/>
      <w:r>
        <w:t>A usabilidade está relacionada à facilidade com que o usuário compreende e utiliza uma interface para atingir seus objetivos. Em sistemas voltados a públicos diferentes, como administradores e clientes, a interface precisa apresentar apenas as funções necessárias para cada perfil. Isso reduz confusão, simplifica a navegação e diminui a chance de erros operacionais.</w:t>
      </w:r>
    </w:p>
    <w:p>
      <w:pPr/>
      <w:r>
        <w:t>No Sistema IMR, a separação entre área do cliente e área administrativa atende a essa necessidade. O cliente encontra recursos voltados ao próprio acompanhamento, como dados pessoais, receitas, cadastro de nova receita e notificações. O administrador visualiza recursos de gestão, como lista de clientes, cadastro e edição de receitas, dashboard geral e notificações do conjunto de usuários.</w:t>
      </w:r>
    </w:p>
    <w:p>
      <w:pPr/>
      <w:r>
        <w:t>Dashboards também são elementos relevantes de usabilidade, pois resumem informações em indicadores. Ao apresentar total de receitas, receitas vencidas e receitas próximas do vencimento, o sistema transforma dados dispersos em visão rápida. Para o cliente, isso facilita o acompanhamento do próprio tratamento; para o administrador, auxilia na identificação de demandas prioritárias.</w:t>
      </w:r>
    </w:p>
    <w:p>
      <w:pPr/>
      <w:r>
        <w:t>A experiência do usuário também depende de mensagens claras, validação de campos e feedback após operações. O projeto utiliza mensagens de sucesso, erro e alerta para orientar o usuário durante cadastro, login, upload e atualização de registros. Esse tipo de retorno é importante porque evita dúvidas sobre o resultado da ação realizada.</w:t>
      </w:r>
    </w:p>
    <w:p>
      <w:pPr>
        <w:pStyle w:val="Heading1"/>
      </w:pPr>
      <w:r>
        <w:t>2.9 CONTRIBUIÇÃO DOS FUNDAMENTOS TEÓRICOS PARA O SISTEMA PROPOSTO</w:t>
      </w:r>
    </w:p>
    <w:p>
      <w:pPr/>
      <w:r>
        <w:t>Os fundamentos apresentados demonstram que o Sistema IMR se apoia em três eixos principais: cuidado em saúde, organização da informação e segurança digital. O primeiro eixo aparece no acompanhamento de receitas e na preocupação com prazos de validade e retirada de medicamentos. O segundo eixo aparece na modelagem de clientes, receitas e notificações em banco relacional. O terceiro eixo aparece no tratamento de dados pessoais, autenticação, upload controlado de documentos e separação de perfis.</w:t>
      </w:r>
    </w:p>
    <w:p>
      <w:pPr/>
      <w:r>
        <w:t>A relação entre teoria e prática é importante porque o sistema não deve ser avaliado apenas pelo funcionamento técnico das telas. Ele também precisa ser compreendido como solução para um problema real de organização e acompanhamento. Ao permitir que receitas sejam cadastradas, consultadas e monitoradas, a aplicação contribui para reduzir esquecimentos, apoiar o uso racional de medicamentos e melhorar o acesso à informação.</w:t>
      </w:r>
    </w:p>
    <w:p>
      <w:pPr/>
      <w:r>
        <w:t>A seguir, apresenta-se um quadro sintético relacionando os principais fundamentos teóricos às funcionalidades implementadas no sistema.</w:t>
      </w:r>
    </w:p>
    <w:p>
      <w:pPr>
        <w:pStyle w:val="LegendaTabela"/>
      </w:pPr>
      <w:r>
        <w:t>Quadro 1 - Relação entre fundamentos teóricos e funcionalidades do Sistema IMR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5"/>
        <w:gridCol w:w="4535"/>
      </w:tblGrid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Fundamento teórico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Aplicação no sistema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Saúde digital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Centralização de dados de clientes, receitas, documentos e avisos em uma aplicação web acessível pelo navegador.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Assistência farmacêutica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Acompanhamento de medicamentos, validade da receita e data de próxima retirada, favorecendo continuidade do tratamento.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Proteção de dados pessoais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Cadastro com dados pessoais e sensíveis, exigindo controle de acesso, autenticação e tratamento adequado das informações.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Segurança em aplicações web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Uso de hash de senha, validação de uploads, limite de tamanho de arquivo e cabeçalhos HTTP de segurança.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Arquitetura cliente-servidor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em HTML, CSS e JavaScript consumindo rotas do backend Node.js/Express por meio de API.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Banco de dados relacional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Persistência em MySQL com tabelas relacionadas por chaves estrangeiras e regras de integridade.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Usabilidade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Divisão entre área do cliente e área administrativa, dashboards, mensagens de feedback e navegação por menus.</w:t>
            </w:r>
          </w:p>
        </w:tc>
      </w:tr>
    </w:tbl>
    <w:p>
      <w:pPr>
        <w:pStyle w:val="LegendaTabela"/>
        <w:jc w:val="left"/>
      </w:pPr>
      <w:r>
        <w:t>Fonte: elaborado pelo autor com base nos fundamentos teóricos e na implementação do projeto.</w:t>
      </w:r>
    </w:p>
    <w:p>
      <w:pPr/>
      <w:r>
        <w:t>Com base nessa relação, conclui-se que a fundamentação teórica sustenta as principais decisões do projeto. O monitoramento de receitas responde a uma necessidade ligada ao cuidado farmacêutico; a organização em banco de dados garante persistência e integridade; a arquitetura web viabiliza acesso por navegador; e as medidas de segurança procuram reduzir riscos no tratamento de informações pessoais e documentos de saúde. Assim, o Sistema IMR se apresenta como uma solução acadêmica aplicável à organização de receitas médicas e ao apoio ao acompanhamento de pacientes.</w:t>
      </w:r>
    </w:p>
    <w:p>
      <w:pPr>
        <w:pStyle w:val="Heading1"/>
      </w:pPr>
      <w:r>
        <w:t>REFERÊNCIAS</w:t>
      </w:r>
    </w:p>
    <w:p>
      <w:pPr>
        <w:pStyle w:val="ReferenciaABNT"/>
      </w:pPr>
      <w:r>
        <w:t>BRASIL. Lei nº 13.709, de 14 de agosto de 2018. Lei Geral de Proteção de Dados Pessoais (LGPD). Brasília, DF: Presidência da República, 2018a. Disponível em: https://www.planalto.gov.br/ccivil_03/_ato2015-2018/2018/lei/l13709compilado.htm. Acesso em: 28 maio 2026.</w:t>
      </w:r>
    </w:p>
    <w:p>
      <w:pPr>
        <w:pStyle w:val="ReferenciaABNT"/>
      </w:pPr>
      <w:r>
        <w:t>BRASIL. Lei nº 13.787, de 27 de dezembro de 2018. Dispõe sobre a digitalização e a utilização de sistemas informatizados para guarda, armazenamento e manuseio de prontuário de paciente. Brasília, DF: Presidência da República, 2018b. Disponível em: https://www.planalto.gov.br/ccivil_03/_ato2015-2018/2018/lei/l13787.htm. Acesso em: 28 maio 2026.</w:t>
      </w:r>
    </w:p>
    <w:p>
      <w:pPr>
        <w:pStyle w:val="ReferenciaABNT"/>
      </w:pPr>
      <w:r>
        <w:t>BRASIL. Ministério da Saúde. Telecuidado Farmacêutico. Brasília, DF: Ministério da Saúde, 2026a. Disponível em: https://www.gov.br/saude/pt-br/composicao/sectics/daf/ceaf/telecuidado-farmaceutico/telecuidado-farmaceutico. Acesso em: 28 maio 2026.</w:t>
      </w:r>
    </w:p>
    <w:p>
      <w:pPr>
        <w:pStyle w:val="ReferenciaABNT"/>
      </w:pPr>
      <w:r>
        <w:t>BRASIL. Ministério da Saúde. Uso Racional de Medicamentos. Brasília, DF: Ministério da Saúde, 2026b. Disponível em: https://www.gov.br/saude/pt-br/composicao/sectics/daf/uso-racional-de-medicamentos. Acesso em: 28 maio 2026.</w:t>
      </w:r>
    </w:p>
    <w:p>
      <w:pPr>
        <w:pStyle w:val="ReferenciaABNT"/>
      </w:pPr>
      <w:r>
        <w:t>EXPRESS. Routing. Express.js Documentation, 2026. Disponível em: https://expressjs.com/en/guide/routing/. Acesso em: 28 maio 2026.</w:t>
      </w:r>
    </w:p>
    <w:p>
      <w:pPr>
        <w:pStyle w:val="ReferenciaABNT"/>
      </w:pPr>
      <w:r>
        <w:t>NODE.JS. About Node.js. Node.js Documentation, 2026. Disponível em: https://nodejs.org/en/about/. Acesso em: 28 maio 2026.</w:t>
      </w:r>
    </w:p>
    <w:p>
      <w:pPr>
        <w:pStyle w:val="ReferenciaABNT"/>
      </w:pPr>
      <w:r>
        <w:t>ORACLE. MySQL 8.4 Reference Manual: Foreign Key Constraints. Oracle, 2026. Disponível em: https://dev.mysql.com/doc/refman/8.4/en/constraint-foreign-key.html. Acesso em: 28 maio 2026.</w:t>
      </w:r>
    </w:p>
    <w:p>
      <w:pPr>
        <w:pStyle w:val="ReferenciaABNT"/>
      </w:pPr>
      <w:r>
        <w:t>OWASP FOUNDATION. OWASP Top 10: 2021. OWASP, 2021. Disponível em: https://owasp.org/Top10/2021/. Acesso em: 28 maio 2026.</w:t>
      </w:r>
    </w:p>
    <w:p>
      <w:pPr>
        <w:pStyle w:val="ReferenciaABNT"/>
      </w:pPr>
      <w:r>
        <w:t>OWASP FOUNDATION. Password Storage Cheat Sheet. OWASP Cheat Sheet Series, 2026a. Disponível em: https://cheatsheetseries.owasp.org/cheatsheets/Password_Storage_Cheat_Sheet.html. Acesso em: 28 maio 2026.</w:t>
      </w:r>
    </w:p>
    <w:p>
      <w:pPr>
        <w:pStyle w:val="ReferenciaABNT"/>
      </w:pPr>
      <w:r>
        <w:t>OWASP FOUNDATION. File Upload Cheat Sheet. OWASP Cheat Sheet Series, 2026b. Disponível em: https://cheatsheetseries.owasp.org/cheatsheets/File_Upload_Cheat_Sheet.html. Acesso em: 28 maio 2026.</w:t>
      </w:r>
    </w:p>
    <w:p>
      <w:pPr>
        <w:pStyle w:val="ReferenciaABNT"/>
      </w:pPr>
      <w:r>
        <w:t>WORLD HEALTH ORGANIZATION. Global strategy on digital health 2020-2025. Geneva: World Health Organization, 2021. Disponível em: https://www.who.int/publications/i/item/9789240020924. Acesso em: 28 maio 2026.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TCC">
    <w:name w:val="TituloTCC"/>
    <w:pPr>
      <w:spacing w:line="360" w:lineRule="auto" w:after="360"/>
      <w:ind w:firstLine="0"/>
      <w:jc w:val="center"/>
    </w:pPr>
    <w:rPr>
      <w:rFonts w:ascii="Times New Roman" w:hAnsi="Times New Roman" w:eastAsia="Times New Roman"/>
      <w:b/>
      <w:color w:val="000000"/>
      <w:sz w:val="28"/>
    </w:rPr>
  </w:style>
  <w:style w:type="paragraph" w:customStyle="1" w:styleId="ReferenciaABNT">
    <w:name w:val="ReferenciaABNT"/>
    <w:pPr>
      <w:spacing w:line="240" w:lineRule="auto" w:after="120"/>
      <w:ind w:firstLine="0"/>
      <w:jc w:val="left"/>
    </w:pPr>
    <w:rPr>
      <w:rFonts w:ascii="Times New Roman" w:hAnsi="Times New Roman" w:eastAsia="Times New Roman"/>
      <w:sz w:val="24"/>
    </w:rPr>
  </w:style>
  <w:style w:type="paragraph" w:customStyle="1" w:styleId="LegendaTabela">
    <w:name w:val="LegendaTabela"/>
    <w:pPr>
      <w:spacing w:line="240" w:lineRule="auto" w:before="120" w:after="120"/>
      <w:ind w:firstLine="0"/>
      <w:jc w:val="center"/>
    </w:pPr>
    <w:rPr>
      <w:rFonts w:ascii="Times New Roman" w:hAnsi="Times New Roman" w:eastAsia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Referencial Teórico - Sistema de Monitoramento de Receitas Médicas</dc:title>
  <dc:subject>TCC - Análise e Desenvolvimento de Sistemas</dc:subject>
  <dc:creator>Autor</dc:creator>
  <cp:keywords>TCC; saúde digital; receitas médicas; assistência farmacêutica; LGPD; sistema web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