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555"/>
          <w:sz w:val="26"/>
        </w:rPr>
        <w:t>KairoX ERP — Leather Garment Factory</w:t>
      </w:r>
    </w:p>
    <w:p>
      <w:pPr>
        <w:jc w:val="center"/>
      </w:pPr>
      <w:r>
        <w:rPr>
          <w:b/>
          <w:color w:val="8A3B1E"/>
          <w:sz w:val="68"/>
        </w:rPr>
        <w:t>System &amp; Health</w:t>
      </w:r>
    </w:p>
    <w:p>
      <w:pPr>
        <w:jc w:val="center"/>
      </w:pPr>
      <w:r>
        <w:rPr>
          <w:color w:val="1A1A1A"/>
          <w:sz w:val="40"/>
        </w:rPr>
        <w:t>System Guide</w:t>
      </w:r>
    </w:p>
    <w:p>
      <w:pPr>
        <w:spacing w:before="280"/>
        <w:jc w:val="center"/>
      </w:pPr>
      <w:r>
        <w:rPr>
          <w:color w:val="555555"/>
          <w:sz w:val="22"/>
        </w:rPr>
        <w:t>Liveness and readiness. `/health` answers without touching the database and `/ready` does not — that difference is the point of having both, so a load balancer can tell a slow database from a dead process. Neither is under /api/v1, and neither needs a token.</w:t>
      </w:r>
    </w:p>
    <w:p/>
    <w:tbl>
      <w:tblPr>
        <w:tblStyle w:val="TableGrid"/>
        <w:tblW w:type="auto" w:w="0"/>
        <w:jc w:val="center"/>
        <w:tblLook w:firstColumn="1" w:firstRow="1" w:lastColumn="0" w:lastRow="0" w:noHBand="0" w:noVBand="1" w:val="04A0"/>
      </w:tblPr>
      <w:tblGrid>
        <w:gridCol w:w="4896"/>
        <w:gridCol w:w="4896"/>
      </w:tblGrid>
      <w:tr>
        <w:tc>
          <w:tcPr>
            <w:tcW w:type="dxa" w:w="2736"/>
            <w:shd w:val="clear" w:color="auto" w:fill="EDE7E2"/>
          </w:tcPr>
          <w:p>
            <w:r>
              <w:rPr>
                <w:b/>
                <w:color w:val="1A1A1A"/>
                <w:sz w:val="19"/>
              </w:rPr>
              <w:t>Service</w:t>
            </w:r>
          </w:p>
        </w:tc>
        <w:tc>
          <w:tcPr>
            <w:tcW w:type="dxa" w:w="6048"/>
          </w:tcPr>
          <w:p>
            <w:r>
              <w:rPr>
                <w:b w:val="0"/>
                <w:color w:val="1A1A1A"/>
                <w:sz w:val="19"/>
              </w:rPr>
              <w:t>system</w:t>
            </w:r>
          </w:p>
        </w:tc>
      </w:tr>
      <w:tr>
        <w:tc>
          <w:tcPr>
            <w:tcW w:type="dxa" w:w="2736"/>
            <w:shd w:val="clear" w:color="auto" w:fill="EDE7E2"/>
          </w:tcPr>
          <w:p>
            <w:r>
              <w:rPr>
                <w:b/>
                <w:color w:val="1A1A1A"/>
                <w:sz w:val="19"/>
              </w:rPr>
              <w:t>What this document is</w:t>
            </w:r>
          </w:p>
        </w:tc>
        <w:tc>
          <w:tcPr>
            <w:tcW w:type="dxa" w:w="6048"/>
          </w:tcPr>
          <w:p>
            <w:r>
              <w:rPr>
                <w:b w:val="0"/>
                <w:color w:val="1A1A1A"/>
                <w:sz w:val="19"/>
              </w:rPr>
              <w:t>How the service works, step by step</w:t>
            </w:r>
          </w:p>
        </w:tc>
      </w:tr>
      <w:tr>
        <w:tc>
          <w:tcPr>
            <w:tcW w:type="dxa" w:w="2736"/>
            <w:shd w:val="clear" w:color="auto" w:fill="EDE7E2"/>
          </w:tcPr>
          <w:p>
            <w:r>
              <w:rPr>
                <w:b/>
                <w:color w:val="1A1A1A"/>
                <w:sz w:val="19"/>
              </w:rPr>
              <w:t>Its companion</w:t>
            </w:r>
          </w:p>
        </w:tc>
        <w:tc>
          <w:tcPr>
            <w:tcW w:type="dxa" w:w="6048"/>
          </w:tcPr>
          <w:p>
            <w:r>
              <w:rPr>
                <w:b w:val="0"/>
                <w:color w:val="1A1A1A"/>
                <w:sz w:val="19"/>
              </w:rPr>
              <w:t>SYSTEM_API_REFERENCE.docx</w:t>
            </w:r>
          </w:p>
        </w:tc>
      </w:tr>
      <w:tr>
        <w:tc>
          <w:tcPr>
            <w:tcW w:type="dxa" w:w="2736"/>
            <w:shd w:val="clear" w:color="auto" w:fill="EDE7E2"/>
          </w:tcPr>
          <w:p>
            <w:r>
              <w:rPr>
                <w:b/>
                <w:color w:val="1A1A1A"/>
                <w:sz w:val="19"/>
              </w:rPr>
              <w:t>Endpoints in this service</w:t>
            </w:r>
          </w:p>
        </w:tc>
        <w:tc>
          <w:tcPr>
            <w:tcW w:type="dxa" w:w="6048"/>
          </w:tcPr>
          <w:p>
            <w:r>
              <w:rPr>
                <w:b w:val="0"/>
                <w:color w:val="1A1A1A"/>
                <w:sz w:val="19"/>
              </w:rPr>
              <w:t>3</w:t>
            </w:r>
          </w:p>
        </w:tc>
      </w:tr>
      <w:tr>
        <w:tc>
          <w:tcPr>
            <w:tcW w:type="dxa" w:w="2736"/>
            <w:shd w:val="clear" w:color="auto" w:fill="EDE7E2"/>
          </w:tcPr>
          <w:p>
            <w:r>
              <w:rPr>
                <w:b/>
                <w:color w:val="1A1A1A"/>
                <w:sz w:val="19"/>
              </w:rPr>
              <w:t>Updated</w:t>
            </w:r>
          </w:p>
        </w:tc>
        <w:tc>
          <w:tcPr>
            <w:tcW w:type="dxa" w:w="6048"/>
          </w:tcPr>
          <w:p>
            <w:r>
              <w:rPr>
                <w:b w:val="0"/>
                <w:color w:val="1A1A1A"/>
                <w:sz w:val="19"/>
              </w:rPr>
              <w:t>2026-09-29</w:t>
            </w:r>
          </w:p>
        </w:tc>
      </w:tr>
      <w:tr>
        <w:tc>
          <w:tcPr>
            <w:tcW w:type="dxa" w:w="2736"/>
            <w:shd w:val="clear" w:color="auto" w:fill="EDE7E2"/>
          </w:tcPr>
          <w:p>
            <w:r>
              <w:rPr>
                <w:b/>
                <w:color w:val="1A1A1A"/>
                <w:sz w:val="19"/>
              </w:rPr>
              <w:t>Audience</w:t>
            </w:r>
          </w:p>
        </w:tc>
        <w:tc>
          <w:tcPr>
            <w:tcW w:type="dxa" w:w="6048"/>
          </w:tcPr>
          <w:p>
            <w:r>
              <w:rPr>
                <w:b w:val="0"/>
                <w:color w:val="1A1A1A"/>
                <w:sz w:val="19"/>
              </w:rPr>
              <w:t>Frontend and backend developers</w:t>
            </w:r>
          </w:p>
        </w:tc>
      </w:tr>
    </w:tbl>
    <w:p>
      <w:r>
        <w:br w:type="page"/>
      </w:r>
    </w:p>
    <w:p>
      <w:pPr>
        <w:pStyle w:val="Heading1"/>
      </w:pPr>
      <w:r>
        <w:t>1. What this service is</w:t>
      </w:r>
    </w:p>
    <w:p>
      <w:pPr>
        <w:spacing w:after="120"/>
      </w:pPr>
      <w:r>
        <w:rPr>
          <w:b w:val="0"/>
          <w:color w:val="1A1A1A"/>
          <w:sz w:val="21"/>
        </w:rPr>
        <w:t>Two small things that do not belong to any one module, plus how the whole application is put together.</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Part</w:t>
            </w:r>
          </w:p>
        </w:tc>
        <w:tc>
          <w:tcPr>
            <w:tcW w:type="dxa" w:w="3264"/>
            <w:shd w:val="clear" w:color="auto" w:fill="EDE7E2"/>
          </w:tcPr>
          <w:p>
            <w:r/>
            <w:r>
              <w:rPr>
                <w:b/>
                <w:color w:val="1A1A1A"/>
                <w:sz w:val="18"/>
              </w:rPr>
              <w:t>Endpoints</w:t>
            </w:r>
          </w:p>
        </w:tc>
        <w:tc>
          <w:tcPr>
            <w:tcW w:type="dxa" w:w="3264"/>
            <w:shd w:val="clear" w:color="auto" w:fill="EDE7E2"/>
          </w:tcPr>
          <w:p>
            <w:r/>
            <w:r>
              <w:rPr>
                <w:b/>
                <w:color w:val="1A1A1A"/>
                <w:sz w:val="18"/>
              </w:rPr>
              <w:t>Needs a token?</w:t>
            </w:r>
          </w:p>
        </w:tc>
      </w:tr>
      <w:tr>
        <w:tc>
          <w:tcPr>
            <w:tcW w:type="dxa" w:w="3264"/>
          </w:tcPr>
          <w:p>
            <w:pPr>
              <w:spacing w:after="20"/>
            </w:pPr>
            <w:r/>
            <w:r>
              <w:rPr>
                <w:b/>
                <w:color w:val="1A1A1A"/>
                <w:sz w:val="18"/>
              </w:rPr>
              <w:t>Health</w:t>
            </w:r>
          </w:p>
        </w:tc>
        <w:tc>
          <w:tcPr>
            <w:tcW w:type="dxa" w:w="3264"/>
          </w:tcPr>
          <w:p>
            <w:pPr>
              <w:spacing w:after="20"/>
            </w:pPr>
            <w:r/>
            <w:r>
              <w:rPr>
                <w:rFonts w:ascii="Consolas" w:hAnsi="Consolas"/>
                <w:color w:val="8A3B1E"/>
                <w:sz w:val="18"/>
              </w:rPr>
              <w:t>GET /health</w:t>
            </w:r>
            <w:r>
              <w:rPr>
                <w:b w:val="0"/>
                <w:color w:val="1A1A1A"/>
                <w:sz w:val="18"/>
              </w:rPr>
              <w:t xml:space="preserve">, </w:t>
            </w:r>
            <w:r>
              <w:rPr>
                <w:rFonts w:ascii="Consolas" w:hAnsi="Consolas"/>
                <w:color w:val="8A3B1E"/>
                <w:sz w:val="18"/>
              </w:rPr>
              <w:t>GET /ready</w:t>
            </w:r>
          </w:p>
        </w:tc>
        <w:tc>
          <w:tcPr>
            <w:tcW w:type="dxa" w:w="3264"/>
          </w:tcPr>
          <w:p>
            <w:pPr>
              <w:spacing w:after="20"/>
            </w:pPr>
            <w:r/>
            <w:r>
              <w:rPr>
                <w:b/>
                <w:color w:val="1A1A1A"/>
                <w:sz w:val="18"/>
              </w:rPr>
              <w:t>No</w:t>
            </w:r>
          </w:p>
        </w:tc>
      </w:tr>
      <w:tr>
        <w:tc>
          <w:tcPr>
            <w:tcW w:type="dxa" w:w="3264"/>
          </w:tcPr>
          <w:p>
            <w:pPr>
              <w:spacing w:after="20"/>
            </w:pPr>
            <w:r/>
            <w:r>
              <w:rPr>
                <w:b/>
                <w:color w:val="1A1A1A"/>
                <w:sz w:val="18"/>
              </w:rPr>
              <w:t>Root</w:t>
            </w:r>
          </w:p>
        </w:tc>
        <w:tc>
          <w:tcPr>
            <w:tcW w:type="dxa" w:w="3264"/>
          </w:tcPr>
          <w:p>
            <w:pPr>
              <w:spacing w:after="20"/>
            </w:pPr>
            <w:r/>
            <w:r>
              <w:rPr>
                <w:rFonts w:ascii="Consolas" w:hAnsi="Consolas"/>
                <w:color w:val="8A3B1E"/>
                <w:sz w:val="18"/>
              </w:rPr>
              <w:t>GET /</w:t>
            </w:r>
          </w:p>
        </w:tc>
        <w:tc>
          <w:tcPr>
            <w:tcW w:type="dxa" w:w="3264"/>
          </w:tcPr>
          <w:p>
            <w:pPr>
              <w:spacing w:after="20"/>
            </w:pPr>
            <w:r/>
            <w:r>
              <w:rPr>
                <w:b/>
                <w:color w:val="1A1A1A"/>
                <w:sz w:val="18"/>
              </w:rPr>
              <w:t>No</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 xml:space="preserve">Note the paths. </w:t>
            </w:r>
            <w:r>
              <w:rPr>
                <w:rFonts w:ascii="Consolas" w:hAnsi="Consolas"/>
                <w:color w:val="8A3B1E"/>
                <w:sz w:val="20"/>
              </w:rPr>
              <w:t>/health</w:t>
            </w:r>
            <w:r>
              <w:rPr>
                <w:b w:val="0"/>
                <w:color w:val="1A1A1A"/>
                <w:sz w:val="20"/>
              </w:rPr>
              <w:t xml:space="preserve">, </w:t>
            </w:r>
            <w:r>
              <w:rPr>
                <w:rFonts w:ascii="Consolas" w:hAnsi="Consolas"/>
                <w:color w:val="8A3B1E"/>
                <w:sz w:val="20"/>
              </w:rPr>
              <w:t>/ready</w:t>
            </w:r>
            <w:r>
              <w:rPr>
                <w:b w:val="0"/>
                <w:color w:val="1A1A1A"/>
                <w:sz w:val="20"/>
              </w:rPr>
              <w:t xml:space="preserve"> and </w:t>
            </w:r>
            <w:r>
              <w:rPr>
                <w:rFonts w:ascii="Consolas" w:hAnsi="Consolas"/>
                <w:color w:val="8A3B1E"/>
                <w:sz w:val="20"/>
              </w:rPr>
              <w:t>/</w:t>
            </w:r>
            <w:r>
              <w:rPr>
                <w:b w:val="0"/>
                <w:color w:val="1A1A1A"/>
                <w:sz w:val="20"/>
              </w:rPr>
              <w:t xml:space="preserve"> are </w:t>
            </w:r>
            <w:r>
              <w:rPr>
                <w:b/>
                <w:color w:val="1A1A1A"/>
                <w:sz w:val="20"/>
              </w:rPr>
              <w:t>not</w:t>
            </w:r>
            <w:r>
              <w:rPr>
                <w:b w:val="0"/>
                <w:color w:val="1A1A1A"/>
                <w:sz w:val="20"/>
              </w:rPr>
              <w:t xml:space="preserve"> under </w:t>
            </w:r>
            <w:r>
              <w:rPr>
                <w:rFonts w:ascii="Consolas" w:hAnsi="Consolas"/>
                <w:color w:val="8A3B1E"/>
                <w:sz w:val="20"/>
              </w:rPr>
              <w:t>/api/v1</w:t>
            </w:r>
            <w:r>
              <w:rPr>
                <w:b w:val="0"/>
                <w:color w:val="1A1A1A"/>
                <w:sz w:val="20"/>
              </w:rPr>
              <w:t>, and none of them needs a token.</w:t>
            </w:r>
          </w:p>
        </w:tc>
      </w:tr>
    </w:tbl>
    <w:p>
      <w:pPr>
        <w:spacing w:after="0"/>
      </w:pP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Part</w:t>
            </w:r>
          </w:p>
        </w:tc>
        <w:tc>
          <w:tcPr>
            <w:tcW w:type="dxa" w:w="4896"/>
            <w:shd w:val="clear" w:color="auto" w:fill="EDE7E2"/>
          </w:tcPr>
          <w:p>
            <w:r/>
            <w:r>
              <w:rPr>
                <w:b/>
                <w:color w:val="1A1A1A"/>
                <w:sz w:val="18"/>
              </w:rPr>
              <w:t>File</w:t>
            </w:r>
          </w:p>
        </w:tc>
      </w:tr>
      <w:tr>
        <w:tc>
          <w:tcPr>
            <w:tcW w:type="dxa" w:w="4896"/>
          </w:tcPr>
          <w:p>
            <w:pPr>
              <w:spacing w:after="20"/>
            </w:pPr>
            <w:r/>
            <w:r>
              <w:rPr>
                <w:b w:val="0"/>
                <w:color w:val="1A1A1A"/>
                <w:sz w:val="18"/>
              </w:rPr>
              <w:t>App assembly, health, root</w:t>
            </w:r>
          </w:p>
        </w:tc>
        <w:tc>
          <w:tcPr>
            <w:tcW w:type="dxa" w:w="4896"/>
          </w:tcPr>
          <w:p>
            <w:pPr>
              <w:spacing w:after="20"/>
            </w:pPr>
            <w:r/>
            <w:r>
              <w:rPr>
                <w:rFonts w:ascii="Consolas" w:hAnsi="Consolas"/>
                <w:color w:val="8A3B1E"/>
                <w:sz w:val="18"/>
              </w:rPr>
              <w:t>app/main.py</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The chatbot moved out of this document.</w:t>
            </w:r>
            <w:r>
              <w:rPr>
                <w:b w:val="0"/>
                <w:color w:val="1A1A1A"/>
                <w:sz w:val="20"/>
              </w:rPr>
              <w:t xml:space="preserve"> </w:t>
            </w:r>
            <w:r>
              <w:rPr>
                <w:rFonts w:ascii="Consolas" w:hAnsi="Consolas"/>
                <w:color w:val="8A3B1E"/>
                <w:sz w:val="20"/>
              </w:rPr>
              <w:t>POST /api/v1/chat</w:t>
            </w:r>
            <w:r>
              <w:rPr>
                <w:b w:val="0"/>
                <w:color w:val="1A1A1A"/>
                <w:sz w:val="20"/>
              </w:rPr>
              <w:t xml:space="preserve"> and </w:t>
            </w:r>
            <w:r>
              <w:rPr>
                <w:rFonts w:ascii="Consolas" w:hAnsi="Consolas"/>
                <w:color w:val="8A3B1E"/>
                <w:sz w:val="20"/>
              </w:rPr>
              <w:t>POST /api/v1/chat/stream</w:t>
            </w:r>
            <w:r>
              <w:rPr>
                <w:b w:val="0"/>
                <w:color w:val="1A1A1A"/>
                <w:sz w:val="20"/>
              </w:rPr>
              <w:t xml:space="preserve"> are their own service now — see </w:t>
            </w:r>
            <w:r>
              <w:rPr>
                <w:rFonts w:ascii="Consolas" w:hAnsi="Consolas"/>
                <w:color w:val="8A3B1E"/>
                <w:sz w:val="20"/>
              </w:rPr>
              <w:t>INTELLIGENCE_SYSTEM_GUIDE.docx</w:t>
            </w:r>
            <w:r>
              <w:rPr>
                <w:b w:val="0"/>
                <w:color w:val="1A1A1A"/>
                <w:sz w:val="20"/>
              </w:rPr>
              <w:t xml:space="preserve"> and </w:t>
            </w:r>
            <w:r>
              <w:rPr>
                <w:rFonts w:ascii="Consolas" w:hAnsi="Consolas"/>
                <w:color w:val="8A3B1E"/>
                <w:sz w:val="20"/>
              </w:rPr>
              <w:t>INTELLIGENCE_API_REFERENCE.docx</w:t>
            </w:r>
            <w:r>
              <w:rPr>
                <w:b w:val="0"/>
                <w:color w:val="1A1A1A"/>
                <w:sz w:val="20"/>
              </w:rPr>
              <w:t>.</w:t>
            </w:r>
          </w:p>
        </w:tc>
      </w:tr>
    </w:tbl>
    <w:p>
      <w:pPr>
        <w:spacing w:after="0"/>
      </w:pPr>
    </w:p>
    <w:p>
      <w:pPr>
        <w:spacing w:after="40"/>
        <w:pBdr>
          <w:bottom w:val="single" w:sz="6" w:color="CCCCCC"/>
        </w:pBdr>
      </w:pPr>
    </w:p>
    <w:p>
      <w:r>
        <w:br w:type="page"/>
      </w:r>
    </w:p>
    <w:p>
      <w:pPr>
        <w:pStyle w:val="Heading1"/>
      </w:pPr>
      <w:r>
        <w:t>2. Health and readiness — and why there are two</w:t>
      </w:r>
    </w:p>
    <w:p>
      <w:pPr>
        <w:spacing w:after="120"/>
      </w:pPr>
      <w:r>
        <w:rPr>
          <w:b w:val="0"/>
          <w:color w:val="1A1A1A"/>
          <w:sz w:val="21"/>
        </w:rPr>
        <w:t xml:space="preserve">They answer </w:t>
      </w:r>
      <w:r>
        <w:rPr>
          <w:b/>
          <w:color w:val="1A1A1A"/>
          <w:sz w:val="21"/>
        </w:rPr>
        <w:t>different questions</w:t>
      </w:r>
      <w:r>
        <w:rPr>
          <w:b w:val="0"/>
          <w:color w:val="1A1A1A"/>
          <w:sz w:val="21"/>
        </w:rPr>
        <w:t>, and that difference is the whole point.</w:t>
      </w:r>
    </w:p>
    <w:p>
      <w:pPr>
        <w:pStyle w:val="Heading2"/>
        <w:spacing w:before="280"/>
      </w:pPr>
      <w:r>
        <w:rPr>
          <w:rFonts w:ascii="Consolas" w:hAnsi="Consolas"/>
        </w:rPr>
        <w:t>GET /health</w:t>
      </w:r>
      <w:r>
        <w:t xml:space="preserve"> — liveness</w:t>
      </w:r>
    </w:p>
    <w:p>
      <w:pPr>
        <w:spacing w:after="120"/>
      </w:pPr>
      <w:r>
        <w:rPr>
          <w:i/>
          <w:color w:val="1A1A1A"/>
          <w:sz w:val="21"/>
        </w:rPr>
        <w:t>"Is this process up?"</w:t>
      </w:r>
    </w:p>
    <w:p>
      <w:pPr>
        <w:spacing w:after="120"/>
      </w:pPr>
      <w:r>
        <w:rPr>
          <w:b w:val="0"/>
          <w:color w:val="1A1A1A"/>
          <w:sz w:val="21"/>
        </w:rPr>
        <w:t xml:space="preserve">It checks </w:t>
      </w:r>
      <w:r>
        <w:rPr>
          <w:b/>
          <w:color w:val="1A1A1A"/>
          <w:sz w:val="21"/>
        </w:rPr>
        <w:t>nothing external</w:t>
      </w:r>
      <w:r>
        <w:rPr>
          <w:b w:val="0"/>
          <w:color w:val="1A1A1A"/>
          <w:sz w:val="21"/>
        </w:rPr>
        <w:t>, deliberately. It does not touch the database.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"status": "healthy", "app": "KairoX", "version": "1.0.0" }</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 xml:space="preserve">If </w:t>
            </w:r>
            <w:r>
              <w:rPr>
                <w:rFonts w:ascii="Consolas" w:hAnsi="Consolas"/>
                <w:color w:val="8A3B1E"/>
                <w:sz w:val="20"/>
              </w:rPr>
              <w:t>/health</w:t>
            </w:r>
            <w:r>
              <w:rPr>
                <w:b w:val="0"/>
                <w:color w:val="1A1A1A"/>
                <w:sz w:val="20"/>
              </w:rPr>
              <w:t xml:space="preserve"> touched the database, a transient database blip would make an orchestrator </w:t>
            </w:r>
            <w:r>
              <w:rPr>
                <w:b/>
                <w:color w:val="1A1A1A"/>
                <w:sz w:val="20"/>
              </w:rPr>
              <w:t>restart a perfectly healthy process</w:t>
            </w:r>
            <w:r>
              <w:rPr>
                <w:b w:val="0"/>
                <w:color w:val="1A1A1A"/>
                <w:sz w:val="20"/>
              </w:rPr>
              <w:t xml:space="preserve"> — turning a five-second glitch into a rolling outage.</w:t>
            </w:r>
          </w:p>
        </w:tc>
      </w:tr>
    </w:tbl>
    <w:p>
      <w:pPr>
        <w:spacing w:after="0"/>
      </w:pPr>
    </w:p>
    <w:p>
      <w:pPr>
        <w:pStyle w:val="Heading2"/>
        <w:spacing w:before="280"/>
      </w:pPr>
      <w:r>
        <w:rPr>
          <w:rFonts w:ascii="Consolas" w:hAnsi="Consolas"/>
        </w:rPr>
        <w:t>GET /ready</w:t>
      </w:r>
      <w:r>
        <w:t xml:space="preserve"> — readiness</w:t>
      </w:r>
    </w:p>
    <w:p>
      <w:pPr>
        <w:spacing w:after="120"/>
      </w:pPr>
      <w:r>
        <w:rPr>
          <w:i/>
          <w:color w:val="1A1A1A"/>
          <w:sz w:val="21"/>
        </w:rPr>
        <w:t>"Can this replica actually serve traffic?"</w:t>
      </w:r>
    </w:p>
    <w:p>
      <w:pPr>
        <w:spacing w:after="120"/>
      </w:pPr>
      <w:r>
        <w:rPr>
          <w:b w:val="0"/>
          <w:color w:val="1A1A1A"/>
          <w:sz w:val="21"/>
        </w:rPr>
        <w:t xml:space="preserve">It runs a trivial </w:t>
      </w:r>
      <w:r>
        <w:rPr>
          <w:rFonts w:ascii="Consolas" w:hAnsi="Consolas"/>
          <w:color w:val="8A3B1E"/>
          <w:sz w:val="21"/>
        </w:rPr>
        <w:t>SELECT 1</w:t>
      </w:r>
      <w:r>
        <w:rPr>
          <w:b w:val="0"/>
          <w:color w:val="1A1A1A"/>
          <w:sz w:val="21"/>
        </w:rPr>
        <w:t xml:space="preserve">. If the connection pool is exhausted or the database is unreachable, it answers </w:t>
      </w:r>
      <w:r>
        <w:rPr>
          <w:b/>
          <w:color w:val="1A1A1A"/>
          <w:sz w:val="21"/>
        </w:rPr>
        <w:t>503</w:t>
      </w:r>
      <w:r>
        <w:rPr>
          <w:b w:val="0"/>
          <w:color w:val="1A1A1A"/>
          <w:sz w:val="21"/>
        </w:rPr>
        <w:t>:</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"status": "not_ready" }</w:t>
            </w:r>
          </w:p>
        </w:tc>
      </w:tr>
    </w:tbl>
    <w:p>
      <w:pPr>
        <w:spacing w:after="0"/>
      </w:pPr>
    </w:p>
    <w:p>
      <w:pPr>
        <w:spacing w:after="120"/>
      </w:pPr>
      <w:r>
        <w:rPr>
          <w:b w:val="0"/>
          <w:color w:val="1A1A1A"/>
          <w:sz w:val="21"/>
        </w:rPr>
        <w:t xml:space="preserve">A load balancer takes that replica </w:t>
      </w:r>
      <w:r>
        <w:rPr>
          <w:b/>
          <w:color w:val="1A1A1A"/>
          <w:sz w:val="21"/>
        </w:rPr>
        <w:t>out of rotation</w:t>
      </w:r>
      <w:r>
        <w:rPr>
          <w:b w:val="0"/>
          <w:color w:val="1A1A1A"/>
          <w:sz w:val="21"/>
        </w:rPr>
        <w:t xml:space="preserve"> without killing it. When the database comes back, the replica starts answering 200 again and returns to service by itself.</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p>
        </w:tc>
        <w:tc>
          <w:tcPr>
            <w:tcW w:type="dxa" w:w="3264"/>
            <w:shd w:val="clear" w:color="auto" w:fill="EDE7E2"/>
          </w:tcPr>
          <w:p>
            <w:r/>
            <w:r>
              <w:rPr>
                <w:b/>
                <w:color w:val="1A1A1A"/>
                <w:sz w:val="18"/>
              </w:rPr>
              <w:t>`/health`</w:t>
            </w:r>
          </w:p>
        </w:tc>
        <w:tc>
          <w:tcPr>
            <w:tcW w:type="dxa" w:w="3264"/>
            <w:shd w:val="clear" w:color="auto" w:fill="EDE7E2"/>
          </w:tcPr>
          <w:p>
            <w:r/>
            <w:r>
              <w:rPr>
                <w:b/>
                <w:color w:val="1A1A1A"/>
                <w:sz w:val="18"/>
              </w:rPr>
              <w:t>`/ready`</w:t>
            </w:r>
          </w:p>
        </w:tc>
      </w:tr>
      <w:tr>
        <w:tc>
          <w:tcPr>
            <w:tcW w:type="dxa" w:w="3264"/>
          </w:tcPr>
          <w:p>
            <w:pPr>
              <w:spacing w:after="20"/>
            </w:pPr>
            <w:r/>
            <w:r>
              <w:rPr>
                <w:b w:val="0"/>
                <w:color w:val="1A1A1A"/>
                <w:sz w:val="18"/>
              </w:rPr>
              <w:t>Touches the database</w:t>
            </w:r>
          </w:p>
        </w:tc>
        <w:tc>
          <w:tcPr>
            <w:tcW w:type="dxa" w:w="3264"/>
          </w:tcPr>
          <w:p>
            <w:pPr>
              <w:spacing w:after="20"/>
            </w:pPr>
            <w:r/>
            <w:r>
              <w:rPr>
                <w:b w:val="0"/>
                <w:color w:val="1A1A1A"/>
                <w:sz w:val="18"/>
              </w:rPr>
              <w:t>no</w:t>
            </w:r>
          </w:p>
        </w:tc>
        <w:tc>
          <w:tcPr>
            <w:tcW w:type="dxa" w:w="3264"/>
          </w:tcPr>
          <w:p>
            <w:pPr>
              <w:spacing w:after="20"/>
            </w:pPr>
            <w:r/>
            <w:r>
              <w:rPr>
                <w:b w:val="0"/>
                <w:color w:val="1A1A1A"/>
                <w:sz w:val="18"/>
              </w:rPr>
              <w:t>yes</w:t>
            </w:r>
          </w:p>
        </w:tc>
      </w:tr>
      <w:tr>
        <w:tc>
          <w:tcPr>
            <w:tcW w:type="dxa" w:w="3264"/>
          </w:tcPr>
          <w:p>
            <w:pPr>
              <w:spacing w:after="20"/>
            </w:pPr>
            <w:r/>
            <w:r>
              <w:rPr>
                <w:b w:val="0"/>
                <w:color w:val="1A1A1A"/>
                <w:sz w:val="18"/>
              </w:rPr>
              <w:t>Failure means</w:t>
            </w:r>
          </w:p>
        </w:tc>
        <w:tc>
          <w:tcPr>
            <w:tcW w:type="dxa" w:w="3264"/>
          </w:tcPr>
          <w:p>
            <w:pPr>
              <w:spacing w:after="20"/>
            </w:pPr>
            <w:r/>
            <w:r>
              <w:rPr>
                <w:b w:val="0"/>
                <w:color w:val="1A1A1A"/>
                <w:sz w:val="18"/>
              </w:rPr>
              <w:t xml:space="preserve">the process is dead → </w:t>
            </w:r>
            <w:r>
              <w:rPr>
                <w:b/>
                <w:color w:val="1A1A1A"/>
                <w:sz w:val="18"/>
              </w:rPr>
              <w:t>restart it</w:t>
            </w:r>
          </w:p>
        </w:tc>
        <w:tc>
          <w:tcPr>
            <w:tcW w:type="dxa" w:w="3264"/>
          </w:tcPr>
          <w:p>
            <w:pPr>
              <w:spacing w:after="20"/>
            </w:pPr>
            <w:r/>
            <w:r>
              <w:rPr>
                <w:b w:val="0"/>
                <w:color w:val="1A1A1A"/>
                <w:sz w:val="18"/>
              </w:rPr>
              <w:t xml:space="preserve">this replica cannot serve → </w:t>
            </w:r>
            <w:r>
              <w:rPr>
                <w:b/>
                <w:color w:val="1A1A1A"/>
                <w:sz w:val="18"/>
              </w:rPr>
              <w:t>stop sending it traffic</w:t>
            </w:r>
          </w:p>
        </w:tc>
      </w:tr>
      <w:tr>
        <w:tc>
          <w:tcPr>
            <w:tcW w:type="dxa" w:w="3264"/>
          </w:tcPr>
          <w:p>
            <w:pPr>
              <w:spacing w:after="20"/>
            </w:pPr>
            <w:r/>
            <w:r>
              <w:rPr>
                <w:b w:val="0"/>
                <w:color w:val="1A1A1A"/>
                <w:sz w:val="18"/>
              </w:rPr>
              <w:t>Used by</w:t>
            </w:r>
          </w:p>
        </w:tc>
        <w:tc>
          <w:tcPr>
            <w:tcW w:type="dxa" w:w="3264"/>
          </w:tcPr>
          <w:p>
            <w:pPr>
              <w:spacing w:after="20"/>
            </w:pPr>
            <w:r/>
            <w:r>
              <w:rPr>
                <w:b w:val="0"/>
                <w:color w:val="1A1A1A"/>
                <w:sz w:val="18"/>
              </w:rPr>
              <w:t>the container's liveness probe</w:t>
            </w:r>
          </w:p>
        </w:tc>
        <w:tc>
          <w:tcPr>
            <w:tcW w:type="dxa" w:w="3264"/>
          </w:tcPr>
          <w:p>
            <w:pPr>
              <w:spacing w:after="20"/>
            </w:pPr>
            <w:r/>
            <w:r>
              <w:rPr>
                <w:b w:val="0"/>
                <w:color w:val="1A1A1A"/>
                <w:sz w:val="18"/>
              </w:rPr>
              <w:t>the load balancer / readiness probe</w:t>
            </w:r>
          </w:p>
        </w:tc>
      </w:tr>
    </w:tbl>
    <w:p>
      <w:pPr>
        <w:spacing w:after="0"/>
      </w:pPr>
    </w:p>
    <w:p>
      <w:pPr>
        <w:spacing w:after="120"/>
      </w:pPr>
      <w:r>
        <w:rPr>
          <w:b/>
          <w:color w:val="1A1A1A"/>
          <w:sz w:val="21"/>
        </w:rPr>
        <w:t>Wire them to the right probe.</w:t>
      </w:r>
      <w:r>
        <w:rPr>
          <w:b w:val="0"/>
          <w:color w:val="1A1A1A"/>
          <w:sz w:val="21"/>
        </w:rPr>
        <w:t xml:space="preserve"> Swapping them is how a database hiccup becomes a restart loop.</w:t>
      </w:r>
    </w:p>
    <w:p>
      <w:pPr>
        <w:spacing w:after="40"/>
        <w:pBdr>
          <w:bottom w:val="single" w:sz="6" w:color="CCCCCC"/>
        </w:pBdr>
      </w:pPr>
    </w:p>
    <w:p>
      <w:r>
        <w:br w:type="page"/>
      </w:r>
    </w:p>
    <w:p>
      <w:pPr>
        <w:pStyle w:val="Heading1"/>
      </w:pPr>
      <w:r>
        <w:t xml:space="preserve">3. </w:t>
      </w:r>
      <w:r>
        <w:rPr>
          <w:rFonts w:ascii="Consolas" w:hAnsi="Consolas"/>
        </w:rPr>
        <w:t>GET /</w:t>
      </w:r>
      <w:r>
        <w:t xml:space="preserve"> — the root</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"message": "Welcome to KairoX", "docs": "/docs", "health": "/health" }</w:t>
            </w:r>
          </w:p>
        </w:tc>
      </w:tr>
    </w:tbl>
    <w:p>
      <w:pPr>
        <w:spacing w:after="0"/>
      </w:pPr>
    </w:p>
    <w:p>
      <w:pPr>
        <w:spacing w:after="120"/>
      </w:pPr>
      <w:r>
        <w:rPr>
          <w:b w:val="0"/>
          <w:color w:val="1A1A1A"/>
          <w:sz w:val="21"/>
        </w:rPr>
        <w:t xml:space="preserve">A pointer, nothing more. </w:t>
      </w:r>
      <w:r>
        <w:rPr>
          <w:rFonts w:ascii="Consolas" w:hAnsi="Consolas"/>
          <w:color w:val="8A3B1E"/>
          <w:sz w:val="21"/>
        </w:rPr>
        <w:t>GET /favicon.ico</w:t>
      </w:r>
      <w:r>
        <w:rPr>
          <w:b w:val="0"/>
          <w:color w:val="1A1A1A"/>
          <w:sz w:val="21"/>
        </w:rPr>
        <w:t xml:space="preserve"> answers </w:t>
      </w:r>
      <w:r>
        <w:rPr>
          <w:rFonts w:ascii="Consolas" w:hAnsi="Consolas"/>
          <w:color w:val="8A3B1E"/>
          <w:sz w:val="21"/>
        </w:rPr>
        <w:t>204</w:t>
      </w:r>
      <w:r>
        <w:rPr>
          <w:b w:val="0"/>
          <w:color w:val="1A1A1A"/>
          <w:sz w:val="21"/>
        </w:rPr>
        <w:t xml:space="preserve"> so browsers stop asking.</w:t>
      </w:r>
    </w:p>
    <w:p>
      <w:pPr>
        <w:spacing w:after="40"/>
        <w:pBdr>
          <w:bottom w:val="single" w:sz="6" w:color="CCCCCC"/>
        </w:pBdr>
      </w:pPr>
    </w:p>
    <w:p>
      <w:r>
        <w:br w:type="page"/>
      </w:r>
    </w:p>
    <w:p>
      <w:pPr>
        <w:pStyle w:val="Heading1"/>
      </w:pPr>
      <w:r>
        <w:t>4. The interactive docs</w:t>
      </w:r>
    </w:p>
    <w:p>
      <w:pPr>
        <w:spacing w:after="120"/>
      </w:pPr>
      <w:r>
        <w:rPr>
          <w:rFonts w:ascii="Consolas" w:hAnsi="Consolas"/>
          <w:color w:val="8A3B1E"/>
          <w:sz w:val="21"/>
        </w:rPr>
        <w:t>/docs</w:t>
      </w:r>
      <w:r>
        <w:rPr>
          <w:b w:val="0"/>
          <w:color w:val="1A1A1A"/>
          <w:sz w:val="21"/>
        </w:rPr>
        <w:t xml:space="preserve"> (Swagger) and </w:t>
      </w:r>
      <w:r>
        <w:rPr>
          <w:rFonts w:ascii="Consolas" w:hAnsi="Consolas"/>
          <w:color w:val="8A3B1E"/>
          <w:sz w:val="21"/>
        </w:rPr>
        <w:t>/redoc</w:t>
      </w:r>
      <w:r>
        <w:rPr>
          <w:b w:val="0"/>
          <w:color w:val="1A1A1A"/>
          <w:sz w:val="21"/>
        </w:rPr>
        <w:t xml:space="preserve"> are </w:t>
      </w:r>
      <w:r>
        <w:rPr>
          <w:b/>
          <w:color w:val="1A1A1A"/>
          <w:sz w:val="21"/>
        </w:rPr>
        <w:t>on in every environment</w:t>
      </w:r>
      <w:r>
        <w:rPr>
          <w:b w:val="0"/>
          <w:color w:val="1A1A1A"/>
          <w:sz w:val="21"/>
        </w:rPr>
        <w:t>, including production.</w:t>
      </w:r>
    </w:p>
    <w:p>
      <w:pPr>
        <w:spacing w:after="120"/>
      </w:pPr>
      <w:r>
        <w:rPr>
          <w:b w:val="0"/>
          <w:color w:val="1A1A1A"/>
          <w:sz w:val="21"/>
        </w:rPr>
        <w:t>They used to switch themselves off outside a dev box, which quietly broke the people who need them most: the frontend developers integrating against staging, and anyone verifying a deploy.</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Hiding the route map is not a security control.</w:t>
            </w:r>
            <w:r>
              <w:rPr>
                <w:b w:val="0"/>
                <w:color w:val="1A1A1A"/>
                <w:sz w:val="20"/>
              </w:rPr>
              <w:t xml:space="preserve"> Every route still enforces its token and its role gate, and anyone who can reach the host can enumerate it anyway. The real control is not exposing this API to the open internet.</w:t>
            </w:r>
          </w:p>
        </w:tc>
      </w:tr>
    </w:tbl>
    <w:p>
      <w:pPr>
        <w:spacing w:after="0"/>
      </w:pPr>
    </w:p>
    <w:p>
      <w:pPr>
        <w:spacing w:after="120"/>
      </w:pPr>
      <w:r>
        <w:rPr>
          <w:b w:val="0"/>
          <w:color w:val="1A1A1A"/>
          <w:sz w:val="21"/>
        </w:rPr>
        <w:t xml:space="preserve">It is reversible: </w:t>
      </w:r>
      <w:r>
        <w:rPr>
          <w:rFonts w:ascii="Consolas" w:hAnsi="Consolas"/>
          <w:color w:val="8A3B1E"/>
          <w:sz w:val="21"/>
        </w:rPr>
        <w:t>DOCS_ENABLED=false</w:t>
      </w:r>
      <w:r>
        <w:rPr>
          <w:b w:val="0"/>
          <w:color w:val="1A1A1A"/>
          <w:sz w:val="21"/>
        </w:rPr>
        <w:t xml:space="preserve"> on any single deploy turns them dark again.</w:t>
      </w:r>
    </w:p>
    <w:p>
      <w:pPr>
        <w:spacing w:after="40"/>
        <w:pBdr>
          <w:bottom w:val="single" w:sz="6" w:color="CCCCCC"/>
        </w:pBdr>
      </w:pPr>
    </w:p>
    <w:p>
      <w:r>
        <w:br w:type="page"/>
      </w:r>
    </w:p>
    <w:p>
      <w:pPr>
        <w:pStyle w:val="Heading1"/>
      </w:pPr>
      <w:r>
        <w:t>5. How the application is assembled</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Fact</w:t>
            </w:r>
          </w:p>
        </w:tc>
        <w:tc>
          <w:tcPr>
            <w:tcW w:type="dxa" w:w="4896"/>
            <w:shd w:val="clear" w:color="auto" w:fill="EDE7E2"/>
          </w:tcPr>
          <w:p>
            <w:r/>
            <w:r>
              <w:rPr>
                <w:b/>
                <w:color w:val="1A1A1A"/>
                <w:sz w:val="18"/>
              </w:rPr>
              <w:t>Why it matters</w:t>
            </w:r>
          </w:p>
        </w:tc>
      </w:tr>
      <w:tr>
        <w:tc>
          <w:tcPr>
            <w:tcW w:type="dxa" w:w="4896"/>
          </w:tcPr>
          <w:p>
            <w:pPr>
              <w:spacing w:after="20"/>
            </w:pPr>
            <w:r/>
            <w:r>
              <w:rPr>
                <w:b/>
                <w:color w:val="1A1A1A"/>
                <w:sz w:val="18"/>
              </w:rPr>
              <w:t>Modular monolith</w:t>
            </w:r>
            <w:r>
              <w:rPr>
                <w:b w:val="0"/>
                <w:color w:val="1A1A1A"/>
                <w:sz w:val="18"/>
              </w:rPr>
              <w:t xml:space="preserve"> — one deployable app, many internal modules</w:t>
            </w:r>
          </w:p>
        </w:tc>
        <w:tc>
          <w:tcPr>
            <w:tcW w:type="dxa" w:w="4896"/>
          </w:tcPr>
          <w:p>
            <w:pPr>
              <w:spacing w:after="20"/>
            </w:pPr>
            <w:r/>
            <w:r>
              <w:rPr>
                <w:b w:val="0"/>
                <w:color w:val="1A1A1A"/>
                <w:sz w:val="18"/>
              </w:rPr>
              <w:t>cross-module calls go through services, so a module can later be lifted out</w:t>
            </w:r>
          </w:p>
        </w:tc>
      </w:tr>
      <w:tr>
        <w:tc>
          <w:tcPr>
            <w:tcW w:type="dxa" w:w="4896"/>
          </w:tcPr>
          <w:p>
            <w:pPr>
              <w:spacing w:after="20"/>
            </w:pPr>
            <w:r/>
            <w:r>
              <w:rPr>
                <w:b/>
                <w:color w:val="1A1A1A"/>
                <w:sz w:val="18"/>
              </w:rPr>
              <w:t>Every model module is imported</w:t>
            </w:r>
            <w:r>
              <w:rPr>
                <w:b w:val="0"/>
                <w:color w:val="1A1A1A"/>
                <w:sz w:val="18"/>
              </w:rPr>
              <w:t xml:space="preserve"> in </w:t>
            </w:r>
            <w:r>
              <w:rPr>
                <w:rFonts w:ascii="Consolas" w:hAnsi="Consolas"/>
                <w:color w:val="8A3B1E"/>
                <w:sz w:val="18"/>
              </w:rPr>
              <w:t>main.py</w:t>
            </w:r>
          </w:p>
        </w:tc>
        <w:tc>
          <w:tcPr>
            <w:tcW w:type="dxa" w:w="4896"/>
          </w:tcPr>
          <w:p>
            <w:pPr>
              <w:spacing w:after="20"/>
            </w:pPr>
            <w:r/>
            <w:r>
              <w:rPr>
                <w:b w:val="0"/>
                <w:color w:val="1A1A1A"/>
                <w:sz w:val="18"/>
              </w:rPr>
              <w:t xml:space="preserve">a missed import makes Alembic autogenerate try to </w:t>
            </w:r>
            <w:r>
              <w:rPr>
                <w:b/>
                <w:color w:val="1A1A1A"/>
                <w:sz w:val="18"/>
              </w:rPr>
              <w:t>DROP</w:t>
            </w:r>
            <w:r>
              <w:rPr>
                <w:b w:val="0"/>
                <w:color w:val="1A1A1A"/>
                <w:sz w:val="18"/>
              </w:rPr>
              <w:t xml:space="preserve"> that table — the schema-drift trap</w:t>
            </w:r>
          </w:p>
        </w:tc>
      </w:tr>
      <w:tr>
        <w:tc>
          <w:tcPr>
            <w:tcW w:type="dxa" w:w="4896"/>
          </w:tcPr>
          <w:p>
            <w:pPr>
              <w:spacing w:after="20"/>
            </w:pPr>
            <w:r/>
            <w:r>
              <w:rPr>
                <w:b/>
                <w:color w:val="1A1A1A"/>
                <w:sz w:val="18"/>
              </w:rPr>
              <w:t>Every router is registered under `/api/v1`</w:t>
            </w:r>
          </w:p>
        </w:tc>
        <w:tc>
          <w:tcPr>
            <w:tcW w:type="dxa" w:w="4896"/>
          </w:tcPr>
          <w:p>
            <w:pPr>
              <w:spacing w:after="20"/>
            </w:pPr>
            <w:r/>
            <w:r>
              <w:rPr>
                <w:b w:val="0"/>
                <w:color w:val="1A1A1A"/>
                <w:sz w:val="18"/>
              </w:rPr>
              <w:t>except health and root</w:t>
            </w:r>
          </w:p>
        </w:tc>
      </w:tr>
      <w:tr>
        <w:tc>
          <w:tcPr>
            <w:tcW w:type="dxa" w:w="4896"/>
          </w:tcPr>
          <w:p>
            <w:pPr>
              <w:spacing w:after="20"/>
            </w:pPr>
            <w:r/>
            <w:r>
              <w:rPr>
                <w:b/>
                <w:color w:val="1A1A1A"/>
                <w:sz w:val="18"/>
              </w:rPr>
              <w:t>Manager-only routers are wrapped in `block_employees`</w:t>
            </w:r>
          </w:p>
        </w:tc>
        <w:tc>
          <w:tcPr>
            <w:tcW w:type="dxa" w:w="4896"/>
          </w:tcPr>
          <w:p>
            <w:pPr>
              <w:spacing w:after="20"/>
            </w:pPr>
            <w:r/>
            <w:r>
              <w:rPr>
                <w:rFonts w:ascii="Consolas" w:hAnsi="Consolas"/>
                <w:color w:val="8A3B1E"/>
                <w:sz w:val="18"/>
              </w:rPr>
              <w:t>auth</w:t>
            </w:r>
            <w:r>
              <w:rPr>
                <w:b w:val="0"/>
                <w:color w:val="1A1A1A"/>
                <w:sz w:val="18"/>
              </w:rPr>
              <w:t xml:space="preserve">, </w:t>
            </w:r>
            <w:r>
              <w:rPr>
                <w:rFonts w:ascii="Consolas" w:hAnsi="Consolas"/>
                <w:color w:val="8A3B1E"/>
                <w:sz w:val="18"/>
              </w:rPr>
              <w:t>users</w:t>
            </w:r>
            <w:r>
              <w:rPr>
                <w:b w:val="0"/>
                <w:color w:val="1A1A1A"/>
                <w:sz w:val="18"/>
              </w:rPr>
              <w:t xml:space="preserve">, </w:t>
            </w:r>
            <w:r>
              <w:rPr>
                <w:rFonts w:ascii="Consolas" w:hAnsi="Consolas"/>
                <w:color w:val="8A3B1E"/>
                <w:sz w:val="18"/>
              </w:rPr>
              <w:t>attendance</w:t>
            </w:r>
            <w:r>
              <w:rPr>
                <w:b w:val="0"/>
                <w:color w:val="1A1A1A"/>
                <w:sz w:val="18"/>
              </w:rPr>
              <w:t xml:space="preserve"> and </w:t>
            </w:r>
            <w:r>
              <w:rPr>
                <w:rFonts w:ascii="Consolas" w:hAnsi="Consolas"/>
                <w:color w:val="8A3B1E"/>
                <w:sz w:val="18"/>
              </w:rPr>
              <w:t>/barcode/resolve</w:t>
            </w:r>
            <w:r>
              <w:rPr>
                <w:b w:val="0"/>
                <w:color w:val="1A1A1A"/>
                <w:sz w:val="18"/>
              </w:rPr>
              <w:t xml:space="preserve"> stay open at the router level, because the attendance screen must stay reachable</w:t>
            </w:r>
          </w:p>
        </w:tc>
      </w:tr>
      <w:tr>
        <w:tc>
          <w:tcPr>
            <w:tcW w:type="dxa" w:w="4896"/>
          </w:tcPr>
          <w:p>
            <w:pPr>
              <w:spacing w:after="20"/>
            </w:pPr>
            <w:r/>
            <w:r>
              <w:rPr>
                <w:b/>
                <w:color w:val="1A1A1A"/>
                <w:sz w:val="18"/>
              </w:rPr>
              <w:t>There is exactly ONE `lifespan`</w:t>
            </w:r>
          </w:p>
        </w:tc>
        <w:tc>
          <w:tcPr>
            <w:tcW w:type="dxa" w:w="4896"/>
          </w:tcPr>
          <w:p>
            <w:pPr>
              <w:spacing w:after="20"/>
            </w:pPr>
            <w:r/>
            <w:r>
              <w:rPr>
                <w:b w:val="0"/>
                <w:color w:val="1A1A1A"/>
                <w:sz w:val="18"/>
              </w:rPr>
              <w:t>defining a second one silently overrides the first</w:t>
            </w:r>
          </w:p>
        </w:tc>
      </w:tr>
    </w:tbl>
    <w:p>
      <w:pPr>
        <w:spacing w:after="0"/>
      </w:pPr>
    </w:p>
    <w:p>
      <w:pPr>
        <w:pStyle w:val="Heading2"/>
        <w:spacing w:before="280"/>
      </w:pPr>
      <w:r>
        <w:t>Errors have one shape everywhere</w:t>
      </w:r>
    </w:p>
    <w:p>
      <w:pPr>
        <w:spacing w:after="120"/>
      </w:pPr>
      <w:r>
        <w:rPr>
          <w:b w:val="0"/>
          <w:color w:val="1A1A1A"/>
          <w:sz w:val="21"/>
        </w:rPr>
        <w:t xml:space="preserve">Every failure — 400, 403, 404, 409, 410, 422, 500 — carries a </w:t>
      </w:r>
      <w:r>
        <w:rPr>
          <w:rFonts w:ascii="Consolas" w:hAnsi="Consolas"/>
          <w:color w:val="8A3B1E"/>
          <w:sz w:val="21"/>
        </w:rPr>
        <w:t>request_id</w:t>
      </w:r>
      <w:r>
        <w:rPr>
          <w:b w:val="0"/>
          <w:color w:val="1A1A1A"/>
          <w:sz w:val="21"/>
        </w:rPr>
        <w:t>:</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"detail": "…", "request_id": "0f2c7f0e-2b7a-4f1b-9a5a-9f0b3f0c7e11" }</w:t>
            </w:r>
          </w:p>
        </w:tc>
      </w:tr>
    </w:tbl>
    <w:p>
      <w:pPr>
        <w:spacing w:after="0"/>
      </w:pPr>
    </w:p>
    <w:p>
      <w:pPr>
        <w:spacing w:after="120"/>
      </w:pPr>
      <w:r>
        <w:rPr>
          <w:b/>
          <w:color w:val="1A1A1A"/>
          <w:sz w:val="21"/>
        </w:rPr>
        <w:t>Put the `request_id` in the bug report.</w:t>
      </w:r>
      <w:r>
        <w:rPr>
          <w:b w:val="0"/>
          <w:color w:val="1A1A1A"/>
          <w:sz w:val="21"/>
        </w:rPr>
        <w:t xml:space="preserve"> It is what lets the backend find the exact request in the log. A 422 is the exception: its </w:t>
      </w:r>
      <w:r>
        <w:rPr>
          <w:rFonts w:ascii="Consolas" w:hAnsi="Consolas"/>
          <w:color w:val="8A3B1E"/>
          <w:sz w:val="21"/>
        </w:rPr>
        <w:t>detail</w:t>
      </w:r>
      <w:r>
        <w:rPr>
          <w:b w:val="0"/>
          <w:color w:val="1A1A1A"/>
          <w:sz w:val="21"/>
        </w:rPr>
        <w:t xml:space="preserve"> is a </w:t>
      </w:r>
      <w:r>
        <w:rPr>
          <w:b/>
          <w:color w:val="1A1A1A"/>
          <w:sz w:val="21"/>
        </w:rPr>
        <w:t>list</w:t>
      </w:r>
      <w:r>
        <w:rPr>
          <w:b w:val="0"/>
          <w:color w:val="1A1A1A"/>
          <w:sz w:val="21"/>
        </w:rPr>
        <w:t>, one entry per bad field, preserved verbatim so a form can mark the right box.</w:t>
      </w:r>
    </w:p>
    <w:p>
      <w:pPr>
        <w:spacing w:after="120"/>
      </w:pPr>
      <w:r>
        <w:rPr>
          <w:b w:val="0"/>
          <w:color w:val="1A1A1A"/>
          <w:sz w:val="21"/>
        </w:rPr>
        <w:t xml:space="preserve">A </w:t>
      </w:r>
      <w:r>
        <w:rPr>
          <w:rFonts w:ascii="Consolas" w:hAnsi="Consolas"/>
          <w:color w:val="8A3B1E"/>
          <w:sz w:val="21"/>
        </w:rPr>
        <w:t>403</w:t>
      </w:r>
      <w:r>
        <w:rPr>
          <w:b w:val="0"/>
          <w:color w:val="1A1A1A"/>
          <w:sz w:val="21"/>
        </w:rPr>
        <w:t xml:space="preserve"> is logged at WARNING, not ERROR — a 403 is the system working. A burst of them is still how a misconfigured role shows up.</w:t>
      </w:r>
    </w:p>
    <w:p>
      <w:pPr>
        <w:pStyle w:val="Heading2"/>
        <w:spacing w:before="280"/>
      </w:pPr>
      <w:r>
        <w:t>Middleware, in order</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Middleware</w:t>
            </w:r>
          </w:p>
        </w:tc>
        <w:tc>
          <w:tcPr>
            <w:tcW w:type="dxa" w:w="4896"/>
            <w:shd w:val="clear" w:color="auto" w:fill="EDE7E2"/>
          </w:tcPr>
          <w:p>
            <w:r/>
            <w:r>
              <w:rPr>
                <w:b/>
                <w:color w:val="1A1A1A"/>
                <w:sz w:val="18"/>
              </w:rPr>
              <w:t>What it does</w:t>
            </w:r>
          </w:p>
        </w:tc>
      </w:tr>
      <w:tr>
        <w:tc>
          <w:tcPr>
            <w:tcW w:type="dxa" w:w="4896"/>
          </w:tcPr>
          <w:p>
            <w:pPr>
              <w:spacing w:after="20"/>
            </w:pPr>
            <w:r/>
            <w:r>
              <w:rPr>
                <w:b w:val="0"/>
                <w:color w:val="1A1A1A"/>
                <w:sz w:val="18"/>
              </w:rPr>
              <w:t>GZip (min 1000 bytes)</w:t>
            </w:r>
          </w:p>
        </w:tc>
        <w:tc>
          <w:tcPr>
            <w:tcW w:type="dxa" w:w="4896"/>
          </w:tcPr>
          <w:p>
            <w:pPr>
              <w:spacing w:after="20"/>
            </w:pPr>
            <w:r/>
            <w:r>
              <w:rPr>
                <w:b w:val="0"/>
                <w:color w:val="1A1A1A"/>
                <w:sz w:val="18"/>
              </w:rPr>
              <w:t>dashboards and analytics send large JSON to tablets on factory wifi; gzip typically removes 70–90%</w:t>
            </w:r>
          </w:p>
        </w:tc>
      </w:tr>
      <w:tr>
        <w:tc>
          <w:tcPr>
            <w:tcW w:type="dxa" w:w="4896"/>
          </w:tcPr>
          <w:p>
            <w:pPr>
              <w:spacing w:after="20"/>
            </w:pPr>
            <w:r/>
            <w:r>
              <w:rPr>
                <w:b w:val="0"/>
                <w:color w:val="1A1A1A"/>
                <w:sz w:val="18"/>
              </w:rPr>
              <w:t>TrustedHost</w:t>
            </w:r>
          </w:p>
        </w:tc>
        <w:tc>
          <w:tcPr>
            <w:tcW w:type="dxa" w:w="4896"/>
          </w:tcPr>
          <w:p>
            <w:pPr>
              <w:spacing w:after="20"/>
            </w:pPr>
            <w:r/>
            <w:r>
              <w:rPr>
                <w:b w:val="0"/>
                <w:color w:val="1A1A1A"/>
                <w:sz w:val="18"/>
              </w:rPr>
              <w:t xml:space="preserve">which </w:t>
            </w:r>
            <w:r>
              <w:rPr>
                <w:rFonts w:ascii="Consolas" w:hAnsi="Consolas"/>
                <w:color w:val="8A3B1E"/>
                <w:sz w:val="18"/>
              </w:rPr>
              <w:t>Host</w:t>
            </w:r>
            <w:r>
              <w:rPr>
                <w:b w:val="0"/>
                <w:color w:val="1A1A1A"/>
                <w:sz w:val="18"/>
              </w:rPr>
              <w:t xml:space="preserve"> headers the app answers to. Set </w:t>
            </w:r>
            <w:r>
              <w:rPr>
                <w:rFonts w:ascii="Consolas" w:hAnsi="Consolas"/>
                <w:color w:val="8A3B1E"/>
                <w:sz w:val="18"/>
              </w:rPr>
              <w:t>TRUSTED_HOSTS</w:t>
            </w:r>
            <w:r>
              <w:rPr>
                <w:b w:val="0"/>
                <w:color w:val="1A1A1A"/>
                <w:sz w:val="18"/>
              </w:rPr>
              <w:t xml:space="preserve"> in production — an app that answers any Host and reflects it into a link is how cache poisoning happens</w:t>
            </w:r>
          </w:p>
        </w:tc>
      </w:tr>
      <w:tr>
        <w:tc>
          <w:tcPr>
            <w:tcW w:type="dxa" w:w="4896"/>
          </w:tcPr>
          <w:p>
            <w:pPr>
              <w:spacing w:after="20"/>
            </w:pPr>
            <w:r/>
            <w:r>
              <w:rPr>
                <w:b w:val="0"/>
                <w:color w:val="1A1A1A"/>
                <w:sz w:val="18"/>
              </w:rPr>
              <w:t>CORS</w:t>
            </w:r>
          </w:p>
        </w:tc>
        <w:tc>
          <w:tcPr>
            <w:tcW w:type="dxa" w:w="4896"/>
          </w:tcPr>
          <w:p>
            <w:pPr>
              <w:spacing w:after="20"/>
            </w:pPr>
            <w:r/>
            <w:r>
              <w:rPr>
                <w:b w:val="0"/>
                <w:color w:val="1A1A1A"/>
                <w:sz w:val="18"/>
              </w:rPr>
              <w:t xml:space="preserve">origins come from </w:t>
            </w:r>
            <w:r>
              <w:rPr>
                <w:rFonts w:ascii="Consolas" w:hAnsi="Consolas"/>
                <w:color w:val="8A3B1E"/>
                <w:sz w:val="18"/>
              </w:rPr>
              <w:t>CORS_ORIGINS</w:t>
            </w:r>
            <w:r>
              <w:rPr>
                <w:b w:val="0"/>
                <w:color w:val="1A1A1A"/>
                <w:sz w:val="18"/>
              </w:rPr>
              <w:t xml:space="preserve">, not from the code, so adding a frontend domain is not a redeploy. Paired with </w:t>
            </w:r>
            <w:r>
              <w:rPr>
                <w:rFonts w:ascii="Consolas" w:hAnsi="Consolas"/>
                <w:color w:val="8A3B1E"/>
                <w:sz w:val="18"/>
              </w:rPr>
              <w:t>allow_credentials</w:t>
            </w:r>
            <w:r>
              <w:rPr>
                <w:b w:val="0"/>
                <w:color w:val="1A1A1A"/>
                <w:sz w:val="18"/>
              </w:rPr>
              <w:t xml:space="preserve"> and an </w:t>
            </w:r>
            <w:r>
              <w:rPr>
                <w:b/>
                <w:color w:val="1A1A1A"/>
                <w:sz w:val="18"/>
              </w:rPr>
              <w:t>explicit</w:t>
            </w:r>
            <w:r>
              <w:rPr>
                <w:b w:val="0"/>
                <w:color w:val="1A1A1A"/>
                <w:sz w:val="18"/>
              </w:rPr>
              <w:t xml:space="preserve"> origin list — never </w:t>
            </w:r>
            <w:r>
              <w:rPr>
                <w:rFonts w:ascii="Consolas" w:hAnsi="Consolas"/>
                <w:color w:val="8A3B1E"/>
                <w:sz w:val="18"/>
              </w:rPr>
              <w:t>*</w:t>
            </w:r>
          </w:p>
        </w:tc>
      </w:tr>
    </w:tbl>
    <w:p>
      <w:pPr>
        <w:spacing w:after="0"/>
      </w:pPr>
    </w:p>
    <w:p>
      <w:pPr>
        <w:pStyle w:val="Heading2"/>
        <w:spacing w:before="280"/>
      </w:pPr>
      <w:r>
        <w:t>Background sweepers</w:t>
      </w:r>
    </w:p>
    <w:p>
      <w:pPr>
        <w:spacing w:after="120"/>
      </w:pPr>
      <w:r>
        <w:rPr>
          <w:b w:val="0"/>
          <w:color w:val="1A1A1A"/>
          <w:sz w:val="21"/>
        </w:rPr>
        <w:t>Two run in the API process: BOM notification escalation and supplier-PO escalation.</w:t>
      </w:r>
    </w:p>
    <w:p>
      <w:pPr>
        <w:spacing w:after="120"/>
      </w:pPr>
      <w:r>
        <w:rPr>
          <w:b w:val="0"/>
          <w:color w:val="1A1A1A"/>
          <w:sz w:val="21"/>
        </w:rPr>
        <w:t xml:space="preserve">They are wrapped in a </w:t>
      </w:r>
      <w:r>
        <w:rPr>
          <w:b/>
          <w:color w:val="1A1A1A"/>
          <w:sz w:val="21"/>
        </w:rPr>
        <w:t>Redis single-flight lock</w:t>
      </w:r>
      <w:r>
        <w:rPr>
          <w:b w:val="0"/>
          <w:color w:val="1A1A1A"/>
          <w:sz w:val="21"/>
        </w:rPr>
        <w:t xml:space="preserve">, so exactly one process in the whole fleet does the work each cycle. Without it, </w:t>
      </w:r>
      <w:r>
        <w:rPr>
          <w:rFonts w:ascii="Consolas" w:hAnsi="Consolas"/>
          <w:color w:val="8A3B1E"/>
          <w:sz w:val="21"/>
        </w:rPr>
        <w:t>workers × replicas</w:t>
      </w:r>
      <w:r>
        <w:rPr>
          <w:b w:val="0"/>
          <w:color w:val="1A1A1A"/>
          <w:sz w:val="21"/>
        </w:rPr>
        <w:t xml:space="preserve"> copies of every escalation </w:t>
      </w:r>
      <w:r>
        <w:rPr>
          <w:b/>
          <w:color w:val="1A1A1A"/>
          <w:sz w:val="21"/>
        </w:rPr>
        <w:t>email</w:t>
      </w:r>
      <w:r>
        <w:rPr>
          <w:b w:val="0"/>
          <w:color w:val="1A1A1A"/>
          <w:sz w:val="21"/>
        </w:rPr>
        <w:t xml:space="preserve"> go out per cycle — at </w:t>
      </w:r>
      <w:r>
        <w:rPr>
          <w:rFonts w:ascii="Consolas" w:hAnsi="Consolas"/>
          <w:color w:val="8A3B1E"/>
          <w:sz w:val="21"/>
        </w:rPr>
        <w:t>WEB_CONCURRENCY=4</w:t>
      </w:r>
      <w:r>
        <w:rPr>
          <w:b w:val="0"/>
          <w:color w:val="1A1A1A"/>
          <w:sz w:val="21"/>
        </w:rPr>
        <w:t xml:space="preserve"> that is four copies from one box, and 4×N behind a load balancer.</w:t>
      </w:r>
    </w:p>
    <w:p>
      <w:pPr>
        <w:spacing w:after="120"/>
      </w:pPr>
      <w:r>
        <w:rPr>
          <w:b w:val="0"/>
          <w:color w:val="1A1A1A"/>
          <w:sz w:val="21"/>
        </w:rPr>
        <w:t>Both can be switched off with their settings flags.</w:t>
      </w:r>
    </w:p>
    <w:p>
      <w:pPr>
        <w:spacing w:after="40"/>
        <w:pBdr>
          <w:bottom w:val="single" w:sz="6" w:color="CCCCCC"/>
        </w:pBdr>
      </w:pPr>
    </w:p>
    <w:p>
      <w:r>
        <w:br w:type="page"/>
      </w:r>
    </w:p>
    <w:p>
      <w:pPr>
        <w:pStyle w:val="Heading1"/>
      </w:pPr>
      <w:r>
        <w:t>6. Notes for backend developers</w:t>
      </w:r>
    </w:p>
    <w:p>
      <w:pPr>
        <w:pStyle w:val="ListBullet"/>
        <w:spacing w:after="40"/>
      </w:pPr>
      <w:r>
        <w:rPr>
          <w:b/>
          <w:color w:val="1A1A1A"/>
          <w:sz w:val="21"/>
        </w:rPr>
        <w:t>Tables are not created automatically.</w:t>
      </w:r>
      <w:r>
        <w:rPr>
          <w:b w:val="0"/>
          <w:color w:val="1A1A1A"/>
          <w:sz w:val="21"/>
        </w:rPr>
        <w:t xml:space="preserve"> </w:t>
      </w:r>
      <w:r>
        <w:rPr>
          <w:rFonts w:ascii="Consolas" w:hAnsi="Consolas"/>
          <w:color w:val="8A3B1E"/>
          <w:sz w:val="21"/>
        </w:rPr>
        <w:t>create_all</w:t>
      </w:r>
      <w:r>
        <w:rPr>
          <w:b w:val="0"/>
          <w:color w:val="1A1A1A"/>
          <w:sz w:val="21"/>
        </w:rPr>
        <w:t xml:space="preserve"> is deliberately commented out. On a new database run </w:t>
      </w:r>
      <w:r>
        <w:rPr>
          <w:rFonts w:ascii="Consolas" w:hAnsi="Consolas"/>
          <w:color w:val="8A3B1E"/>
          <w:sz w:val="21"/>
        </w:rPr>
        <w:t>alembic upgrade head</w:t>
      </w:r>
      <w:r>
        <w:rPr>
          <w:b w:val="0"/>
          <w:color w:val="1A1A1A"/>
          <w:sz w:val="21"/>
        </w:rPr>
        <w:t xml:space="preserve"> </w:t>
      </w:r>
      <w:r>
        <w:rPr>
          <w:b/>
          <w:color w:val="1A1A1A"/>
          <w:sz w:val="21"/>
        </w:rPr>
        <w:t>before</w:t>
      </w:r>
      <w:r>
        <w:rPr>
          <w:b w:val="0"/>
          <w:color w:val="1A1A1A"/>
          <w:sz w:val="21"/>
        </w:rPr>
        <w:t xml:space="preserve"> the first app start.</w:t>
      </w:r>
    </w:p>
    <w:p>
      <w:pPr>
        <w:pStyle w:val="ListBullet"/>
        <w:spacing w:after="40"/>
      </w:pPr>
      <w:r>
        <w:rPr>
          <w:b/>
          <w:color w:val="1A1A1A"/>
          <w:sz w:val="21"/>
        </w:rPr>
        <w:t>`config_store` warms inside `lifespan`, not at import time.</w:t>
      </w:r>
      <w:r>
        <w:rPr>
          <w:b w:val="0"/>
          <w:color w:val="1A1A1A"/>
          <w:sz w:val="21"/>
        </w:rPr>
        <w:t xml:space="preserve"> Importing </w:t>
      </w:r>
      <w:r>
        <w:rPr>
          <w:rFonts w:ascii="Consolas" w:hAnsi="Consolas"/>
          <w:color w:val="8A3B1E"/>
          <w:sz w:val="21"/>
        </w:rPr>
        <w:t>app.main</w:t>
      </w:r>
      <w:r>
        <w:rPr>
          <w:b w:val="0"/>
          <w:color w:val="1A1A1A"/>
          <w:sz w:val="21"/>
        </w:rPr>
        <w:t xml:space="preserve"> must not require a live database — tooling (OpenAPI export, test collection, linters) only imports the module. A warm-up failure is logged and non-fatal.</w:t>
      </w:r>
    </w:p>
    <w:p>
      <w:pPr>
        <w:pStyle w:val="ListBullet"/>
        <w:spacing w:after="40"/>
      </w:pPr>
      <w:r>
        <w:rPr>
          <w:b/>
          <w:color w:val="1A1A1A"/>
          <w:sz w:val="21"/>
        </w:rPr>
        <w:t>Known traps, already fixed — do not reintroduce:</w:t>
      </w:r>
      <w:r>
        <w:rPr>
          <w:b w:val="0"/>
          <w:color w:val="1A1A1A"/>
          <w:sz w:val="21"/>
        </w:rPr>
        <w:t xml:space="preserve"> importing </w:t>
      </w:r>
      <w:r>
        <w:rPr>
          <w:rFonts w:ascii="Consolas" w:hAnsi="Consolas"/>
          <w:color w:val="8A3B1E"/>
          <w:sz w:val="21"/>
        </w:rPr>
        <w:t>api</w:t>
      </w:r>
      <w:r>
        <w:rPr>
          <w:b w:val="0"/>
          <w:color w:val="1A1A1A"/>
          <w:sz w:val="21"/>
        </w:rPr>
        <w:t xml:space="preserve"> from </w:t>
      </w:r>
      <w:r>
        <w:rPr>
          <w:rFonts w:ascii="Consolas" w:hAnsi="Consolas"/>
          <w:color w:val="8A3B1E"/>
          <w:sz w:val="21"/>
        </w:rPr>
        <w:t>sqlalchemy.event</w:t>
      </w:r>
      <w:r>
        <w:rPr>
          <w:b w:val="0"/>
          <w:color w:val="1A1A1A"/>
          <w:sz w:val="21"/>
        </w:rPr>
        <w:t xml:space="preserve"> (it is a SQLAlchemy internal, not the app — use </w:t>
      </w:r>
      <w:r>
        <w:rPr>
          <w:rFonts w:ascii="Consolas" w:hAnsi="Consolas"/>
          <w:color w:val="8A3B1E"/>
          <w:sz w:val="21"/>
        </w:rPr>
        <w:t>app.include_router</w:t>
      </w:r>
      <w:r>
        <w:rPr>
          <w:b w:val="0"/>
          <w:color w:val="1A1A1A"/>
          <w:sz w:val="21"/>
        </w:rPr>
        <w:t xml:space="preserve">); defining </w:t>
      </w:r>
      <w:r>
        <w:rPr>
          <w:rFonts w:ascii="Consolas" w:hAnsi="Consolas"/>
          <w:color w:val="8A3B1E"/>
          <w:sz w:val="21"/>
        </w:rPr>
        <w:t>lifespan</w:t>
      </w:r>
      <w:r>
        <w:rPr>
          <w:b w:val="0"/>
          <w:color w:val="1A1A1A"/>
          <w:sz w:val="21"/>
        </w:rPr>
        <w:t xml:space="preserve"> twice; importing </w:t>
      </w:r>
      <w:r>
        <w:rPr>
          <w:rFonts w:ascii="Consolas" w:hAnsi="Consolas"/>
          <w:color w:val="8A3B1E"/>
          <w:sz w:val="21"/>
        </w:rPr>
        <w:t>block_employees</w:t>
      </w:r>
      <w:r>
        <w:rPr>
          <w:b w:val="0"/>
          <w:color w:val="1A1A1A"/>
          <w:sz w:val="21"/>
        </w:rPr>
        <w:t xml:space="preserve"> before it exists in </w:t>
      </w:r>
      <w:r>
        <w:rPr>
          <w:rFonts w:ascii="Consolas" w:hAnsi="Consolas"/>
          <w:color w:val="8A3B1E"/>
          <w:sz w:val="21"/>
        </w:rPr>
        <w:t>users/deps.py</w:t>
      </w:r>
      <w:r>
        <w:rPr>
          <w:b w:val="0"/>
          <w:color w:val="1A1A1A"/>
          <w:sz w:val="21"/>
        </w:rPr>
        <w:t>.</w:t>
      </w:r>
    </w:p>
    <w:p>
      <w:pPr>
        <w:pStyle w:val="ListBullet"/>
        <w:spacing w:after="40"/>
      </w:pPr>
      <w:r>
        <w:rPr>
          <w:b/>
          <w:color w:val="1A1A1A"/>
          <w:sz w:val="21"/>
        </w:rPr>
        <w:t>Ids come from the app (`uuid4`), not from the database.</w:t>
      </w:r>
      <w:r>
        <w:rPr>
          <w:b w:val="0"/>
          <w:color w:val="1A1A1A"/>
          <w:sz w:val="21"/>
        </w:rPr>
        <w:t xml:space="preserve"> No </w:t>
      </w:r>
      <w:r>
        <w:rPr>
          <w:rFonts w:ascii="Consolas" w:hAnsi="Consolas"/>
          <w:color w:val="8A3B1E"/>
          <w:sz w:val="21"/>
        </w:rPr>
        <w:t>gen_random_uuid()</w:t>
      </w:r>
      <w:r>
        <w:rPr>
          <w:b w:val="0"/>
          <w:color w:val="1A1A1A"/>
          <w:sz w:val="21"/>
        </w:rPr>
        <w:t xml:space="preserve">, no </w:t>
      </w:r>
      <w:r>
        <w:rPr>
          <w:rFonts w:ascii="Consolas" w:hAnsi="Consolas"/>
          <w:color w:val="8A3B1E"/>
          <w:sz w:val="21"/>
        </w:rPr>
        <w:t>JSONB</w:t>
      </w:r>
      <w:r>
        <w:rPr>
          <w:b w:val="0"/>
          <w:color w:val="1A1A1A"/>
          <w:sz w:val="21"/>
        </w:rPr>
        <w:t xml:space="preserve"> operators, no </w:t>
      </w:r>
      <w:r>
        <w:rPr>
          <w:rFonts w:ascii="Consolas" w:hAnsi="Consolas"/>
          <w:color w:val="8A3B1E"/>
          <w:sz w:val="21"/>
        </w:rPr>
        <w:t>ON CONFLICT</w:t>
      </w:r>
      <w:r>
        <w:rPr>
          <w:b w:val="0"/>
          <w:color w:val="1A1A1A"/>
          <w:sz w:val="21"/>
        </w:rPr>
        <w:t xml:space="preserve"> — the schema stays portable.</w:t>
      </w:r>
    </w:p>
    <w:p>
      <w:r>
        <w:br w:type="page"/>
      </w:r>
    </w:p>
    <w:p>
      <w:pPr>
        <w:pStyle w:val="Heading1"/>
      </w:pPr>
      <w:r>
        <w:t>Appendix — every endpoint in this service</w:t>
      </w:r>
    </w:p>
    <w:p>
      <w:pPr>
        <w:spacing w:after="120"/>
      </w:pPr>
      <w:r>
        <w:rPr>
          <w:b w:val="0"/>
          <w:color w:val="1A1A1A"/>
          <w:sz w:val="21"/>
        </w:rPr>
        <w:t>Generated from the running app on 2026-09-29. Full request and response bodies are in the API Reference document.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936"/>
            <w:shd w:val="clear" w:color="auto" w:fill="EDE7E2"/>
          </w:tcPr>
          <w:p>
            <w:r/>
            <w:r>
              <w:rPr>
                <w:b/>
                <w:color w:val="1A1A1A"/>
                <w:sz w:val="17"/>
              </w:rPr>
              <w:t>Method</w:t>
            </w:r>
          </w:p>
        </w:tc>
        <w:tc>
          <w:tcPr>
            <w:tcW w:type="dxa" w:w="3096"/>
            <w:shd w:val="clear" w:color="auto" w:fill="EDE7E2"/>
          </w:tcPr>
          <w:p>
            <w:r/>
            <w:r>
              <w:rPr>
                <w:b/>
                <w:color w:val="1A1A1A"/>
                <w:sz w:val="17"/>
              </w:rPr>
              <w:t>Path</w:t>
            </w:r>
          </w:p>
        </w:tc>
        <w:tc>
          <w:tcPr>
            <w:tcW w:type="dxa" w:w="3600"/>
            <w:shd w:val="clear" w:color="auto" w:fill="EDE7E2"/>
          </w:tcPr>
          <w:p>
            <w:r/>
            <w:r>
              <w:rPr>
                <w:b/>
                <w:color w:val="1A1A1A"/>
                <w:sz w:val="17"/>
              </w:rPr>
              <w:t>What it does</w:t>
            </w:r>
          </w:p>
        </w:tc>
        <w:tc>
          <w:tcPr>
            <w:tcW w:type="dxa" w:w="2592"/>
            <w:shd w:val="clear" w:color="auto" w:fill="EDE7E2"/>
          </w:tcPr>
          <w:p>
            <w:r/>
            <w:r>
              <w:rPr>
                <w:b/>
                <w:color w:val="1A1A1A"/>
                <w:sz w:val="17"/>
              </w:rPr>
              <w:t>Who can call it</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/health</w:t>
            </w:r>
          </w:p>
        </w:tc>
        <w:tc>
          <w:tcPr>
            <w:tcW w:type="dxa" w:w="3600"/>
          </w:tcPr>
          <w:p>
            <w:pPr>
              <w:spacing w:after="20"/>
            </w:pPr>
            <w:r/>
            <w:r>
              <w:rPr>
                <w:b w:val="0"/>
                <w:color w:val="1A1A1A"/>
                <w:sz w:val="17"/>
              </w:rPr>
              <w:t>Liveness: the process is up.</w:t>
            </w:r>
          </w:p>
        </w:tc>
        <w:tc>
          <w:tcPr>
            <w:tcW w:type="dxa" w:w="2592"/>
          </w:tcPr>
          <w:p>
            <w:pPr>
              <w:spacing w:after="20"/>
            </w:pPr>
            <w:r/>
            <w:r>
              <w:rPr>
                <w:b w:val="0"/>
                <w:color w:val="1A1A1A"/>
                <w:sz w:val="17"/>
              </w:rPr>
              <w:t>open</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/ready</w:t>
            </w:r>
          </w:p>
        </w:tc>
        <w:tc>
          <w:tcPr>
            <w:tcW w:type="dxa" w:w="3600"/>
          </w:tcPr>
          <w:p>
            <w:pPr>
              <w:spacing w:after="20"/>
            </w:pPr>
            <w:r/>
            <w:r>
              <w:rPr>
                <w:b w:val="0"/>
                <w:color w:val="1A1A1A"/>
                <w:sz w:val="17"/>
              </w:rPr>
              <w:t>Readiness (F136): can this replica actually serve traffic? Executes a trivial query so a…</w:t>
            </w:r>
          </w:p>
        </w:tc>
        <w:tc>
          <w:tcPr>
            <w:tcW w:type="dxa" w:w="2592"/>
          </w:tcPr>
          <w:p>
            <w:pPr>
              <w:spacing w:after="20"/>
            </w:pPr>
            <w:r/>
            <w:r>
              <w:rPr>
                <w:b w:val="0"/>
                <w:color w:val="1A1A1A"/>
                <w:sz w:val="17"/>
              </w:rPr>
              <w:t>open</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w:t>
            </w:r>
          </w:p>
        </w:tc>
        <w:tc>
          <w:tcPr>
            <w:tcW w:type="dxa" w:w="3600"/>
          </w:tcPr>
          <w:p>
            <w:pPr>
              <w:spacing w:after="20"/>
            </w:pPr>
            <w:r/>
            <w:r>
              <w:rPr>
                <w:b w:val="0"/>
                <w:color w:val="1A1A1A"/>
                <w:sz w:val="17"/>
              </w:rPr>
              <w:t>Root</w:t>
            </w:r>
          </w:p>
        </w:tc>
        <w:tc>
          <w:tcPr>
            <w:tcW w:type="dxa" w:w="2592"/>
          </w:tcPr>
          <w:p>
            <w:pPr>
              <w:spacing w:after="20"/>
            </w:pPr>
            <w:r/>
            <w:r>
              <w:rPr>
                <w:b w:val="0"/>
                <w:color w:val="1A1A1A"/>
                <w:sz w:val="17"/>
              </w:rPr>
              <w:t>open</w:t>
            </w:r>
          </w:p>
        </w:tc>
      </w:tr>
    </w:tbl>
    <w:p>
      <w:pPr>
        <w:spacing w:after="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KairoX ERP · System &amp; Health · System Guide · updated 2026-09-29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3B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