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006D3">
      <w:pPr>
        <w:spacing w:before="960"/>
        <w:jc w:val="center"/>
        <w:rPr>
          <w:b/>
        </w:rPr>
      </w:pPr>
      <w:r>
        <w:rPr>
          <w:rFonts w:ascii="Tahoma" w:hAnsi="Tahoma" w:eastAsia="Tahoma" w:cs="Tahoma"/>
          <w:b/>
          <w:sz w:val="44"/>
        </w:rPr>
        <w:t>WATTSNAP AI</w:t>
      </w:r>
    </w:p>
    <w:p w14:paraId="3862A6F1">
      <w:pPr>
        <w:jc w:val="center"/>
        <w:rPr>
          <w:b/>
        </w:rPr>
      </w:pPr>
      <w:r>
        <w:rPr>
          <w:rFonts w:ascii="Tahoma" w:hAnsi="Tahoma" w:eastAsia="Tahoma" w:cs="Tahoma"/>
          <w:b/>
          <w:sz w:val="26"/>
        </w:rPr>
        <w:t>An AI-Assisted Electricity Consumption and Provider Advisory Assistant for Households</w:t>
      </w:r>
    </w:p>
    <w:p w14:paraId="3BAB40AB">
      <w:pPr>
        <w:spacing w:before="360"/>
        <w:jc w:val="center"/>
        <w:rPr>
          <w:b/>
        </w:rPr>
      </w:pPr>
      <w:r>
        <w:rPr>
          <w:rFonts w:ascii="Tahoma" w:hAnsi="Tahoma" w:eastAsia="Tahoma" w:cs="Tahoma"/>
          <w:b/>
          <w:sz w:val="28"/>
        </w:rPr>
        <w:t>HACKATHON PROJECT PROPOSAL</w:t>
      </w:r>
    </w:p>
    <w:p w14:paraId="33DCC726">
      <w:pPr>
        <w:spacing w:before="560"/>
        <w:jc w:val="center"/>
        <w:rPr>
          <w:b/>
        </w:rPr>
      </w:pPr>
      <w:r>
        <w:rPr>
          <w:rFonts w:ascii="Tahoma" w:hAnsi="Tahoma" w:eastAsia="Tahoma" w:cs="Tahoma"/>
          <w:b/>
          <w:sz w:val="20"/>
        </w:rPr>
        <w:t>Team: 3AM Engineers</w:t>
      </w:r>
    </w:p>
    <w:p w14:paraId="37D0CD47">
      <w:pPr>
        <w:spacing w:after="40"/>
        <w:jc w:val="center"/>
        <w:rPr>
          <w:b/>
        </w:rPr>
      </w:pPr>
      <w:r>
        <w:rPr>
          <w:rFonts w:ascii="Tahoma" w:hAnsi="Tahoma" w:eastAsia="Tahoma" w:cs="Tahoma"/>
          <w:b/>
          <w:sz w:val="20"/>
        </w:rPr>
        <w:t>Marl Ellie Alfonga</w:t>
      </w:r>
    </w:p>
    <w:p w14:paraId="605FF9C7">
      <w:pPr>
        <w:spacing w:after="40"/>
        <w:jc w:val="center"/>
        <w:rPr>
          <w:b/>
        </w:rPr>
      </w:pPr>
      <w:r>
        <w:rPr>
          <w:rFonts w:ascii="Tahoma" w:hAnsi="Tahoma" w:eastAsia="Tahoma" w:cs="Tahoma"/>
          <w:b/>
          <w:sz w:val="20"/>
        </w:rPr>
        <w:t>Renze Bandiola</w:t>
      </w:r>
    </w:p>
    <w:p w14:paraId="5CFE3117">
      <w:pPr>
        <w:spacing w:after="40"/>
        <w:jc w:val="center"/>
        <w:rPr>
          <w:b/>
        </w:rPr>
      </w:pPr>
      <w:r>
        <w:rPr>
          <w:rFonts w:ascii="Tahoma" w:hAnsi="Tahoma" w:eastAsia="Tahoma" w:cs="Tahoma"/>
          <w:b/>
          <w:sz w:val="20"/>
        </w:rPr>
        <w:t>Jose Ramson Bayog</w:t>
      </w:r>
    </w:p>
    <w:p w14:paraId="1EAE2B7B">
      <w:pPr>
        <w:spacing w:after="40"/>
        <w:jc w:val="center"/>
        <w:rPr>
          <w:b/>
        </w:rPr>
      </w:pPr>
      <w:r>
        <w:rPr>
          <w:rFonts w:ascii="Tahoma" w:hAnsi="Tahoma" w:eastAsia="Tahoma" w:cs="Tahoma"/>
          <w:b/>
          <w:sz w:val="20"/>
        </w:rPr>
        <w:t>Noyche Von Palma</w:t>
      </w:r>
    </w:p>
    <w:p w14:paraId="1AC6C548">
      <w:pPr>
        <w:spacing w:after="40"/>
        <w:jc w:val="center"/>
        <w:rPr>
          <w:b/>
        </w:rPr>
      </w:pPr>
      <w:r>
        <w:rPr>
          <w:rFonts w:ascii="Tahoma" w:hAnsi="Tahoma" w:eastAsia="Tahoma" w:cs="Tahoma"/>
          <w:b/>
          <w:sz w:val="20"/>
        </w:rPr>
        <w:t>Khing Jay Regala</w:t>
      </w:r>
    </w:p>
    <w:p w14:paraId="568B2C74">
      <w:pPr>
        <w:spacing w:before="480"/>
        <w:jc w:val="center"/>
        <w:rPr>
          <w:b/>
        </w:rPr>
      </w:pPr>
      <w:r>
        <w:rPr>
          <w:rFonts w:ascii="Tahoma" w:hAnsi="Tahoma" w:eastAsia="Tahoma" w:cs="Tahoma"/>
          <w:b/>
          <w:i/>
          <w:sz w:val="22"/>
        </w:rPr>
        <w:t>Google Gemini API • Progressive Web Application • Location-Aware Provider Selection</w:t>
      </w:r>
    </w:p>
    <w:p w14:paraId="34353B0E">
      <w:pPr>
        <w:rPr>
          <w:b/>
        </w:rPr>
      </w:pPr>
      <w:r>
        <w:rPr>
          <w:rFonts w:ascii="Tahoma" w:hAnsi="Tahoma" w:eastAsia="Tahoma" w:cs="Tahoma"/>
          <w:b/>
        </w:rPr>
        <w:br w:type="page"/>
      </w:r>
    </w:p>
    <w:p w14:paraId="7927448D">
      <w:pPr>
        <w:pStyle w:val="165"/>
      </w:pPr>
      <w:r>
        <w:rPr>
          <w:rFonts w:ascii="Tahoma" w:hAnsi="Tahoma" w:eastAsia="Tahoma" w:cs="Tahoma"/>
        </w:rPr>
        <w:t>I. BRIEF DESCRIPTION</w:t>
      </w:r>
    </w:p>
    <w:p w14:paraId="727DC576">
      <w:pPr>
        <w:ind w:firstLine="504"/>
        <w:jc w:val="both"/>
        <w:rPr>
          <w:bCs/>
        </w:rPr>
      </w:pPr>
      <w:r>
        <w:rPr>
          <w:rFonts w:ascii="Tahoma" w:hAnsi="Tahoma" w:eastAsia="Tahoma" w:cs="Tahoma"/>
          <w:sz w:val="20"/>
        </w:rPr>
        <w:t>WattSnap AI is an offline-first, AI-assisted Progressive Web Application designed for household electricity consumers. The application helps users organize electricity bills, understand monthly electricity consumption, estimate the likely contribution of registered appliances, receive personalized Tipid Tips, simulate possible energy-saving decisions, set a household energy budget, and interpret electricity-provider advisories in a simpler and more household-relevant way. When an official interruption advisory appears relevant to the household, the application can also activate a Brownout Ready Mode that summarizes the schedule and provides practical preparation reminders. Instead of being limited to one electricity provider, WattSnap AI allows the user to select a provider and can use the user’s permitted real-time location to suggest likely electricity providers serving the area.</w:t>
      </w:r>
    </w:p>
    <w:p w14:paraId="5E0D43F7">
      <w:pPr>
        <w:ind w:firstLine="504"/>
        <w:jc w:val="both"/>
        <w:rPr>
          <w:bCs/>
        </w:rPr>
      </w:pPr>
      <w:r>
        <w:rPr>
          <w:rFonts w:ascii="Tahoma" w:hAnsi="Tahoma" w:eastAsia="Tahoma" w:cs="Tahoma"/>
          <w:bCs/>
          <w:sz w:val="20"/>
        </w:rPr>
        <w:t>The system uses the Google Gemini API for multimodal tasks that require image and language understanding, particularly reading electricity bill images, reading appliance specification or nameplate labels, interpreting provider advisory screenshots or pasted advisory text, extracting structured information, simplifying announcements, and generating personalized explanations and energy-saving recommendations. Basic calculations, comparisons, graphs, location-based provider selection logic, and local record management are handled by the application itself.</w:t>
      </w:r>
    </w:p>
    <w:p w14:paraId="3DF53D90">
      <w:pPr>
        <w:pStyle w:val="165"/>
      </w:pPr>
      <w:r>
        <w:rPr>
          <w:rFonts w:ascii="Tahoma" w:hAnsi="Tahoma" w:eastAsia="Tahoma" w:cs="Tahoma"/>
        </w:rPr>
        <w:t>II. PROBLEM STATEMENT</w:t>
      </w:r>
    </w:p>
    <w:p w14:paraId="04478732">
      <w:pPr>
        <w:ind w:firstLine="504"/>
        <w:jc w:val="both"/>
        <w:rPr>
          <w:bCs/>
        </w:rPr>
      </w:pPr>
      <w:r>
        <w:rPr>
          <w:rFonts w:ascii="Tahoma" w:hAnsi="Tahoma" w:eastAsia="Tahoma" w:cs="Tahoma"/>
          <w:sz w:val="20"/>
        </w:rPr>
        <w:t>Household electricity consumers often receive only the final amount due and total kilowatt-hour (kWh) consumption on their monthly bill. These figures do not directly explain which appliances may be contributing most to electricity use, whether a recent increase is normal, or what practical changes could reduce future consumption. Consumers who want to estimate appliance use must usually locate the wattage on a sticker, specification label, manual, or online source and manually calculate consumption using wattage, operating hours, number of units, and days of use. Households may also find it difficult to organize previous bills, compare month-to-month consumption, and determine whether they are likely to exceed a preferred electricity-use or spending target.</w:t>
      </w:r>
    </w:p>
    <w:p w14:paraId="471A4063">
      <w:pPr>
        <w:ind w:firstLine="504"/>
        <w:jc w:val="both"/>
        <w:rPr>
          <w:bCs/>
        </w:rPr>
      </w:pPr>
      <w:r>
        <w:rPr>
          <w:rFonts w:ascii="Tahoma" w:hAnsi="Tahoma" w:eastAsia="Tahoma" w:cs="Tahoma"/>
          <w:sz w:val="20"/>
        </w:rPr>
        <w:t>Power interruptions add another information problem. Electric cooperatives and distribution utilities publish scheduled interruption, emergency interruption, manual load dropping, maintenance, and restoration advisories, but households must still read the announcement, identify the affected places, understand the schedule and reason, and decide whether their own location is included. This is especially relevant in Antique and across Panay, where power interruptions have affected households, schools, businesses, and communications.</w:t>
      </w:r>
    </w:p>
    <w:p w14:paraId="647B05FD">
      <w:r>
        <w:rPr>
          <w:rFonts w:ascii="Tahoma" w:hAnsi="Tahoma" w:eastAsia="Tahoma" w:cs="Tahoma"/>
          <w:sz w:val="20"/>
        </w:rPr>
        <w:t>The January 2024 Panay blackout demonstrated the scale of the problem. Reports showed that, while restoration was still ongoing, only about 20% of electricity supply had been restored in Antique and about 33% of Aklan Electric Cooperative’s coverage area had power, while Capiz had only 10 MW restored against an estimated 45 MW requirement. A total of 284 public schools in Panay suspended face-to-face classes because of the outage. In Iloilo, the three-day interruption was later estimated to have caused more than ₱3.7 billion in economic losses. These figures show that a power interruption can affect education, businesses, food storage, communications, and normal household activities across the island. (Sources: GMA News, 3 January 2024; Philippine News Agency, 3 January 2024; Philippine Daily Inquirer, 13 January 2024.)</w:t>
      </w:r>
    </w:p>
    <w:p w14:paraId="646C12FF">
      <w:r>
        <w:rPr>
          <w:rFonts w:ascii="Tahoma" w:hAnsi="Tahoma" w:eastAsia="Tahoma" w:cs="Tahoma"/>
          <w:sz w:val="20"/>
        </w:rPr>
        <w:t>The problem has continued beyond the 2024 event. On 26 August 2026, rotational power interruptions or manual load dropping were announced for major Panay electricity providers, including AKELCO in Aklan, ANTECO in Antique, CAPELCO in Capiz, ILECO I, ILECO II, ILECO III, and MORE Power in Iloilo. At that time, the Visayas grid had 2,237 MW of available capacity against a peak demand of 2,530 MW, a shortfall of about 293 MW, while 938.9 MW of capacity was reported unavailable. The Department of Energy has since announced additional generation and transmission measures for Panay to improve long-term reliability. (Sources: GMA News, 26 August 2026; Department of Energy, 15 September 2026.)</w:t>
      </w:r>
    </w:p>
    <w:p w14:paraId="22813481">
      <w:r>
        <w:rPr>
          <w:rFonts w:ascii="Tahoma" w:hAnsi="Tahoma" w:eastAsia="Tahoma" w:cs="Tahoma"/>
          <w:sz w:val="20"/>
        </w:rPr>
        <w:t>Antique also experienced province-wide restoration challenges after Typhoons Tino and Uwan in November 2025. ANTECO reported restoring electricity across 537 affected barangays, with approximately ₱2 million in damage to its distribution facilities. This further shows the need for households to receive clear, location-relevant interruption and restoration information, especially during emergencies and disasters. (Source: Philippine News Agency, 12 November 2025.)</w:t>
      </w:r>
    </w:p>
    <w:p w14:paraId="7E649336">
      <w:r>
        <w:rPr>
          <w:rFonts w:ascii="Tahoma" w:hAnsi="Tahoma" w:eastAsia="Tahoma" w:cs="Tahoma"/>
          <w:sz w:val="20"/>
        </w:rPr>
        <w:t>The potential user base is also substantial. Based on the 2024 Census of Population, Aklan had 634,422 residents, Antique 643,173, Capiz 835,098, Iloilo Province 2,082,616, and Iloilo City 473,728. Together, these areas represent about 4.67 million people. A solution designed for Antique can therefore be tested locally while remaining relevant and expandable to households throughout Panay. (Source: Philippine Statistics Authority, 2024 POPCEN.)</w:t>
      </w:r>
    </w:p>
    <w:p w14:paraId="5524EAC8">
      <w:pPr>
        <w:pStyle w:val="165"/>
      </w:pPr>
      <w:r>
        <w:rPr>
          <w:rFonts w:ascii="Tahoma" w:hAnsi="Tahoma" w:eastAsia="Tahoma" w:cs="Tahoma"/>
        </w:rPr>
        <w:t>III. TARGET USERS</w:t>
      </w:r>
    </w:p>
    <w:p w14:paraId="044FEC2D">
      <w:pPr>
        <w:ind w:firstLine="504"/>
        <w:jc w:val="both"/>
        <w:rPr>
          <w:bCs/>
        </w:rPr>
      </w:pPr>
      <w:r>
        <w:rPr>
          <w:rFonts w:ascii="Tahoma" w:hAnsi="Tahoma" w:eastAsia="Tahoma" w:cs="Tahoma"/>
          <w:sz w:val="20"/>
        </w:rPr>
        <w:t>The target users of WattSnap AI are household electricity consumers. The hackathon version follows a one-account, one-household model. Each household maintains its own saved location, selected electricity provider, bill history, appliance records, consumption information, energy budget, simulations, Tipid Tips, and processed advisories. With the user’s permission, the application may use the device’s current location to suggest likely electricity providers serving the area; the user confirms the suggested provider or selects one manually. For the Antique hackathon, the prototype may initially be validated using ANTECO bills and advisories. The architecture can later support other Panay providers such as AKELCO, CAPELCO, ILECO I, ILECO II, ILECO III, and MORE Power, subject to available and verified coverage information.</w:t>
      </w:r>
    </w:p>
    <w:p w14:paraId="092434F2">
      <w:pPr>
        <w:pStyle w:val="165"/>
      </w:pPr>
      <w:r>
        <w:rPr>
          <w:rFonts w:ascii="Tahoma" w:hAnsi="Tahoma" w:eastAsia="Tahoma" w:cs="Tahoma"/>
        </w:rPr>
        <w:t>IV. PROPOSED SOLUTION</w:t>
      </w:r>
    </w:p>
    <w:p w14:paraId="4D0FDD0A">
      <w:pPr>
        <w:ind w:firstLine="504"/>
        <w:jc w:val="both"/>
        <w:rPr>
          <w:bCs/>
        </w:rPr>
      </w:pPr>
      <w:r>
        <w:rPr>
          <w:rFonts w:ascii="Tahoma" w:hAnsi="Tahoma" w:eastAsia="Tahoma" w:cs="Tahoma"/>
          <w:bCs/>
          <w:sz w:val="20"/>
        </w:rPr>
        <w:t>WattSnap AI provides one household with a focused electricity assistant built around three needs: identifying the appropriate electricity provider, understanding household electricity consumption, and understanding provider advisories. With location permission, the application can suggest likely electricity providers based on the user’s current area, while manual provider selection remains available. A user can then scan or upload an electricity bill, after which Gemini extracts selected billing information such as billing period, amount due, due date, and kWh consumption. The extracted values are shown within the same bill-scanning workflow and require user verification and correction before they are saved.</w:t>
      </w:r>
    </w:p>
    <w:p w14:paraId="749F9A27">
      <w:pPr>
        <w:ind w:firstLine="504"/>
        <w:jc w:val="both"/>
        <w:rPr>
          <w:bCs/>
        </w:rPr>
      </w:pPr>
      <w:r>
        <w:rPr>
          <w:rFonts w:ascii="Tahoma" w:hAnsi="Tahoma" w:eastAsia="Tahoma" w:cs="Tahoma"/>
          <w:bCs/>
          <w:sz w:val="20"/>
        </w:rPr>
        <w:t>Confirmed bill records are organized into a household history and dashboard for monthly comparisons. The user may register appliances in two ways: by manually entering the appliance type, wattage, number of units, and estimated operating hours, or by photographing the appliance specification/nameplate label. Gemini can read available label information such as appliance name or model and wattage, after which the user confirms or corrects the extracted values before saving. WattSnap AI then calculates estimated appliance energy consumption and uses the verified household information as context for Gemini-generated explanations and personalized Tipid Tips.</w:t>
      </w:r>
    </w:p>
    <w:p w14:paraId="29E9BBFC">
      <w:pPr>
        <w:ind w:firstLine="504"/>
        <w:jc w:val="both"/>
        <w:rPr>
          <w:bCs/>
        </w:rPr>
      </w:pPr>
      <w:r>
        <w:rPr>
          <w:rFonts w:ascii="Tahoma" w:hAnsi="Tahoma" w:eastAsia="Tahoma" w:cs="Tahoma"/>
          <w:bCs/>
          <w:sz w:val="20"/>
        </w:rPr>
        <w:t>For electricity-provider advisories, the user may upload or share an official advisory screenshot or paste the advisory text. Gemini classifies the advisory and extracts available details such as the affected area, date, interruption schedule, restoration information, and stated reason. The system then compares the affected locations with the household location and presents whether the advisory appears relevant to the user, together with a simplified explanation. The original provider advisory remains the reference source.</w:t>
      </w:r>
    </w:p>
    <w:p w14:paraId="57B76BA8">
      <w:r>
        <w:rPr>
          <w:rFonts w:ascii="Tahoma" w:hAnsi="Tahoma" w:eastAsia="Tahoma" w:cs="Tahoma"/>
          <w:sz w:val="20"/>
        </w:rPr>
        <w:t>WattSnap AI also adds decision-support features that allow households to act on the information they receive. The Watt-If Energy Simulator allows users to test possible changes in appliance use before making them. For example, if a 1,000-watt air conditioner is used for 8 hours per day for 30 days, the estimated consumption is 240 kWh per month. If the user reduces use to 5 hours per day, the estimated consumption becomes 150 kWh per month, showing a potential reduction of 90 kWh per month. The same tool can compare options such as replacing a 100-watt bulb with a 12-watt LED bulb or substituting part of air-conditioner use with an electric fan.</w:t>
      </w:r>
    </w:p>
    <w:p w14:paraId="4EFAC2C1">
      <w:r>
        <w:rPr>
          <w:rFonts w:ascii="Tahoma" w:hAnsi="Tahoma" w:eastAsia="Tahoma" w:cs="Tahoma"/>
          <w:sz w:val="20"/>
        </w:rPr>
        <w:t>The Smart Energy Budget allows a household to set a preferred monthly kWh target or budget amount. The application compares the target with saved bill history and estimated appliance use and shows the user’s remaining target and status. For example, if the household sets a target of 180 kWh, has an estimated current use of 142 kWh, and has 9 days remaining in the period, WattSnap AI can show that 38 kWh remains and warn the user if the current usage pattern may exceed the target. The feature is intended as a planning guide and does not replace the official bill or utility rate computation.</w:t>
      </w:r>
    </w:p>
    <w:p w14:paraId="1F32CA77">
      <w:r>
        <w:rPr>
          <w:rFonts w:ascii="Tahoma" w:hAnsi="Tahoma" w:eastAsia="Tahoma" w:cs="Tahoma"/>
          <w:sz w:val="20"/>
        </w:rPr>
        <w:t>When an official provider advisory is processed and the household location appears affected, Brownout Ready Mode can summarize the interruption schedule and provide practical preparation reminders. For example, if an ANTECO advisory indicates an interruption in San Jose de Buenavista from 1:00 p.m. to 5:00 p.m., WattSnap AI can show the location, schedule, estimated duration, and time remaining before the interruption, together with reminders such as charging phones and power banks, saving important online work, preparing rechargeable lights, unplugging sensitive appliances, and minimizing refrigerator opening. Once processed, the advisory summary and reminders can remain available offline. The original provider advisory remains the official reference.</w:t>
      </w:r>
    </w:p>
    <w:p w14:paraId="06DD8918">
      <w:pPr>
        <w:pStyle w:val="165"/>
      </w:pPr>
      <w:r>
        <w:rPr>
          <w:rFonts w:ascii="Tahoma" w:hAnsi="Tahoma" w:eastAsia="Tahoma" w:cs="Tahoma"/>
        </w:rPr>
        <w:t>V. CORE FEATURES</w:t>
      </w:r>
    </w:p>
    <w:p w14:paraId="748EBEFB">
      <w:pPr>
        <w:pStyle w:val="165"/>
        <w:rPr>
          <w:rFonts w:eastAsia="Tahoma"/>
          <w:b w:val="0"/>
          <w:lang w:val="en-PH"/>
        </w:rPr>
      </w:pPr>
      <w:r>
        <w:rPr>
          <w:rFonts w:ascii="Tahoma" w:hAnsi="Tahoma" w:eastAsia="Tahoma" w:cs="Tahoma"/>
        </w:rPr>
        <w:t>1. Household Profile and Location-Aware Provider Selection.</w:t>
      </w:r>
      <w:r>
        <w:rPr>
          <w:rFonts w:ascii="Tahoma" w:hAnsi="Tahoma" w:eastAsia="Tahoma" w:cs="Tahoma"/>
          <w:b w:val="0"/>
        </w:rPr>
        <w:t xml:space="preserve"> Stores the household’s basic information and location. With user permission, WattSnap AI can use the device’s current location to suggest likely electricity distribution utilities or electric cooperatives serving the area. The user confirms the suggested provider or selects a provider manually.</w:t>
      </w:r>
    </w:p>
    <w:p w14:paraId="2341AB7B">
      <w:pPr>
        <w:pStyle w:val="165"/>
        <w:rPr>
          <w:rFonts w:eastAsia="Tahoma"/>
          <w:b w:val="0"/>
          <w:lang w:val="en-PH"/>
        </w:rPr>
      </w:pPr>
      <w:r>
        <w:rPr>
          <w:rFonts w:ascii="Tahoma" w:hAnsi="Tahoma" w:eastAsia="Tahoma" w:cs="Tahoma"/>
        </w:rPr>
        <w:t>2. AI Electricity Bill Scanner.</w:t>
      </w:r>
      <w:r>
        <w:rPr>
          <w:rFonts w:ascii="Tahoma" w:hAnsi="Tahoma" w:eastAsia="Tahoma" w:cs="Tahoma"/>
          <w:b w:val="0"/>
        </w:rPr>
        <w:t xml:space="preserve"> Uses Gemini to analyze an uploaded or photographed electricity bill and extract supported information such as billing period, amount due, due date, and kWh consumption. Extracted information requires user verification and can be corrected before saving.</w:t>
      </w:r>
    </w:p>
    <w:p w14:paraId="295C50BF">
      <w:pPr>
        <w:pStyle w:val="165"/>
        <w:rPr>
          <w:rFonts w:eastAsia="Tahoma"/>
          <w:b w:val="0"/>
          <w:lang w:val="en-PH"/>
        </w:rPr>
      </w:pPr>
      <w:r>
        <w:rPr>
          <w:rFonts w:ascii="Tahoma" w:hAnsi="Tahoma" w:eastAsia="Tahoma" w:cs="Tahoma"/>
        </w:rPr>
        <w:t>3. Bill History and Consumption Dashboard.</w:t>
      </w:r>
      <w:r>
        <w:rPr>
          <w:rFonts w:ascii="Tahoma" w:hAnsi="Tahoma" w:eastAsia="Tahoma" w:cs="Tahoma"/>
          <w:b w:val="0"/>
        </w:rPr>
        <w:t xml:space="preserve"> Stores confirmed bills and presents monthly kWh consumption, bill amounts, trends, graphs, and month-to-month comparisons.</w:t>
      </w:r>
    </w:p>
    <w:p w14:paraId="559278AA">
      <w:pPr>
        <w:pStyle w:val="165"/>
        <w:rPr>
          <w:rFonts w:eastAsia="Tahoma"/>
          <w:b w:val="0"/>
          <w:lang w:val="en-PH"/>
        </w:rPr>
      </w:pPr>
      <w:r>
        <w:rPr>
          <w:rFonts w:ascii="Tahoma" w:hAnsi="Tahoma" w:eastAsia="Tahoma" w:cs="Tahoma"/>
        </w:rPr>
        <w:t>4. Appliance Registration and Wattage Scanner.</w:t>
      </w:r>
      <w:r>
        <w:rPr>
          <w:rFonts w:ascii="Tahoma" w:hAnsi="Tahoma" w:eastAsia="Tahoma" w:cs="Tahoma"/>
          <w:b w:val="0"/>
        </w:rPr>
        <w:t xml:space="preserve"> Allows users to add household appliances by selecting common appliance types through large, recognizable icon buttons or by entering appliance information manually. Users may also photograph an appliance specification or nameplate label so Gemini can extract available details such as appliance name/model and wattage. Extracted values can be verified and corrected before saving.</w:t>
      </w:r>
    </w:p>
    <w:p w14:paraId="6F2C0452">
      <w:pPr>
        <w:pStyle w:val="165"/>
        <w:rPr>
          <w:rFonts w:eastAsia="Tahoma"/>
          <w:b w:val="0"/>
          <w:lang w:val="en-PH"/>
        </w:rPr>
      </w:pPr>
      <w:r>
        <w:rPr>
          <w:rFonts w:ascii="Tahoma" w:hAnsi="Tahoma" w:eastAsia="Tahoma" w:cs="Tahoma"/>
        </w:rPr>
        <w:t>5. Appliance Consumption Estimator.</w:t>
      </w:r>
      <w:r>
        <w:rPr>
          <w:rFonts w:ascii="Tahoma" w:hAnsi="Tahoma" w:eastAsia="Tahoma" w:cs="Tahoma"/>
          <w:b w:val="0"/>
        </w:rPr>
        <w:t xml:space="preserve"> Calculates estimated appliance electricity consumption using verified wattage, number of units, and operating hours. These values are estimates and do not replace the official electricity consumption recorded by the selected electricity provider.</w:t>
      </w:r>
    </w:p>
    <w:p w14:paraId="06AEB395">
      <w:pPr>
        <w:pStyle w:val="165"/>
        <w:rPr>
          <w:rFonts w:eastAsia="Tahoma"/>
          <w:b w:val="0"/>
          <w:lang w:val="en-PH"/>
        </w:rPr>
      </w:pPr>
      <w:r>
        <w:rPr>
          <w:rFonts w:ascii="Tahoma" w:hAnsi="Tahoma" w:eastAsia="Tahoma" w:cs="Tahoma"/>
        </w:rPr>
        <w:t>6. Consumption Change Detection.</w:t>
      </w:r>
      <w:r>
        <w:rPr>
          <w:rFonts w:ascii="Tahoma" w:hAnsi="Tahoma" w:eastAsia="Tahoma" w:cs="Tahoma"/>
          <w:b w:val="0"/>
        </w:rPr>
        <w:t xml:space="preserve"> Compares monthly kWh records and highlights notable increases or decreases in household electricity consumption.</w:t>
      </w:r>
    </w:p>
    <w:p w14:paraId="772BFCEB">
      <w:pPr>
        <w:pStyle w:val="165"/>
        <w:rPr>
          <w:rFonts w:eastAsia="Tahoma"/>
          <w:b w:val="0"/>
          <w:lang w:val="en-PH"/>
        </w:rPr>
      </w:pPr>
      <w:r>
        <w:rPr>
          <w:rFonts w:ascii="Tahoma" w:hAnsi="Tahoma" w:eastAsia="Tahoma" w:cs="Tahoma"/>
        </w:rPr>
        <w:t>7. Personalized Tipid Tips.</w:t>
      </w:r>
      <w:r>
        <w:rPr>
          <w:rFonts w:ascii="Tahoma" w:hAnsi="Tahoma" w:eastAsia="Tahoma" w:cs="Tahoma"/>
          <w:b w:val="0"/>
        </w:rPr>
        <w:t xml:space="preserve"> Uses verified billing history, consumption changes, and appliance estimates as context for Gemini-generated energy-saving recommendations that are understandable and relevant to the household.</w:t>
      </w:r>
    </w:p>
    <w:p w14:paraId="6D92C080">
      <w:pPr>
        <w:pStyle w:val="165"/>
        <w:rPr>
          <w:rFonts w:eastAsia="Tahoma"/>
          <w:b w:val="0"/>
          <w:lang w:val="en-PH"/>
        </w:rPr>
      </w:pPr>
      <w:r>
        <w:rPr>
          <w:rFonts w:ascii="Tahoma" w:hAnsi="Tahoma" w:eastAsia="Tahoma" w:cs="Tahoma"/>
        </w:rPr>
        <w:t>8. Electricity Advisory Intelligence and Location Matching.</w:t>
      </w:r>
      <w:r>
        <w:rPr>
          <w:rFonts w:ascii="Tahoma" w:hAnsi="Tahoma" w:eastAsia="Tahoma" w:cs="Tahoma"/>
          <w:b w:val="0"/>
        </w:rPr>
        <w:t xml:space="preserve"> Allows users to upload an official electricity-provider advisory screenshot, share a screenshot directly to WattSnap AI from a supported application, or copy and paste the advisory text. Gemini analyzes the advisory, extracts important details such as the advisory type, affected areas, interruption date and time, expected restoration time, and stated reason when available, and provides a simplified explanation. The system compares the affected areas with the user’s saved household location and reports Affected, Possibly Affected, or Not Listed. The original advisory remains available for user reference.</w:t>
      </w:r>
    </w:p>
    <w:p w14:paraId="31EFD587">
      <w:pPr>
        <w:pStyle w:val="165"/>
        <w:rPr>
          <w:rFonts w:eastAsia="Tahoma"/>
          <w:b w:val="0"/>
          <w:lang w:val="en-PH"/>
        </w:rPr>
      </w:pPr>
      <w:r>
        <w:rPr>
          <w:rFonts w:ascii="Tahoma" w:hAnsi="Tahoma" w:eastAsia="Tahoma" w:cs="Tahoma"/>
        </w:rPr>
        <w:t>9. Offline Access to Saved Information.</w:t>
      </w:r>
      <w:r>
        <w:rPr>
          <w:rFonts w:ascii="Tahoma" w:hAnsi="Tahoma" w:eastAsia="Tahoma" w:cs="Tahoma"/>
          <w:b w:val="0"/>
        </w:rPr>
        <w:t xml:space="preserve"> Keeps confirmed bills, appliance records, calculations, consumption graphs, previously generated Tipid Tips, and previously processed advisories available locally after they have been saved.</w:t>
      </w:r>
    </w:p>
    <w:p w14:paraId="3BEFC38F">
      <w:pPr>
        <w:pStyle w:val="165"/>
      </w:pPr>
      <w:r>
        <w:rPr>
          <w:rFonts w:ascii="Tahoma" w:hAnsi="Tahoma" w:eastAsia="Tahoma" w:cs="Tahoma"/>
        </w:rPr>
        <w:t>10. Watt-If Energy Simulator.</w:t>
      </w:r>
      <w:r>
        <w:rPr>
          <w:rFonts w:ascii="Tahoma" w:hAnsi="Tahoma" w:eastAsia="Tahoma" w:cs="Tahoma"/>
          <w:b w:val="0"/>
        </w:rPr>
        <w:t xml:space="preserve"> Allows users to simulate changes in appliance usage and compare estimated monthly kWh consumption before and after a change. Example: reducing a 1,000-watt air conditioner from 8 hours to 5 hours per day changes its estimated monthly consumption from 240 kWh to 150 kWh, a potential reduction of 90 kWh per month. Users may also compare alternatives such as changing to LED bulbs or using an electric fan for part of the day.</w:t>
      </w:r>
    </w:p>
    <w:p w14:paraId="5018B710">
      <w:pPr>
        <w:pStyle w:val="165"/>
      </w:pPr>
      <w:r>
        <w:rPr>
          <w:rFonts w:ascii="Tahoma" w:hAnsi="Tahoma" w:eastAsia="Tahoma" w:cs="Tahoma"/>
        </w:rPr>
        <w:t>11. Smart Energy Budget.</w:t>
      </w:r>
      <w:r>
        <w:rPr>
          <w:rFonts w:ascii="Tahoma" w:hAnsi="Tahoma" w:eastAsia="Tahoma" w:cs="Tahoma"/>
          <w:b w:val="0"/>
        </w:rPr>
        <w:t xml:space="preserve"> Allows the household to set a preferred monthly electricity target in kWh or a budget amount. The system compares the target with available bill history and estimated appliance consumption and shows progress, remaining target, and an early warning when the household may exceed its goal. Example: Target = 180 kWh; current estimated use = 142 kWh; remaining = 38 kWh; 9 days remaining; status = At Risk of Exceeding Target.</w:t>
      </w:r>
    </w:p>
    <w:p w14:paraId="19808180">
      <w:pPr>
        <w:pStyle w:val="165"/>
      </w:pPr>
      <w:r>
        <w:rPr>
          <w:rFonts w:ascii="Tahoma" w:hAnsi="Tahoma" w:eastAsia="Tahoma" w:cs="Tahoma"/>
        </w:rPr>
        <w:t>12. Brownout Ready Mode.</w:t>
      </w:r>
      <w:r>
        <w:rPr>
          <w:rFonts w:ascii="Tahoma" w:hAnsi="Tahoma" w:eastAsia="Tahoma" w:cs="Tahoma"/>
          <w:b w:val="0"/>
        </w:rPr>
        <w:t xml:space="preserve"> Activates after an official electricity-provider advisory is processed and the household location appears affected. It presents the affected location, interruption schedule, time remaining, estimated duration based on the official schedule, and simple preparation reminders. Example: Location = San Jose de Buenavista; Schedule = 1:00 p.m.–5:00 p.m.; Time Remaining = 2 hours 35 minutes; reminders = charge phones and power banks, save important online work, prepare rechargeable lights, unplug sensitive appliances, and minimize refrigerator opening. Previously processed information remains available offline, while the original provider advisory remains the official reference.</w:t>
      </w:r>
    </w:p>
    <w:p w14:paraId="4F57643B">
      <w:pPr>
        <w:pStyle w:val="165"/>
        <w:rPr>
          <w:rFonts w:eastAsia="Tahoma"/>
        </w:rPr>
      </w:pPr>
    </w:p>
    <w:p w14:paraId="00457E2E">
      <w:pPr>
        <w:pStyle w:val="165"/>
      </w:pPr>
      <w:bookmarkStart w:id="0" w:name="_GoBack"/>
      <w:bookmarkEnd w:id="0"/>
      <w:r>
        <w:rPr>
          <w:rFonts w:ascii="Tahoma" w:hAnsi="Tahoma" w:eastAsia="Tahoma" w:cs="Tahoma"/>
        </w:rPr>
        <w:t>IX. SUPPORTING LOCAL EVIDENCE AND REFERENCES</w:t>
      </w:r>
    </w:p>
    <w:p w14:paraId="112BA477">
      <w:pPr>
        <w:pStyle w:val="23"/>
      </w:pPr>
      <w:r>
        <w:rPr>
          <w:rFonts w:ascii="Tahoma" w:hAnsi="Tahoma" w:eastAsia="Tahoma" w:cs="Tahoma"/>
          <w:sz w:val="20"/>
        </w:rPr>
        <w:t>Philippine Statistics Authority. (2025). Highlights of the Region VI (Western Visayas) Population: 2024 Census of Population (2024 POPCEN).</w:t>
      </w:r>
    </w:p>
    <w:p w14:paraId="61F7C2DE">
      <w:pPr>
        <w:pStyle w:val="23"/>
      </w:pPr>
      <w:r>
        <w:rPr>
          <w:rFonts w:ascii="Tahoma" w:hAnsi="Tahoma" w:eastAsia="Tahoma" w:cs="Tahoma"/>
          <w:sz w:val="20"/>
        </w:rPr>
        <w:t>GMA Integrated News. (2024, January 3). Businesses endure losses due to massive power outage in Panay Island.</w:t>
      </w:r>
    </w:p>
    <w:p w14:paraId="1576E151">
      <w:pPr>
        <w:pStyle w:val="23"/>
      </w:pPr>
      <w:r>
        <w:rPr>
          <w:rFonts w:ascii="Tahoma" w:hAnsi="Tahoma" w:eastAsia="Tahoma" w:cs="Tahoma"/>
          <w:sz w:val="20"/>
        </w:rPr>
        <w:t>Philippine News Agency. (2024, January 3). 284 public schools in Panay suspend classes due to power outage.</w:t>
      </w:r>
    </w:p>
    <w:p w14:paraId="66E9ABFE">
      <w:pPr>
        <w:pStyle w:val="23"/>
      </w:pPr>
      <w:r>
        <w:rPr>
          <w:rFonts w:ascii="Tahoma" w:hAnsi="Tahoma" w:eastAsia="Tahoma" w:cs="Tahoma"/>
          <w:sz w:val="20"/>
        </w:rPr>
        <w:t>Philippine Daily Inquirer. (2024, January 13). Iloilo lost ₱3.7B during 3-day power outage.</w:t>
      </w:r>
    </w:p>
    <w:p w14:paraId="0A796F20">
      <w:pPr>
        <w:pStyle w:val="23"/>
      </w:pPr>
      <w:r>
        <w:rPr>
          <w:rFonts w:ascii="Tahoma" w:hAnsi="Tahoma" w:eastAsia="Tahoma" w:cs="Tahoma"/>
          <w:sz w:val="20"/>
        </w:rPr>
        <w:t>Philippine News Agency. (2025, November 12). ANTECO fully restores power in 537 barangays of Antique.</w:t>
      </w:r>
    </w:p>
    <w:p w14:paraId="38B59C8F">
      <w:pPr>
        <w:pStyle w:val="23"/>
      </w:pPr>
      <w:r>
        <w:rPr>
          <w:rFonts w:ascii="Tahoma" w:hAnsi="Tahoma" w:eastAsia="Tahoma" w:cs="Tahoma"/>
          <w:sz w:val="20"/>
        </w:rPr>
        <w:t>GMA News Online. (2026, August 26). Rotating brownouts may hit Visayas consumers on Aug. 26, 2026.</w:t>
      </w:r>
    </w:p>
    <w:p w14:paraId="67867046">
      <w:pPr>
        <w:pStyle w:val="23"/>
      </w:pPr>
      <w:r>
        <w:rPr>
          <w:rFonts w:ascii="Tahoma" w:hAnsi="Tahoma" w:eastAsia="Tahoma" w:cs="Tahoma"/>
          <w:sz w:val="20"/>
        </w:rPr>
        <w:t>Department of Energy. (2026, September 15). DOE Maps Long-Term Power Security Plan for Panay.</w:t>
      </w:r>
    </w:p>
    <w:sectPr>
      <w:footerReference r:id="rId5" w:type="default"/>
      <w:pgSz w:w="12240" w:h="15840"/>
      <w:pgMar w:top="1152"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ＭＳ 明朝">
    <w:altName w:val="Buran USSR"/>
    <w:panose1 w:val="00000000000000000000"/>
    <w:charset w:val="00"/>
    <w:family w:val="auto"/>
    <w:pitch w:val="default"/>
    <w:sig w:usb0="00000000" w:usb1="00000000" w:usb2="00000000" w:usb3="00000000" w:csb0="00000000" w:csb1="00000000"/>
  </w:font>
  <w:font w:name="Buran USSR">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E583">
    <w:pPr>
      <w:pStyle w:val="18"/>
      <w:jc w:val="center"/>
    </w:pPr>
    <w:r>
      <w:rPr>
        <w:rFonts w:eastAsia="Tahoma"/>
        <w:sz w:val="18"/>
      </w:rPr>
      <w:t xml:space="preserve">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71C3"/>
    <w:rsid w:val="0015074B"/>
    <w:rsid w:val="0029639D"/>
    <w:rsid w:val="00326F90"/>
    <w:rsid w:val="00400D12"/>
    <w:rsid w:val="005021B6"/>
    <w:rsid w:val="005235B2"/>
    <w:rsid w:val="006A1770"/>
    <w:rsid w:val="00AA1D8D"/>
    <w:rsid w:val="00B47730"/>
    <w:rsid w:val="00B71089"/>
    <w:rsid w:val="00CB0664"/>
    <w:rsid w:val="00D42704"/>
    <w:rsid w:val="00DF0E80"/>
    <w:rsid w:val="00FC693F"/>
    <w:rsid w:val="09425E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ahoma" w:hAnsi="Tahoma" w:eastAsia="Tahoma" w:cs="Tahoma"/>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rPr>
      <w:rFonts w:ascii="Tahoma" w:hAnsi="Tahoma" w:eastAsia="Tahoma" w:cs="Tahoma"/>
    </w:rPr>
  </w:style>
  <w:style w:type="table" w:default="1" w:styleId="12">
    <w:name w:val="Normal Table"/>
    <w:semiHidden/>
    <w:unhideWhenUsed/>
    <w:qFormat/>
    <w:uiPriority w:val="99"/>
    <w:rPr>
      <w:rFonts w:ascii="Tahoma" w:hAnsi="Tahoma" w:eastAsia="Tahoma" w:cs="Tahoma"/>
    </w:rPr>
    <w:tblPr>
      <w:tblCellMar>
        <w:top w:w="0" w:type="dxa"/>
        <w:left w:w="108" w:type="dxa"/>
        <w:bottom w:w="0" w:type="dxa"/>
        <w:right w:w="108" w:type="dxa"/>
      </w:tblCellMar>
    </w:tblPr>
  </w:style>
  <w:style w:type="paragraph" w:styleId="13">
    <w:name w:val="Body Text"/>
    <w:basedOn w:val="1"/>
    <w:link w:val="145"/>
    <w:unhideWhenUsed/>
    <w:qFormat/>
    <w:uiPriority w:val="99"/>
    <w:rPr>
      <w:rFonts w:ascii="Tahoma" w:hAnsi="Tahoma" w:eastAsia="Tahoma" w:cs="Tahoma"/>
    </w:rPr>
  </w:style>
  <w:style w:type="paragraph" w:styleId="14">
    <w:name w:val="Body Text 2"/>
    <w:basedOn w:val="1"/>
    <w:link w:val="146"/>
    <w:unhideWhenUsed/>
    <w:uiPriority w:val="99"/>
    <w:pPr>
      <w:spacing w:line="480" w:lineRule="auto"/>
    </w:pPr>
    <w:rPr>
      <w:rFonts w:ascii="Tahoma" w:hAnsi="Tahoma" w:eastAsia="Tahoma" w:cs="Tahoma"/>
    </w:rPr>
  </w:style>
  <w:style w:type="paragraph" w:styleId="15">
    <w:name w:val="Body Text 3"/>
    <w:basedOn w:val="1"/>
    <w:link w:val="147"/>
    <w:unhideWhenUsed/>
    <w:qFormat/>
    <w:uiPriority w:val="99"/>
    <w:rPr>
      <w:rFonts w:ascii="Tahoma" w:hAnsi="Tahoma" w:eastAsia="Tahoma" w:cs="Tahoma"/>
      <w:sz w:val="16"/>
      <w:szCs w:val="16"/>
    </w:rPr>
  </w:style>
  <w:style w:type="paragraph" w:styleId="16">
    <w:name w:val="caption"/>
    <w:basedOn w:val="1"/>
    <w:next w:val="1"/>
    <w:semiHidden/>
    <w:unhideWhenUsed/>
    <w:qFormat/>
    <w:uiPriority w:val="35"/>
    <w:pPr>
      <w:spacing w:line="240" w:lineRule="auto"/>
    </w:pPr>
    <w:rPr>
      <w:rFonts w:ascii="Tahoma" w:hAnsi="Tahoma" w:eastAsia="Tahoma" w:cs="Tahoma"/>
      <w:b/>
      <w:bCs/>
      <w:color w:val="4F81BD" w:themeColor="accent1"/>
      <w:sz w:val="18"/>
      <w:szCs w:val="18"/>
      <w14:textFill>
        <w14:solidFill>
          <w14:schemeClr w14:val="accent1"/>
        </w14:solidFill>
      </w14:textFill>
    </w:rPr>
  </w:style>
  <w:style w:type="character" w:styleId="17">
    <w:name w:val="Emphasis"/>
    <w:basedOn w:val="11"/>
    <w:qFormat/>
    <w:uiPriority w:val="20"/>
    <w:rPr>
      <w:rFonts w:ascii="Tahoma" w:hAnsi="Tahoma" w:eastAsia="Tahoma" w:cs="Tahoma"/>
      <w:i/>
      <w:iCs/>
    </w:rPr>
  </w:style>
  <w:style w:type="paragraph" w:styleId="18">
    <w:name w:val="footer"/>
    <w:basedOn w:val="1"/>
    <w:link w:val="137"/>
    <w:unhideWhenUsed/>
    <w:qFormat/>
    <w:uiPriority w:val="99"/>
    <w:pPr>
      <w:tabs>
        <w:tab w:val="center" w:pos="4680"/>
        <w:tab w:val="right" w:pos="9360"/>
      </w:tabs>
      <w:spacing w:after="0" w:line="240" w:lineRule="auto"/>
    </w:pPr>
    <w:rPr>
      <w:rFonts w:ascii="Tahoma" w:hAnsi="Tahoma" w:eastAsia="Tahoma" w:cs="Tahoma"/>
    </w:rPr>
  </w:style>
  <w:style w:type="paragraph" w:styleId="19">
    <w:name w:val="header"/>
    <w:basedOn w:val="1"/>
    <w:link w:val="136"/>
    <w:unhideWhenUsed/>
    <w:qFormat/>
    <w:uiPriority w:val="99"/>
    <w:pPr>
      <w:tabs>
        <w:tab w:val="center" w:pos="4680"/>
        <w:tab w:val="right" w:pos="9360"/>
      </w:tabs>
      <w:spacing w:after="0" w:line="240" w:lineRule="auto"/>
    </w:pPr>
    <w:rPr>
      <w:rFonts w:ascii="Tahoma" w:hAnsi="Tahoma" w:eastAsia="Tahoma" w:cs="Tahoma"/>
    </w:rPr>
  </w:style>
  <w:style w:type="paragraph" w:styleId="20">
    <w:name w:val="List"/>
    <w:basedOn w:val="1"/>
    <w:unhideWhenUsed/>
    <w:qFormat/>
    <w:uiPriority w:val="99"/>
    <w:pPr>
      <w:ind w:left="360" w:hanging="360"/>
      <w:contextualSpacing/>
    </w:pPr>
    <w:rPr>
      <w:rFonts w:ascii="Tahoma" w:hAnsi="Tahoma" w:eastAsia="Tahoma" w:cs="Tahoma"/>
    </w:rPr>
  </w:style>
  <w:style w:type="paragraph" w:styleId="21">
    <w:name w:val="List 2"/>
    <w:basedOn w:val="1"/>
    <w:unhideWhenUsed/>
    <w:qFormat/>
    <w:uiPriority w:val="99"/>
    <w:pPr>
      <w:ind w:left="720" w:hanging="360"/>
      <w:contextualSpacing/>
    </w:pPr>
    <w:rPr>
      <w:rFonts w:ascii="Tahoma" w:hAnsi="Tahoma" w:eastAsia="Tahoma" w:cs="Tahoma"/>
    </w:rPr>
  </w:style>
  <w:style w:type="paragraph" w:styleId="22">
    <w:name w:val="List 3"/>
    <w:basedOn w:val="1"/>
    <w:unhideWhenUsed/>
    <w:qFormat/>
    <w:uiPriority w:val="99"/>
    <w:pPr>
      <w:ind w:left="1080" w:hanging="360"/>
      <w:contextualSpacing/>
    </w:pPr>
    <w:rPr>
      <w:rFonts w:ascii="Tahoma" w:hAnsi="Tahoma" w:eastAsia="Tahoma" w:cs="Tahoma"/>
    </w:rPr>
  </w:style>
  <w:style w:type="paragraph" w:styleId="23">
    <w:name w:val="List Bullet"/>
    <w:basedOn w:val="1"/>
    <w:unhideWhenUsed/>
    <w:uiPriority w:val="99"/>
    <w:pPr>
      <w:numPr>
        <w:ilvl w:val="0"/>
        <w:numId w:val="1"/>
      </w:numPr>
      <w:contextualSpacing/>
    </w:pPr>
    <w:rPr>
      <w:rFonts w:ascii="Tahoma" w:hAnsi="Tahoma" w:eastAsia="Tahoma" w:cs="Tahoma"/>
    </w:rPr>
  </w:style>
  <w:style w:type="paragraph" w:styleId="24">
    <w:name w:val="List Bullet 2"/>
    <w:basedOn w:val="1"/>
    <w:unhideWhenUsed/>
    <w:uiPriority w:val="99"/>
    <w:pPr>
      <w:numPr>
        <w:ilvl w:val="0"/>
        <w:numId w:val="2"/>
      </w:numPr>
      <w:contextualSpacing/>
    </w:pPr>
    <w:rPr>
      <w:rFonts w:ascii="Tahoma" w:hAnsi="Tahoma" w:eastAsia="Tahoma" w:cs="Tahoma"/>
    </w:rPr>
  </w:style>
  <w:style w:type="paragraph" w:styleId="25">
    <w:name w:val="List Bullet 3"/>
    <w:basedOn w:val="1"/>
    <w:unhideWhenUsed/>
    <w:qFormat/>
    <w:uiPriority w:val="99"/>
    <w:pPr>
      <w:numPr>
        <w:ilvl w:val="0"/>
        <w:numId w:val="3"/>
      </w:numPr>
      <w:contextualSpacing/>
    </w:pPr>
    <w:rPr>
      <w:rFonts w:ascii="Tahoma" w:hAnsi="Tahoma" w:eastAsia="Tahoma" w:cs="Tahoma"/>
    </w:rPr>
  </w:style>
  <w:style w:type="paragraph" w:styleId="26">
    <w:name w:val="List Continue"/>
    <w:basedOn w:val="1"/>
    <w:unhideWhenUsed/>
    <w:uiPriority w:val="99"/>
    <w:pPr>
      <w:ind w:left="360"/>
      <w:contextualSpacing/>
    </w:pPr>
    <w:rPr>
      <w:rFonts w:ascii="Tahoma" w:hAnsi="Tahoma" w:eastAsia="Tahoma" w:cs="Tahoma"/>
    </w:rPr>
  </w:style>
  <w:style w:type="paragraph" w:styleId="27">
    <w:name w:val="List Continue 2"/>
    <w:basedOn w:val="1"/>
    <w:unhideWhenUsed/>
    <w:qFormat/>
    <w:uiPriority w:val="99"/>
    <w:pPr>
      <w:ind w:left="720"/>
      <w:contextualSpacing/>
    </w:pPr>
    <w:rPr>
      <w:rFonts w:ascii="Tahoma" w:hAnsi="Tahoma" w:eastAsia="Tahoma" w:cs="Tahoma"/>
    </w:rPr>
  </w:style>
  <w:style w:type="paragraph" w:styleId="28">
    <w:name w:val="List Continue 3"/>
    <w:basedOn w:val="1"/>
    <w:unhideWhenUsed/>
    <w:qFormat/>
    <w:uiPriority w:val="99"/>
    <w:pPr>
      <w:ind w:left="1080"/>
      <w:contextualSpacing/>
    </w:pPr>
    <w:rPr>
      <w:rFonts w:ascii="Tahoma" w:hAnsi="Tahoma" w:eastAsia="Tahoma" w:cs="Tahoma"/>
    </w:rPr>
  </w:style>
  <w:style w:type="paragraph" w:styleId="29">
    <w:name w:val="List Number"/>
    <w:basedOn w:val="1"/>
    <w:unhideWhenUsed/>
    <w:qFormat/>
    <w:uiPriority w:val="99"/>
    <w:pPr>
      <w:numPr>
        <w:ilvl w:val="0"/>
        <w:numId w:val="4"/>
      </w:numPr>
      <w:contextualSpacing/>
    </w:pPr>
    <w:rPr>
      <w:rFonts w:ascii="Tahoma" w:hAnsi="Tahoma" w:eastAsia="Tahoma" w:cs="Tahoma"/>
    </w:rPr>
  </w:style>
  <w:style w:type="paragraph" w:styleId="30">
    <w:name w:val="List Number 2"/>
    <w:basedOn w:val="1"/>
    <w:unhideWhenUsed/>
    <w:qFormat/>
    <w:uiPriority w:val="99"/>
    <w:pPr>
      <w:numPr>
        <w:ilvl w:val="0"/>
        <w:numId w:val="5"/>
      </w:numPr>
      <w:contextualSpacing/>
    </w:pPr>
    <w:rPr>
      <w:rFonts w:ascii="Tahoma" w:hAnsi="Tahoma" w:eastAsia="Tahoma" w:cs="Tahoma"/>
    </w:rPr>
  </w:style>
  <w:style w:type="paragraph" w:styleId="31">
    <w:name w:val="List Number 3"/>
    <w:basedOn w:val="1"/>
    <w:unhideWhenUsed/>
    <w:qFormat/>
    <w:uiPriority w:val="99"/>
    <w:pPr>
      <w:numPr>
        <w:ilvl w:val="0"/>
        <w:numId w:val="6"/>
      </w:numPr>
      <w:contextualSpacing/>
    </w:pPr>
    <w:rPr>
      <w:rFonts w:ascii="Tahoma" w:hAnsi="Tahoma" w:eastAsia="Tahoma" w:cs="Tahoma"/>
    </w:r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ahoma" w:hAnsi="Tahoma" w:eastAsia="Tahoma" w:cs="Tahoma"/>
      <w:sz w:val="20"/>
      <w:szCs w:val="20"/>
      <w:lang w:val="en-US" w:eastAsia="en-US" w:bidi="ar-SA"/>
    </w:rPr>
  </w:style>
  <w:style w:type="paragraph" w:styleId="33">
    <w:name w:val="Normal (Web)"/>
    <w:basedOn w:val="1"/>
    <w:semiHidden/>
    <w:unhideWhenUsed/>
    <w:qFormat/>
    <w:uiPriority w:val="99"/>
    <w:rPr>
      <w:rFonts w:ascii="Tahoma" w:hAnsi="Tahoma" w:eastAsia="Tahoma" w:cs="Tahoma"/>
      <w:szCs w:val="24"/>
    </w:rPr>
  </w:style>
  <w:style w:type="character" w:styleId="34">
    <w:name w:val="Strong"/>
    <w:basedOn w:val="11"/>
    <w:qFormat/>
    <w:uiPriority w:val="22"/>
    <w:rPr>
      <w:rFonts w:ascii="Tahoma" w:hAnsi="Tahoma" w:eastAsia="Tahoma" w:cs="Tahoma"/>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pPr>
      <w:spacing w:after="0" w:line="240" w:lineRule="auto"/>
    </w:pPr>
    <w:rPr>
      <w:rFonts w:ascii="Tahoma" w:hAnsi="Tahoma" w:eastAsia="Tahoma" w:cs="Tahom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rFonts w:ascii="Tahoma" w:hAnsi="Tahoma" w:eastAsia="Tahoma" w:cs="Tahoma"/>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rFonts w:ascii="Tahoma" w:hAnsi="Tahoma" w:eastAsia="Tahoma" w:cs="Tahoma"/>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rFonts w:ascii="Tahoma" w:hAnsi="Tahoma" w:eastAsia="Tahoma" w:cs="Tahoma"/>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rFonts w:ascii="Tahoma" w:hAnsi="Tahoma" w:eastAsia="Tahoma" w:cs="Tahoma"/>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rFonts w:ascii="Tahoma" w:hAnsi="Tahoma" w:eastAsia="Tahoma" w:cs="Tahoma"/>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rFonts w:ascii="Tahoma" w:hAnsi="Tahoma" w:eastAsia="Tahoma" w:cs="Tahoma"/>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rFonts w:ascii="Tahoma" w:hAnsi="Tahoma" w:eastAsia="Tahoma" w:cs="Tahoma"/>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rPr>
      <w:rFonts w:ascii="Tahoma" w:hAnsi="Tahoma" w:eastAsia="Tahoma" w:cs="Tahoma"/>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rPr>
      <w:rFonts w:ascii="Tahoma" w:hAnsi="Tahoma" w:eastAsia="Tahoma" w:cs="Tahoma"/>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rPr>
      <w:rFonts w:ascii="Tahoma" w:hAnsi="Tahoma" w:eastAsia="Tahoma" w:cs="Tahoma"/>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rPr>
      <w:rFonts w:ascii="Tahoma" w:hAnsi="Tahoma" w:eastAsia="Tahoma" w:cs="Tahoma"/>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rPr>
      <w:rFonts w:ascii="Tahoma" w:hAnsi="Tahoma" w:eastAsia="Tahoma" w:cs="Tahoma"/>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rPr>
      <w:rFonts w:ascii="Tahoma" w:hAnsi="Tahoma" w:eastAsia="Tahoma" w:cs="Tahoma"/>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rPr>
      <w:rFonts w:ascii="Tahoma" w:hAnsi="Tahoma" w:eastAsia="Tahoma" w:cs="Tahoma"/>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rPr>
      <w:rFonts w:ascii="Tahoma" w:hAnsi="Tahoma" w:eastAsia="Tahoma" w:cs="Tahoma"/>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rPr>
      <w:rFonts w:ascii="Tahoma" w:hAnsi="Tahoma" w:eastAsia="Tahoma" w:cs="Tahoma"/>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rPr>
      <w:rFonts w:ascii="Tahoma" w:hAnsi="Tahoma" w:eastAsia="Tahoma" w:cs="Tahoma"/>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rPr>
      <w:rFonts w:ascii="Tahoma" w:hAnsi="Tahoma" w:eastAsia="Tahoma" w:cs="Tahoma"/>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rPr>
      <w:rFonts w:ascii="Tahoma" w:hAnsi="Tahoma" w:eastAsia="Tahoma" w:cs="Tahoma"/>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rPr>
      <w:rFonts w:ascii="Tahoma" w:hAnsi="Tahoma" w:eastAsia="Tahoma" w:cs="Tahoma"/>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rPr>
      <w:rFonts w:ascii="Tahoma" w:hAnsi="Tahoma" w:eastAsia="Tahoma" w:cs="Tahoma"/>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rPr>
      <w:rFonts w:ascii="Tahoma" w:hAnsi="Tahoma" w:eastAsia="Tahoma" w:cs="Tahom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rPr>
      <w:rFonts w:ascii="Tahoma" w:hAnsi="Tahoma" w:eastAsia="Tahoma" w:cs="Tahoma"/>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rPr>
      <w:rFonts w:ascii="Tahoma" w:hAnsi="Tahoma" w:eastAsia="Tahoma" w:cs="Tahoma"/>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rPr>
      <w:rFonts w:ascii="Tahoma" w:hAnsi="Tahoma" w:eastAsia="Tahoma" w:cs="Tahoma"/>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rPr>
      <w:rFonts w:ascii="Tahoma" w:hAnsi="Tahoma" w:eastAsia="Tahoma" w:cs="Tahoma"/>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rPr>
      <w:rFonts w:ascii="Tahoma" w:hAnsi="Tahoma" w:eastAsia="Tahoma" w:cs="Tahoma"/>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rPr>
      <w:rFonts w:ascii="Tahoma" w:hAnsi="Tahoma" w:eastAsia="Tahoma" w:cs="Tahoma"/>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rPr>
      <w:rFonts w:ascii="Tahoma" w:hAnsi="Tahoma" w:eastAsia="Tahoma" w:cs="Tahoma"/>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rFonts w:ascii="Tahoma" w:hAnsi="Tahoma" w:eastAsia="Tahoma" w:cs="Tahoma"/>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rPr>
      <w:rFonts w:ascii="Tahoma" w:hAnsi="Tahoma" w:eastAsia="Tahoma" w:cs="Tahoma"/>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rPr>
      <w:rFonts w:ascii="Tahoma" w:hAnsi="Tahoma" w:eastAsia="Tahoma" w:cs="Tahoma"/>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rPr>
      <w:rFonts w:ascii="Tahoma" w:hAnsi="Tahoma" w:eastAsia="Tahoma" w:cs="Tahoma"/>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rPr>
      <w:rFonts w:ascii="Tahoma" w:hAnsi="Tahoma" w:eastAsia="Tahoma" w:cs="Tahoma"/>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rPr>
      <w:rFonts w:ascii="Tahoma" w:hAnsi="Tahoma" w:eastAsia="Tahoma" w:cs="Tahoma"/>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rPr>
      <w:rFonts w:ascii="Tahoma" w:hAnsi="Tahoma" w:eastAsia="Tahoma" w:cs="Tahoma"/>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rPr>
      <w:rFonts w:ascii="Tahoma" w:hAnsi="Tahoma" w:eastAsia="Tahoma" w:cs="Tahoma"/>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rPr>
      <w:rFonts w:ascii="Tahoma" w:hAnsi="Tahoma" w:eastAsia="Tahoma" w:cs="Tahoma"/>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rFonts w:ascii="Tahoma" w:hAnsi="Tahoma" w:eastAsia="Tahoma" w:cs="Tahoma"/>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rFonts w:ascii="Tahoma" w:hAnsi="Tahoma" w:eastAsia="Tahoma" w:cs="Tahoma"/>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rFonts w:ascii="Tahoma" w:hAnsi="Tahoma" w:eastAsia="Tahoma" w:cs="Tahoma"/>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rFonts w:ascii="Tahoma" w:hAnsi="Tahoma" w:eastAsia="Tahoma" w:cs="Tahoma"/>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rPr>
      <w:rFonts w:ascii="Tahoma" w:hAnsi="Tahoma" w:eastAsia="Tahoma" w:cs="Tahoma"/>
    </w:rPr>
  </w:style>
  <w:style w:type="character" w:customStyle="1" w:styleId="137">
    <w:name w:val="Footer Char"/>
    <w:basedOn w:val="11"/>
    <w:link w:val="18"/>
    <w:qFormat/>
    <w:uiPriority w:val="99"/>
    <w:rPr>
      <w:rFonts w:ascii="Tahoma" w:hAnsi="Tahoma" w:eastAsia="Tahoma" w:cs="Tahoma"/>
    </w:rPr>
  </w:style>
  <w:style w:type="paragraph" w:styleId="138">
    <w:name w:val="No Spacing"/>
    <w:qFormat/>
    <w:uiPriority w:val="1"/>
    <w:pPr>
      <w:spacing w:after="0" w:line="240" w:lineRule="auto"/>
    </w:pPr>
    <w:rPr>
      <w:rFonts w:ascii="Tahoma" w:hAnsi="Tahoma" w:eastAsia="Tahoma" w:cs="Tahoma"/>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rPr>
      <w:rFonts w:ascii="Tahoma" w:hAnsi="Tahoma" w:eastAsia="Tahoma" w:cs="Tahoma"/>
    </w:rPr>
  </w:style>
  <w:style w:type="character" w:customStyle="1" w:styleId="145">
    <w:name w:val="Body Text Char"/>
    <w:basedOn w:val="11"/>
    <w:link w:val="13"/>
    <w:qFormat/>
    <w:uiPriority w:val="99"/>
    <w:rPr>
      <w:rFonts w:ascii="Tahoma" w:hAnsi="Tahoma" w:eastAsia="Tahoma" w:cs="Tahoma"/>
    </w:rPr>
  </w:style>
  <w:style w:type="character" w:customStyle="1" w:styleId="146">
    <w:name w:val="Body Text 2 Char"/>
    <w:basedOn w:val="11"/>
    <w:link w:val="14"/>
    <w:qFormat/>
    <w:uiPriority w:val="99"/>
    <w:rPr>
      <w:rFonts w:ascii="Tahoma" w:hAnsi="Tahoma" w:eastAsia="Tahoma" w:cs="Tahoma"/>
    </w:rPr>
  </w:style>
  <w:style w:type="character" w:customStyle="1" w:styleId="147">
    <w:name w:val="Body Text 3 Char"/>
    <w:basedOn w:val="11"/>
    <w:link w:val="15"/>
    <w:qFormat/>
    <w:uiPriority w:val="99"/>
    <w:rPr>
      <w:rFonts w:ascii="Tahoma" w:hAnsi="Tahoma" w:eastAsia="Tahoma" w:cs="Tahoma"/>
      <w:sz w:val="16"/>
      <w:szCs w:val="16"/>
    </w:rPr>
  </w:style>
  <w:style w:type="character" w:customStyle="1" w:styleId="148">
    <w:name w:val="Macro Text Char"/>
    <w:basedOn w:val="11"/>
    <w:link w:val="32"/>
    <w:uiPriority w:val="99"/>
    <w:rPr>
      <w:rFonts w:ascii="Tahoma" w:hAnsi="Tahoma" w:eastAsia="Tahoma" w:cs="Tahoma"/>
      <w:sz w:val="20"/>
      <w:szCs w:val="20"/>
    </w:rPr>
  </w:style>
  <w:style w:type="paragraph" w:styleId="149">
    <w:name w:val="Quote"/>
    <w:basedOn w:val="1"/>
    <w:next w:val="1"/>
    <w:link w:val="150"/>
    <w:qFormat/>
    <w:uiPriority w:val="29"/>
    <w:rPr>
      <w:rFonts w:ascii="Tahoma" w:hAnsi="Tahoma" w:eastAsia="Tahoma" w:cs="Tahoma"/>
      <w:i/>
      <w:iCs/>
      <w:color w:val="000000" w:themeColor="text1"/>
      <w14:textFill>
        <w14:solidFill>
          <w14:schemeClr w14:val="tx1"/>
        </w14:solidFill>
      </w14:textFill>
    </w:rPr>
  </w:style>
  <w:style w:type="character" w:customStyle="1" w:styleId="150">
    <w:name w:val="Quote Char"/>
    <w:basedOn w:val="11"/>
    <w:link w:val="149"/>
    <w:qFormat/>
    <w:uiPriority w:val="29"/>
    <w:rPr>
      <w:rFonts w:ascii="Tahoma" w:hAnsi="Tahoma" w:eastAsia="Tahoma" w:cs="Tahoma"/>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rFonts w:ascii="Tahoma" w:hAnsi="Tahoma" w:eastAsia="Tahoma" w:cs="Tahoma"/>
      <w:b/>
      <w:bCs/>
      <w:i/>
      <w:iCs/>
      <w:color w:val="4F81BD" w:themeColor="accent1"/>
      <w14:textFill>
        <w14:solidFill>
          <w14:schemeClr w14:val="accent1"/>
        </w14:solidFill>
      </w14:textFill>
    </w:rPr>
  </w:style>
  <w:style w:type="character" w:customStyle="1" w:styleId="158">
    <w:name w:val="Intense Quote Char"/>
    <w:basedOn w:val="11"/>
    <w:link w:val="157"/>
    <w:uiPriority w:val="30"/>
    <w:rPr>
      <w:rFonts w:ascii="Tahoma" w:hAnsi="Tahoma" w:eastAsia="Tahoma" w:cs="Tahoma"/>
      <w:b/>
      <w:bCs/>
      <w:i/>
      <w:iCs/>
      <w:color w:val="4F81BD" w:themeColor="accent1"/>
      <w14:textFill>
        <w14:solidFill>
          <w14:schemeClr w14:val="accent1"/>
        </w14:solidFill>
      </w14:textFill>
    </w:rPr>
  </w:style>
  <w:style w:type="character" w:customStyle="1" w:styleId="159">
    <w:name w:val="Subtle Emphasis"/>
    <w:basedOn w:val="11"/>
    <w:qFormat/>
    <w:uiPriority w:val="19"/>
    <w:rPr>
      <w:rFonts w:ascii="Tahoma" w:hAnsi="Tahoma" w:eastAsia="Tahoma" w:cs="Tahoma"/>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rFonts w:ascii="Tahoma" w:hAnsi="Tahoma" w:eastAsia="Tahoma" w:cs="Tahoma"/>
      <w:b/>
      <w:bCs/>
      <w:i/>
      <w:iCs/>
      <w:color w:val="4F81BD" w:themeColor="accent1"/>
      <w14:textFill>
        <w14:solidFill>
          <w14:schemeClr w14:val="accent1"/>
        </w14:solidFill>
      </w14:textFill>
    </w:rPr>
  </w:style>
  <w:style w:type="character" w:customStyle="1" w:styleId="161">
    <w:name w:val="Subtle Reference"/>
    <w:basedOn w:val="11"/>
    <w:qFormat/>
    <w:uiPriority w:val="31"/>
    <w:rPr>
      <w:rFonts w:ascii="Tahoma" w:hAnsi="Tahoma" w:eastAsia="Tahoma" w:cs="Tahoma"/>
      <w:smallCaps/>
      <w:color w:val="C0504D" w:themeColor="accent2"/>
      <w:u w:val="single"/>
      <w14:textFill>
        <w14:solidFill>
          <w14:schemeClr w14:val="accent2"/>
        </w14:solidFill>
      </w14:textFill>
    </w:rPr>
  </w:style>
  <w:style w:type="character" w:customStyle="1" w:styleId="162">
    <w:name w:val="Intense Reference"/>
    <w:basedOn w:val="11"/>
    <w:qFormat/>
    <w:uiPriority w:val="32"/>
    <w:rPr>
      <w:rFonts w:ascii="Tahoma" w:hAnsi="Tahoma" w:eastAsia="Tahoma" w:cs="Tahoma"/>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rFonts w:ascii="Tahoma" w:hAnsi="Tahoma" w:eastAsia="Tahoma" w:cs="Tahoma"/>
      <w:b/>
      <w:bCs/>
      <w:smallCaps/>
      <w:spacing w:val="5"/>
    </w:rPr>
  </w:style>
  <w:style w:type="paragraph" w:customStyle="1" w:styleId="164">
    <w:name w:val="TOC Heading"/>
    <w:basedOn w:val="2"/>
    <w:next w:val="1"/>
    <w:semiHidden/>
    <w:unhideWhenUsed/>
    <w:qFormat/>
    <w:uiPriority w:val="39"/>
    <w:pPr>
      <w:outlineLvl w:val="9"/>
    </w:pPr>
    <w:rPr>
      <w:rFonts w:ascii="Tahoma" w:hAnsi="Tahoma" w:eastAsia="Tahoma" w:cs="Tahoma"/>
    </w:rPr>
  </w:style>
  <w:style w:type="paragraph" w:customStyle="1" w:styleId="165">
    <w:name w:val="Proposal Section"/>
    <w:qFormat/>
    <w:uiPriority w:val="0"/>
    <w:pPr>
      <w:spacing w:before="200" w:after="120" w:line="276" w:lineRule="auto"/>
    </w:pPr>
    <w:rPr>
      <w:rFonts w:ascii="Tahoma" w:hAnsi="Tahoma" w:eastAsia="Tahoma" w:cs="Tahoma"/>
      <w:b/>
      <w:sz w:val="24"/>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2503</Words>
  <Characters>15351</Characters>
  <Lines>68</Lines>
  <Paragraphs>19</Paragraphs>
  <TotalTime>14</TotalTime>
  <ScaleCrop>false</ScaleCrop>
  <LinksUpToDate>false</LinksUpToDate>
  <CharactersWithSpaces>17792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Khing Vay Regala</cp:lastModifiedBy>
  <dcterms:modified xsi:type="dcterms:W3CDTF">2026-10-02T20:44:47Z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eyJoZGlkIjoiY2NkNDhhNTA5NmY0NThlNDMwYzFlYTExMTcxYjNiZTYiLCJ1c2VySWQiOiI4ODEzOTEyMTk2Njk5In0=</vt:lpwstr>
  </property>
  <property fmtid="{D5CDD505-2E9C-101B-9397-08002B2CF9AE}" pid="3" name="KSOProductBuildVer">
    <vt:lpwstr>1033-12.1.0.28485</vt:lpwstr>
  </property>
  <property fmtid="{D5CDD505-2E9C-101B-9397-08002B2CF9AE}" pid="4" name="ICV">
    <vt:lpwstr>16900A8FAD754DCB8535DA3A51573910_12</vt:lpwstr>
  </property>
</Properties>
</file>