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OVR 20题8k与16k对照结果</w:t>
      </w:r>
    </w:p>
    <w:p>
      <w:pPr>
        <w:pStyle w:val="Subtitle"/>
        <w:widowControl/>
      </w:pPr>
      <w:r>
        <w:t>组员共享简版  2026年10月26日</w:t>
      </w:r>
    </w:p>
    <w:p>
      <w:pPr>
        <w:widowControl/>
      </w:pPr>
      <w:r>
        <w:t>在固定20题上，增加输出预算帮助两个模型完成答案，但ColdStart获益更大。RL在16k仍有4题截断；额外推理也可能把正确候选改成错误答案。结果支持“输出预算与答案收束影响观测成绩”，不足以证明RL本身使推理能力下降。</w:t>
      </w:r>
    </w:p>
    <w:p>
      <w:pPr>
        <w:pStyle w:val="Heading1"/>
        <w:widowControl/>
      </w:pPr>
      <w:r>
        <w:t>主要结果</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rPr>
          <w:tblHeader/>
          <w:cantSplit/>
        </w:trPr>
        <w:tc>
          <w:tcPr>
            <w:tcW w:type="dxa" w:w="1417"/>
            <w:shd w:fill="E8EDF1"/>
          </w:tcPr>
          <w:p>
            <w:pPr>
              <w:spacing w:after="80" w:before="80" w:line="252" w:lineRule="auto"/>
            </w:pPr>
            <w:r>
              <w:rPr>
                <w:b/>
                <w:sz w:val="19"/>
              </w:rPr>
              <w:t>模型</w:t>
            </w:r>
          </w:p>
        </w:tc>
        <w:tc>
          <w:tcPr>
            <w:tcW w:type="dxa" w:w="567"/>
            <w:shd w:fill="E8EDF1"/>
          </w:tcPr>
          <w:p>
            <w:pPr>
              <w:spacing w:after="80" w:before="80" w:line="252" w:lineRule="auto"/>
            </w:pPr>
            <w:r>
              <w:rPr>
                <w:b/>
                <w:sz w:val="19"/>
              </w:rPr>
              <w:t>预算</w:t>
            </w:r>
          </w:p>
        </w:tc>
        <w:tc>
          <w:tcPr>
            <w:tcW w:type="dxa" w:w="1644"/>
            <w:shd w:fill="E8EDF1"/>
          </w:tcPr>
          <w:p>
            <w:pPr>
              <w:spacing w:after="80" w:before="80" w:line="252" w:lineRule="auto"/>
            </w:pPr>
            <w:r>
              <w:rPr>
                <w:b/>
                <w:sz w:val="19"/>
              </w:rPr>
              <w:t>官方准确率</w:t>
            </w:r>
          </w:p>
        </w:tc>
        <w:tc>
          <w:tcPr>
            <w:tcW w:type="dxa" w:w="1701"/>
            <w:shd w:fill="E8EDF1"/>
          </w:tcPr>
          <w:p>
            <w:pPr>
              <w:spacing w:after="80" w:before="80" w:line="252" w:lineRule="auto"/>
            </w:pPr>
            <w:r>
              <w:rPr>
                <w:b/>
                <w:sz w:val="19"/>
              </w:rPr>
              <w:t>95%区间</w:t>
            </w:r>
          </w:p>
        </w:tc>
        <w:tc>
          <w:tcPr>
            <w:tcW w:type="dxa" w:w="1304"/>
            <w:shd w:fill="E8EDF1"/>
          </w:tcPr>
          <w:p>
            <w:pPr>
              <w:spacing w:after="80" w:before="80" w:line="252" w:lineRule="auto"/>
            </w:pPr>
            <w:r>
              <w:rPr>
                <w:b/>
                <w:sz w:val="19"/>
              </w:rPr>
              <w:t>达到上限</w:t>
            </w:r>
          </w:p>
        </w:tc>
        <w:tc>
          <w:tcPr>
            <w:tcW w:type="dxa" w:w="1587"/>
            <w:shd w:fill="E8EDF1"/>
          </w:tcPr>
          <w:p>
            <w:pPr>
              <w:spacing w:after="80" w:before="80" w:line="252" w:lineRule="auto"/>
            </w:pPr>
            <w:r>
              <w:rPr>
                <w:b/>
                <w:sz w:val="19"/>
              </w:rPr>
              <w:t>平均tokens</w:t>
            </w:r>
          </w:p>
        </w:tc>
      </w:tr>
      <w:tr>
        <w:trPr>
          <w:cantSplit/>
        </w:trPr>
        <w:tc>
          <w:tcPr>
            <w:tcW w:type="dxa" w:w="1417"/>
          </w:tcPr>
          <w:p>
            <w:pPr>
              <w:spacing w:after="80" w:before="80" w:line="252" w:lineRule="auto"/>
            </w:pPr>
            <w:r>
              <w:rPr>
                <w:sz w:val="19"/>
              </w:rPr>
              <w:t>ColdStart</w:t>
            </w:r>
          </w:p>
        </w:tc>
        <w:tc>
          <w:tcPr>
            <w:tcW w:type="dxa" w:w="567"/>
          </w:tcPr>
          <w:p>
            <w:pPr>
              <w:spacing w:after="80" w:before="80" w:line="252" w:lineRule="auto"/>
            </w:pPr>
            <w:r>
              <w:rPr>
                <w:sz w:val="19"/>
              </w:rPr>
              <w:t>8k</w:t>
            </w:r>
          </w:p>
        </w:tc>
        <w:tc>
          <w:tcPr>
            <w:tcW w:type="dxa" w:w="1644"/>
          </w:tcPr>
          <w:p>
            <w:pPr>
              <w:spacing w:after="80" w:before="80" w:line="252" w:lineRule="auto"/>
            </w:pPr>
            <w:r>
              <w:rPr>
                <w:sz w:val="19"/>
              </w:rPr>
              <w:t>4/20  20%</w:t>
            </w:r>
          </w:p>
        </w:tc>
        <w:tc>
          <w:tcPr>
            <w:tcW w:type="dxa" w:w="1701"/>
          </w:tcPr>
          <w:p>
            <w:pPr>
              <w:spacing w:after="80" w:before="80" w:line="252" w:lineRule="auto"/>
            </w:pPr>
            <w:r>
              <w:rPr>
                <w:sz w:val="19"/>
              </w:rPr>
              <w:t>8.1–41.6%</w:t>
            </w:r>
          </w:p>
        </w:tc>
        <w:tc>
          <w:tcPr>
            <w:tcW w:type="dxa" w:w="1304"/>
          </w:tcPr>
          <w:p>
            <w:pPr>
              <w:spacing w:after="80" w:before="80" w:line="252" w:lineRule="auto"/>
            </w:pPr>
            <w:r>
              <w:rPr>
                <w:sz w:val="19"/>
              </w:rPr>
              <w:t>11/20</w:t>
            </w:r>
          </w:p>
        </w:tc>
        <w:tc>
          <w:tcPr>
            <w:tcW w:type="dxa" w:w="1587"/>
          </w:tcPr>
          <w:p>
            <w:pPr>
              <w:spacing w:after="80" w:before="80" w:line="252" w:lineRule="auto"/>
            </w:pPr>
            <w:r>
              <w:rPr>
                <w:sz w:val="19"/>
              </w:rPr>
              <w:t>6,742</w:t>
            </w:r>
          </w:p>
        </w:tc>
      </w:tr>
      <w:tr>
        <w:trPr>
          <w:cantSplit/>
        </w:trPr>
        <w:tc>
          <w:tcPr>
            <w:tcW w:type="dxa" w:w="1417"/>
          </w:tcPr>
          <w:p>
            <w:pPr>
              <w:spacing w:after="80" w:before="80" w:line="252" w:lineRule="auto"/>
            </w:pPr>
            <w:r>
              <w:rPr>
                <w:sz w:val="19"/>
              </w:rPr>
              <w:t>ColdStart</w:t>
            </w:r>
          </w:p>
        </w:tc>
        <w:tc>
          <w:tcPr>
            <w:tcW w:type="dxa" w:w="567"/>
          </w:tcPr>
          <w:p>
            <w:pPr>
              <w:spacing w:after="80" w:before="80" w:line="252" w:lineRule="auto"/>
            </w:pPr>
            <w:r>
              <w:rPr>
                <w:sz w:val="19"/>
              </w:rPr>
              <w:t>16k</w:t>
            </w:r>
          </w:p>
        </w:tc>
        <w:tc>
          <w:tcPr>
            <w:tcW w:type="dxa" w:w="1644"/>
          </w:tcPr>
          <w:p>
            <w:pPr>
              <w:spacing w:after="80" w:before="80" w:line="252" w:lineRule="auto"/>
            </w:pPr>
            <w:r>
              <w:rPr>
                <w:sz w:val="19"/>
              </w:rPr>
              <w:t>10/20  50%</w:t>
            </w:r>
          </w:p>
        </w:tc>
        <w:tc>
          <w:tcPr>
            <w:tcW w:type="dxa" w:w="1701"/>
          </w:tcPr>
          <w:p>
            <w:pPr>
              <w:spacing w:after="80" w:before="80" w:line="252" w:lineRule="auto"/>
            </w:pPr>
            <w:r>
              <w:rPr>
                <w:sz w:val="19"/>
              </w:rPr>
              <w:t>29.9–70.1%</w:t>
            </w:r>
          </w:p>
        </w:tc>
        <w:tc>
          <w:tcPr>
            <w:tcW w:type="dxa" w:w="1304"/>
          </w:tcPr>
          <w:p>
            <w:pPr>
              <w:spacing w:after="80" w:before="80" w:line="252" w:lineRule="auto"/>
            </w:pPr>
            <w:r>
              <w:rPr>
                <w:sz w:val="19"/>
              </w:rPr>
              <w:t>0/20</w:t>
            </w:r>
          </w:p>
        </w:tc>
        <w:tc>
          <w:tcPr>
            <w:tcW w:type="dxa" w:w="1587"/>
          </w:tcPr>
          <w:p>
            <w:pPr>
              <w:spacing w:after="80" w:before="80" w:line="252" w:lineRule="auto"/>
            </w:pPr>
            <w:r>
              <w:rPr>
                <w:sz w:val="19"/>
              </w:rPr>
              <w:t>8,964</w:t>
            </w:r>
          </w:p>
        </w:tc>
      </w:tr>
      <w:tr>
        <w:trPr>
          <w:cantSplit/>
        </w:trPr>
        <w:tc>
          <w:tcPr>
            <w:tcW w:type="dxa" w:w="1417"/>
          </w:tcPr>
          <w:p>
            <w:pPr>
              <w:spacing w:after="80" w:before="80" w:line="252" w:lineRule="auto"/>
            </w:pPr>
            <w:r>
              <w:rPr>
                <w:sz w:val="19"/>
              </w:rPr>
              <w:t>RL</w:t>
            </w:r>
          </w:p>
        </w:tc>
        <w:tc>
          <w:tcPr>
            <w:tcW w:type="dxa" w:w="567"/>
          </w:tcPr>
          <w:p>
            <w:pPr>
              <w:spacing w:after="80" w:before="80" w:line="252" w:lineRule="auto"/>
            </w:pPr>
            <w:r>
              <w:rPr>
                <w:sz w:val="19"/>
              </w:rPr>
              <w:t>8k</w:t>
            </w:r>
          </w:p>
        </w:tc>
        <w:tc>
          <w:tcPr>
            <w:tcW w:type="dxa" w:w="1644"/>
          </w:tcPr>
          <w:p>
            <w:pPr>
              <w:spacing w:after="80" w:before="80" w:line="252" w:lineRule="auto"/>
            </w:pPr>
            <w:r>
              <w:rPr>
                <w:sz w:val="19"/>
              </w:rPr>
              <w:t>6/20  30%</w:t>
            </w:r>
          </w:p>
        </w:tc>
        <w:tc>
          <w:tcPr>
            <w:tcW w:type="dxa" w:w="1701"/>
          </w:tcPr>
          <w:p>
            <w:pPr>
              <w:spacing w:after="80" w:before="80" w:line="252" w:lineRule="auto"/>
            </w:pPr>
            <w:r>
              <w:rPr>
                <w:sz w:val="19"/>
              </w:rPr>
              <w:t>14.5–51.9%</w:t>
            </w:r>
          </w:p>
        </w:tc>
        <w:tc>
          <w:tcPr>
            <w:tcW w:type="dxa" w:w="1304"/>
          </w:tcPr>
          <w:p>
            <w:pPr>
              <w:spacing w:after="80" w:before="80" w:line="252" w:lineRule="auto"/>
            </w:pPr>
            <w:r>
              <w:rPr>
                <w:sz w:val="19"/>
              </w:rPr>
              <w:t>15/20</w:t>
            </w:r>
          </w:p>
        </w:tc>
        <w:tc>
          <w:tcPr>
            <w:tcW w:type="dxa" w:w="1587"/>
          </w:tcPr>
          <w:p>
            <w:pPr>
              <w:spacing w:after="80" w:before="80" w:line="252" w:lineRule="auto"/>
            </w:pPr>
            <w:r>
              <w:rPr>
                <w:sz w:val="19"/>
              </w:rPr>
              <w:t>7,338</w:t>
            </w:r>
          </w:p>
        </w:tc>
      </w:tr>
      <w:tr>
        <w:trPr>
          <w:cantSplit/>
        </w:trPr>
        <w:tc>
          <w:tcPr>
            <w:tcW w:type="dxa" w:w="1417"/>
          </w:tcPr>
          <w:p>
            <w:pPr>
              <w:spacing w:after="80" w:before="80" w:line="252" w:lineRule="auto"/>
            </w:pPr>
            <w:r>
              <w:rPr>
                <w:sz w:val="19"/>
              </w:rPr>
              <w:t>RL</w:t>
            </w:r>
          </w:p>
        </w:tc>
        <w:tc>
          <w:tcPr>
            <w:tcW w:type="dxa" w:w="567"/>
          </w:tcPr>
          <w:p>
            <w:pPr>
              <w:spacing w:after="80" w:before="80" w:line="252" w:lineRule="auto"/>
            </w:pPr>
            <w:r>
              <w:rPr>
                <w:sz w:val="19"/>
              </w:rPr>
              <w:t>16k</w:t>
            </w:r>
          </w:p>
        </w:tc>
        <w:tc>
          <w:tcPr>
            <w:tcW w:type="dxa" w:w="1644"/>
          </w:tcPr>
          <w:p>
            <w:pPr>
              <w:spacing w:after="80" w:before="80" w:line="252" w:lineRule="auto"/>
            </w:pPr>
            <w:r>
              <w:rPr>
                <w:sz w:val="19"/>
              </w:rPr>
              <w:t>8/20  40%</w:t>
            </w:r>
          </w:p>
        </w:tc>
        <w:tc>
          <w:tcPr>
            <w:tcW w:type="dxa" w:w="1701"/>
          </w:tcPr>
          <w:p>
            <w:pPr>
              <w:spacing w:after="80" w:before="80" w:line="252" w:lineRule="auto"/>
            </w:pPr>
            <w:r>
              <w:rPr>
                <w:sz w:val="19"/>
              </w:rPr>
              <w:t>21.9–61.3%</w:t>
            </w:r>
          </w:p>
        </w:tc>
        <w:tc>
          <w:tcPr>
            <w:tcW w:type="dxa" w:w="1304"/>
          </w:tcPr>
          <w:p>
            <w:pPr>
              <w:spacing w:after="80" w:before="80" w:line="252" w:lineRule="auto"/>
            </w:pPr>
            <w:r>
              <w:rPr>
                <w:sz w:val="19"/>
              </w:rPr>
              <w:t>4/20</w:t>
            </w:r>
          </w:p>
        </w:tc>
        <w:tc>
          <w:tcPr>
            <w:tcW w:type="dxa" w:w="1587"/>
          </w:tcPr>
          <w:p>
            <w:pPr>
              <w:spacing w:after="80" w:before="80" w:line="252" w:lineRule="auto"/>
            </w:pPr>
            <w:r>
              <w:rPr>
                <w:sz w:val="19"/>
              </w:rPr>
              <w:t>11,214</w:t>
            </w:r>
          </w:p>
        </w:tc>
      </w:tr>
    </w:tbl>
    <w:p>
      <w:pPr>
        <w:widowControl/>
      </w:pPr>
      <w:r>
        <w:t>达到上限表示该预算下输出被截断；“正常结束”不等于答案正确。区间为95% Wilson区间。</w:t>
      </w:r>
    </w:p>
    <w:p>
      <w:pPr>
        <w:widowControl/>
      </w:pPr>
      <w:r>
        <w:t>准确率变化：ColdStart有6题由错转对、0题由对转错；RL有3题由错转对、1题由对转错。</w:t>
      </w:r>
    </w:p>
    <w:p>
      <w:pPr>
        <w:widowControl/>
      </w:pPr>
      <w:r>
        <w:t>自然结束：ColdStart为9/20 → 20/20；RL为5/20 → 16/20。四种设置均无空输出。</w:t>
      </w:r>
    </w:p>
    <w:p>
      <w:pPr>
        <w:widowControl/>
      </w:pPr>
      <w:r>
        <w:t>平均新增输出：ColdStart为2,222 tokens/题；RL为3,876 tokens/题。16k是上限，遇自然结束即停止。</w:t>
      </w:r>
    </w:p>
    <w:p>
      <w:pPr>
        <w:pStyle w:val="Heading1"/>
        <w:widowControl/>
      </w:pPr>
      <w:r>
        <w:t>比较方法与结论边界</w:t>
      </w:r>
    </w:p>
    <w:p>
      <w:pPr>
        <w:widowControl/>
      </w:pPr>
      <w:r>
        <w:t>从原100题中按难度固定抽20题，每档4题；选题仅用ID和难度，排除此前7道工程检查题。两模型沿用原checkpoint、图片、提示词和采样设置。每模型每题只生成一次16k回答，再按token截取8k前缀；共40次生成、80条评分视图。8k不是独立请求，也不保证复现旧100题的同题输出。</w:t>
      </w:r>
    </w:p>
    <w:p>
      <w:pPr>
        <w:widowControl/>
      </w:pPr>
      <w:r>
        <w:t>全部使用未修改的MathVision官方评分器。官方分数与“完整最终答案”分别报告：RL的8k有2题尚无完整boxed答案，却因正文候选被评分器提取而判对。因此正常结束、出现boxed和判分正确是不同指标。</w:t>
      </w:r>
    </w:p>
    <w:p>
      <w:pPr>
        <w:widowControl/>
      </w:pPr>
      <w:r>
        <w:t>本次20题难度均衡、来自已经评过的题，属于探索性补充。原100题ColdStart 34%与RL 31%保持不变；这组结果不能直接外推至完整基准。</w:t>
      </w:r>
    </w:p>
    <w:p>
      <w:r>
        <w:br w:type="page"/>
      </w:r>
    </w:p>
    <w:p>
      <w:pPr>
        <w:pStyle w:val="Heading1"/>
        <w:widowControl/>
      </w:pPr>
      <w:r>
        <w:t>用于说明结果的三个案例</w:t>
      </w:r>
    </w:p>
    <w:p>
      <w:pPr>
        <w:widowControl/>
      </w:pPr>
      <w:r>
        <w:rPr>
          <w:b/>
        </w:rPr>
        <w:t xml:space="preserve">ColdStart 2911  </w:t>
      </w:r>
      <w:r>
        <w:t>8k在推导中被截断，未提取到正确答案；16k自然结束并输出boxed 384，官方判对。说明额外预算可改变最终可评分结果。</w:t>
      </w:r>
    </w:p>
    <w:p>
      <w:pPr>
        <w:widowControl/>
      </w:pPr>
      <w:r>
        <w:rPr>
          <w:b/>
        </w:rPr>
        <w:t xml:space="preserve">RL 598  </w:t>
      </w:r>
      <w:r>
        <w:t>8k尚未收束，正文候选B被官方评分器判对；16k自然结束却给出boxed E，判错。这是候选提取到错误最终答案的变化，不能描述成“已完成的正确答案被推翻”。</w:t>
      </w:r>
    </w:p>
    <w:p>
      <w:pPr>
        <w:widowControl/>
      </w:pPr>
      <w:r>
        <w:rPr>
          <w:b/>
        </w:rPr>
        <w:t xml:space="preserve">RL 334 612 1118 2816  </w:t>
      </w:r>
      <w:r>
        <w:t>这4题在16k仍达到输出上限。更多预算没有保证完成，后续需区分继续有效推导、反复检查和读图判断错误。</w:t>
      </w:r>
    </w:p>
    <w:p>
      <w:pPr>
        <w:pStyle w:val="Heading1"/>
        <w:widowControl/>
      </w:pPr>
      <w:r>
        <w:t>可直接用于海报的英文介绍</w:t>
      </w:r>
    </w:p>
    <w:p>
      <w:pPr>
        <w:widowControl/>
      </w:pPr>
      <w:r>
        <w:t>We evaluated OVR-ColdStart and OVR-RL on the same 20 MathVision questions, with four questions per difficulty level. Each model generated one trajectory per question with a maximum of 16,384 output tokens; the first 8,192 tokens provided the paired lower-budget view. Under the official scorer, accuracy increased from 20% to 50% for ColdStart and from 30% to 40% for RL. Length-limit hits decreased from 55% to 0% and from 75% to 20%, respectively. Additional tokens therefore helped answer completion on this subset, but did not eliminate RL truncation. One RL trajectory changed from a scorer-correct intermediate candidate to an incorrect final answer. These findings suggest that the observed performance is sensitive to output budget and answer extraction. The subset is exploratory and was drawn from previously evaluated questions; it is not an independent holdout. Our 8k views are trajectory prefixes, and these results do not replace the original 100-question evaluation or establish that RL intrinsically degrades reasoning.</w:t>
      </w:r>
    </w:p>
    <w:p>
      <w:pPr>
        <w:pStyle w:val="Heading1"/>
        <w:widowControl/>
      </w:pPr>
      <w:r>
        <w:t>接下来的工作</w:t>
      </w:r>
    </w:p>
    <w:p>
      <w:pPr>
        <w:widowControl/>
      </w:pPr>
      <w:r>
        <w:t>下一步：先由组员B复核新增答对、答错和仍截断的轨迹，区分最终答案形成、候选答案提取、重复与视觉判断问题；在预算确认前不自动扩展100题或32k。本轮只做公开checkpoint推理，没有重新进行SFT或RL训练。</w:t>
      </w:r>
    </w:p>
    <w:p>
      <w:pPr>
        <w:widowControl/>
      </w:pPr>
      <w:r>
        <w:t>核验完成：每模型20个唯一ID，40次提交，无缺失或重复；80条官方评分视图。Mac重新评分与云端结果一致，旧100题原始输出和评分未变。</w:t>
      </w:r>
    </w:p>
    <w:p>
      <w:pPr>
        <w:widowControl/>
      </w:pPr>
      <w:r>
        <w:t>运行记录：2026年10月26日09:16至11:19完成生成，约2小时3分；11:27确认GPU空闲并提醒关卡。完整原始轨迹、token前缀、逐题评分与校验清单随结果包保存。</w:t>
      </w:r>
    </w:p>
    <w:sectPr w:rsidR="00FC693F" w:rsidRPr="0006063C" w:rsidSect="00034616">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eastAsia="Hiragino Sans GB"/>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eastAsia="Hiragino Sans GB"/>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60"/>
      <w:contextualSpacing/>
    </w:pPr>
    <w:rPr>
      <w:rFonts w:asciiTheme="majorHAnsi" w:eastAsiaTheme="majorEastAsia" w:hAnsiTheme="majorHAnsi" w:cstheme="majorBidi" w:ascii="Arial" w:hAnsi="Arial" w:eastAsia="Hiragino Sans GB"/>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OVR 20题8k与16k对照结果</dc:title>
  <dc:subject>Paired exploratory inference budget comparison</dc:subject>
  <dc:creator>OVR course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