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Bdr>
          <w:top w:val="single" w:sz="6" w:space="1" w:color="4472C4"/>
          <w:left w:val="single" w:sz="6" w:space="4" w:color="4472C4"/>
          <w:bottom w:val="single" w:sz="6" w:space="1" w:color="4472C4"/>
          <w:right w:val="single" w:sz="6" w:space="4" w:color="4472C4"/>
        </w:pBdr>
        <w:shd w:val="clear" w:color="auto" w:fill="DEEAF1"/>
      </w:pPr>
      <w:r>
        <w:t>Box border with solid light-blue fill.</w:t>
      </w:r>
    </w:p>
    <w:p>
      <w:pPr>
        <w:shd w:val="pct20" w:color="FF0000" w:fill="FFFF00"/>
      </w:pPr>
      <w:r>
        <w:t>20-percent dot pattern: red on yellow.</w:t>
      </w:r>
    </w:p>
    <w:p>
      <w:pPr>
        <w:pBdr>
          <w:top w:val="double" w:sz="4" w:space="1" w:color="000000"/>
          <w:bottom w:val="double" w:sz="4" w:space="1" w:color="000000"/>
        </w:pBdr>
      </w:pPr>
      <w:r>
        <w:t>Top and bottom double-line borders only.</w:t>
      </w:r>
    </w:p>
    <w:sectPr/>
  </w:body>
</w:document>
</file>