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4D40"/>
          <w:sz w:val="48"/>
          <w:szCs w:val="48"/>
        </w:rPr>
        <w:t xml:space="preserve">運用コスト解説</w:t>
      </w:r>
    </w:p>
    <w:p>
      <w:pPr>
        <w:spacing w:after="80"/>
        <w:jc w:val="center"/>
      </w:pPr>
      <w:r>
        <w:rPr>
          <w:rFonts w:ascii="Arial" w:cs="Arial" w:eastAsia="Arial" w:hAnsi="Arial"/>
          <w:color w:val="00695C"/>
          <w:sz w:val="26"/>
          <w:szCs w:val="26"/>
        </w:rPr>
        <w:t xml:space="preserve">たびスポ 全国版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月額固定費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¥0〜142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v2.0変更なし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年払い追加コスト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¥0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既存枠内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利益率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96%+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どのフェーズも</w:t>
            </w:r>
          </w:p>
        </w:tc>
      </w:tr>
    </w:tbl>
    <w:p>
      <w:pPr>
        <w:spacing w:after="0"/>
      </w:pPr>
      <w:r>
        <w:br w:type="pag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月額¥0スタートの根拠（v2.0変更なし）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v2.0で追加したSNS設定・SEO設定・年払い対応は、すべて既存インフラ（Supabase・Vercel・Stripe）の機能拡張であり、追加の月額固定費は発生しない。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v2.0での変化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SNS/SEOカラム追加（容量影響なし）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OpenFreeMap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永久無料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従量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¥0固定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年払い用Price追加（固定費なし）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¥0〜142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</w:tbl>
    <w:p>
      <w:pPr>
        <w:spacing w:after="80"/>
      </w:pPr>
      <w:r>
        <w:t xml:space="preserv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v2.0の全追加機能（SNS設定・SEO設定・年払い）は既存の無料枠内で動作する。月間固定費はv1.0と同じ¥0〜¥142のまま。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年払い追加によるStripe手数料の変化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22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支払方式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請求額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月換算実収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¥3,000/月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¥2,892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¥30,000/年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¥1,080/年（月¥90）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¥2,410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¥360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¥9,640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¥99,600/年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¥3,586/年（月¥299）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¥7,984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年払いは月換算実収が約17%低下するが、解約リスクが大幅に低下する（年間契約のため）。LTV（顧客生涯価値）の観点では年払い推奨戦略が有利。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スケール別コスト試算（v2.0）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月間PV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有料店舗数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月間固定費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立ち上げ期（〜3ヶ月）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〜5,000PV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〜20件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¥142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全サービス無料枠内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成長期（3〜12ヶ月）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〜30,000PV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〜100件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¥142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画像リサイズで Storage節約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拡大期（1〜2年後）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30万PV超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〜500件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¥3,642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Pro移行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本格運用（2年後〜）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100万PV超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500件以上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¥9,092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Pro追加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以上（運用コスト解説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6A69A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A69A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運用コスト解説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2026-04-05T10:26:13.640Z</dcterms:created>
  <dcterms:modified xsi:type="dcterms:W3CDTF">2026-04-05T10:26:13.640Z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