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5CA5" w14:textId="353FED6A" w:rsidR="005C43E5" w:rsidRDefault="005C43E5" w:rsidP="005C43E5">
      <w:pPr>
        <w:jc w:val="center"/>
      </w:pPr>
      <w:r w:rsidRPr="005C43E5">
        <w:rPr>
          <w:rFonts w:ascii="Arial" w:hAnsi="Arial" w:cs="Arial"/>
          <w:noProof/>
        </w:rPr>
        <w:drawing>
          <wp:inline distT="0" distB="0" distL="0" distR="0" wp14:anchorId="6512E40B" wp14:editId="5969D382">
            <wp:extent cx="3695700" cy="1629169"/>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41979" cy="1649570"/>
                    </a:xfrm>
                    <a:prstGeom prst="rect">
                      <a:avLst/>
                    </a:prstGeom>
                  </pic:spPr>
                </pic:pic>
              </a:graphicData>
            </a:graphic>
          </wp:inline>
        </w:drawing>
      </w:r>
    </w:p>
    <w:p w14:paraId="0231011D" w14:textId="77777777" w:rsidR="00F918CB" w:rsidRDefault="00F918CB" w:rsidP="005C43E5">
      <w:pPr>
        <w:jc w:val="center"/>
      </w:pPr>
    </w:p>
    <w:p w14:paraId="59D737FF" w14:textId="364AD02B" w:rsidR="005C43E5" w:rsidRPr="005C43E5" w:rsidRDefault="005C43E5" w:rsidP="005C43E5">
      <w:pPr>
        <w:rPr>
          <w:u w:val="single"/>
        </w:rPr>
      </w:pPr>
    </w:p>
    <w:p w14:paraId="6F20E56C" w14:textId="147C70E7" w:rsidR="005C43E5" w:rsidRPr="00D4786B" w:rsidRDefault="005C43E5" w:rsidP="002A58CA">
      <w:pPr>
        <w:spacing w:line="360" w:lineRule="auto"/>
        <w:jc w:val="center"/>
        <w:rPr>
          <w:rFonts w:ascii="Arial" w:hAnsi="Arial" w:cs="Arial"/>
          <w:b/>
          <w:bCs/>
          <w:color w:val="2F5496" w:themeColor="accent1" w:themeShade="BF"/>
          <w:sz w:val="32"/>
          <w:szCs w:val="32"/>
          <w:u w:val="single"/>
        </w:rPr>
      </w:pPr>
      <w:r w:rsidRPr="00D4786B">
        <w:rPr>
          <w:rFonts w:ascii="Arial" w:hAnsi="Arial" w:cs="Arial"/>
          <w:b/>
          <w:bCs/>
          <w:color w:val="2F5496" w:themeColor="accent1" w:themeShade="BF"/>
          <w:sz w:val="32"/>
          <w:szCs w:val="32"/>
          <w:u w:val="single"/>
        </w:rPr>
        <w:t>Course Group Project</w:t>
      </w:r>
    </w:p>
    <w:p w14:paraId="05041434" w14:textId="0E31EF0D" w:rsidR="005C43E5" w:rsidRPr="006F175F" w:rsidRDefault="005C43E5" w:rsidP="002A58CA">
      <w:pPr>
        <w:spacing w:line="360" w:lineRule="auto"/>
        <w:jc w:val="center"/>
        <w:rPr>
          <w:rFonts w:ascii="Arial" w:hAnsi="Arial" w:cs="Arial"/>
          <w:color w:val="000000" w:themeColor="text1"/>
          <w:sz w:val="32"/>
          <w:szCs w:val="32"/>
        </w:rPr>
      </w:pPr>
      <w:r w:rsidRPr="006F175F">
        <w:rPr>
          <w:rFonts w:ascii="Arial" w:hAnsi="Arial" w:cs="Arial"/>
          <w:color w:val="000000" w:themeColor="text1"/>
          <w:sz w:val="32"/>
          <w:szCs w:val="32"/>
        </w:rPr>
        <w:t>Engine Testing and Performance</w:t>
      </w:r>
    </w:p>
    <w:p w14:paraId="57C5869B" w14:textId="5486ABA1" w:rsidR="005C43E5" w:rsidRDefault="005C43E5" w:rsidP="002A58CA">
      <w:pPr>
        <w:spacing w:line="360" w:lineRule="auto"/>
        <w:jc w:val="center"/>
        <w:rPr>
          <w:rFonts w:ascii="Arial" w:hAnsi="Arial" w:cs="Arial"/>
          <w:color w:val="000000" w:themeColor="text1"/>
          <w:sz w:val="32"/>
          <w:szCs w:val="32"/>
        </w:rPr>
      </w:pPr>
      <w:r w:rsidRPr="006F175F">
        <w:rPr>
          <w:rFonts w:ascii="Arial" w:hAnsi="Arial" w:cs="Arial"/>
          <w:color w:val="000000" w:themeColor="text1"/>
          <w:sz w:val="32"/>
          <w:szCs w:val="32"/>
        </w:rPr>
        <w:t>MECH 8290-66-R-2022W</w:t>
      </w:r>
    </w:p>
    <w:p w14:paraId="4D731847" w14:textId="77777777" w:rsidR="00F918CB" w:rsidRPr="006F175F" w:rsidRDefault="00F918CB" w:rsidP="002A58CA">
      <w:pPr>
        <w:spacing w:line="360" w:lineRule="auto"/>
        <w:jc w:val="center"/>
        <w:rPr>
          <w:rFonts w:ascii="Arial" w:hAnsi="Arial" w:cs="Arial"/>
          <w:color w:val="000000" w:themeColor="text1"/>
          <w:sz w:val="32"/>
          <w:szCs w:val="32"/>
        </w:rPr>
      </w:pPr>
    </w:p>
    <w:p w14:paraId="25A2AA9A" w14:textId="59401509" w:rsidR="0028445F" w:rsidRPr="006F175F" w:rsidRDefault="001334DE" w:rsidP="002A58CA">
      <w:pPr>
        <w:spacing w:line="360" w:lineRule="auto"/>
        <w:jc w:val="center"/>
        <w:rPr>
          <w:rFonts w:ascii="Arial" w:hAnsi="Arial" w:cs="Arial"/>
          <w:b/>
          <w:bCs/>
          <w:color w:val="2F5496" w:themeColor="accent1" w:themeShade="BF"/>
          <w:sz w:val="32"/>
          <w:szCs w:val="32"/>
          <w:u w:val="single"/>
        </w:rPr>
      </w:pPr>
      <w:r w:rsidRPr="006F175F">
        <w:rPr>
          <w:rFonts w:ascii="Arial" w:hAnsi="Arial" w:cs="Arial"/>
          <w:b/>
          <w:bCs/>
          <w:color w:val="2F5496" w:themeColor="accent1" w:themeShade="BF"/>
          <w:sz w:val="32"/>
          <w:szCs w:val="32"/>
          <w:u w:val="single"/>
        </w:rPr>
        <w:t>Instructor:</w:t>
      </w:r>
    </w:p>
    <w:p w14:paraId="0A73D7B5" w14:textId="298FC988" w:rsidR="001334DE" w:rsidRDefault="0001168B" w:rsidP="002A58CA">
      <w:pPr>
        <w:spacing w:line="360" w:lineRule="auto"/>
        <w:jc w:val="center"/>
        <w:rPr>
          <w:rFonts w:ascii="Arial" w:hAnsi="Arial" w:cs="Arial"/>
          <w:sz w:val="32"/>
          <w:szCs w:val="32"/>
        </w:rPr>
      </w:pPr>
      <w:proofErr w:type="spellStart"/>
      <w:proofErr w:type="gramStart"/>
      <w:r>
        <w:rPr>
          <w:rFonts w:ascii="Arial" w:hAnsi="Arial" w:cs="Arial"/>
          <w:sz w:val="32"/>
          <w:szCs w:val="32"/>
        </w:rPr>
        <w:t>Dr.</w:t>
      </w:r>
      <w:r w:rsidR="001334DE" w:rsidRPr="006F175F">
        <w:rPr>
          <w:rFonts w:ascii="Arial" w:hAnsi="Arial" w:cs="Arial"/>
          <w:sz w:val="32"/>
          <w:szCs w:val="32"/>
        </w:rPr>
        <w:t>Usman</w:t>
      </w:r>
      <w:proofErr w:type="spellEnd"/>
      <w:proofErr w:type="gramEnd"/>
      <w:r w:rsidR="001334DE" w:rsidRPr="006F175F">
        <w:rPr>
          <w:rFonts w:ascii="Arial" w:hAnsi="Arial" w:cs="Arial"/>
          <w:sz w:val="32"/>
          <w:szCs w:val="32"/>
        </w:rPr>
        <w:t xml:space="preserve"> </w:t>
      </w:r>
      <w:proofErr w:type="spellStart"/>
      <w:r w:rsidR="004D6A08" w:rsidRPr="006F175F">
        <w:rPr>
          <w:rFonts w:ascii="Arial" w:hAnsi="Arial" w:cs="Arial"/>
          <w:sz w:val="32"/>
          <w:szCs w:val="32"/>
        </w:rPr>
        <w:t>Asad</w:t>
      </w:r>
      <w:proofErr w:type="spellEnd"/>
    </w:p>
    <w:p w14:paraId="20B8A95C" w14:textId="77777777" w:rsidR="00F918CB" w:rsidRPr="006F175F" w:rsidRDefault="00F918CB" w:rsidP="002A58CA">
      <w:pPr>
        <w:spacing w:line="360" w:lineRule="auto"/>
        <w:jc w:val="center"/>
        <w:rPr>
          <w:rFonts w:ascii="Arial" w:hAnsi="Arial" w:cs="Arial"/>
          <w:sz w:val="32"/>
          <w:szCs w:val="32"/>
        </w:rPr>
      </w:pPr>
    </w:p>
    <w:p w14:paraId="3815B88E" w14:textId="596499F5" w:rsidR="004D6A08" w:rsidRPr="006F175F" w:rsidRDefault="004D6A08" w:rsidP="002A58CA">
      <w:pPr>
        <w:spacing w:line="360" w:lineRule="auto"/>
        <w:jc w:val="center"/>
        <w:rPr>
          <w:rFonts w:ascii="Arial" w:hAnsi="Arial" w:cs="Arial"/>
          <w:b/>
          <w:bCs/>
          <w:color w:val="2F5496" w:themeColor="accent1" w:themeShade="BF"/>
          <w:sz w:val="32"/>
          <w:szCs w:val="32"/>
          <w:u w:val="single"/>
        </w:rPr>
      </w:pPr>
      <w:r w:rsidRPr="006F175F">
        <w:rPr>
          <w:rFonts w:ascii="Arial" w:hAnsi="Arial" w:cs="Arial"/>
          <w:b/>
          <w:bCs/>
          <w:color w:val="2F5496" w:themeColor="accent1" w:themeShade="BF"/>
          <w:sz w:val="32"/>
          <w:szCs w:val="32"/>
          <w:u w:val="single"/>
        </w:rPr>
        <w:t>Prepared By:</w:t>
      </w:r>
    </w:p>
    <w:p w14:paraId="03733F06" w14:textId="6F475F06" w:rsidR="004D6A08" w:rsidRPr="006F175F" w:rsidRDefault="004D6A08" w:rsidP="002A58CA">
      <w:pPr>
        <w:spacing w:line="360" w:lineRule="auto"/>
        <w:jc w:val="center"/>
        <w:rPr>
          <w:rFonts w:ascii="Arial" w:hAnsi="Arial" w:cs="Arial"/>
          <w:sz w:val="32"/>
          <w:szCs w:val="32"/>
        </w:rPr>
      </w:pPr>
      <w:r w:rsidRPr="006F175F">
        <w:rPr>
          <w:rFonts w:ascii="Arial" w:hAnsi="Arial" w:cs="Arial"/>
          <w:sz w:val="32"/>
          <w:szCs w:val="32"/>
        </w:rPr>
        <w:t>Kaivalya Bhavsar (1100</w:t>
      </w:r>
      <w:r w:rsidR="00FA7B80">
        <w:rPr>
          <w:rFonts w:ascii="Arial" w:hAnsi="Arial" w:cs="Arial"/>
          <w:sz w:val="32"/>
          <w:szCs w:val="32"/>
        </w:rPr>
        <w:t>30931)</w:t>
      </w:r>
    </w:p>
    <w:p w14:paraId="01DD95B2" w14:textId="23E663E1" w:rsidR="004D6A08" w:rsidRPr="006F175F" w:rsidRDefault="006F175F" w:rsidP="002A58CA">
      <w:pPr>
        <w:spacing w:line="360" w:lineRule="auto"/>
        <w:jc w:val="center"/>
        <w:rPr>
          <w:rFonts w:ascii="Arial" w:hAnsi="Arial" w:cs="Arial"/>
          <w:sz w:val="32"/>
          <w:szCs w:val="32"/>
        </w:rPr>
      </w:pPr>
      <w:r w:rsidRPr="006F175F">
        <w:rPr>
          <w:rFonts w:ascii="Arial" w:hAnsi="Arial" w:cs="Arial"/>
          <w:sz w:val="32"/>
          <w:szCs w:val="32"/>
        </w:rPr>
        <w:t>Aman Patel (110040705)</w:t>
      </w:r>
    </w:p>
    <w:p w14:paraId="58D7BA8C" w14:textId="49B4BCCB" w:rsidR="002763AF" w:rsidRDefault="002763AF" w:rsidP="002A58CA">
      <w:pPr>
        <w:spacing w:line="360" w:lineRule="auto"/>
        <w:jc w:val="center"/>
        <w:rPr>
          <w:rFonts w:ascii="Arial" w:hAnsi="Arial" w:cs="Arial"/>
          <w:sz w:val="32"/>
          <w:szCs w:val="32"/>
        </w:rPr>
      </w:pPr>
    </w:p>
    <w:p w14:paraId="35BBA6F1" w14:textId="602576CC" w:rsidR="002763AF" w:rsidRDefault="002763AF" w:rsidP="002A58CA">
      <w:pPr>
        <w:spacing w:line="360" w:lineRule="auto"/>
        <w:jc w:val="center"/>
        <w:rPr>
          <w:rFonts w:ascii="Arial" w:hAnsi="Arial" w:cs="Arial"/>
          <w:b/>
          <w:bCs/>
          <w:color w:val="2F5496" w:themeColor="accent1" w:themeShade="BF"/>
          <w:sz w:val="32"/>
          <w:szCs w:val="32"/>
          <w:u w:val="single"/>
        </w:rPr>
      </w:pPr>
      <w:r w:rsidRPr="002763AF">
        <w:rPr>
          <w:rFonts w:ascii="Arial" w:hAnsi="Arial" w:cs="Arial"/>
          <w:b/>
          <w:bCs/>
          <w:color w:val="2F5496" w:themeColor="accent1" w:themeShade="BF"/>
          <w:sz w:val="32"/>
          <w:szCs w:val="32"/>
          <w:u w:val="single"/>
        </w:rPr>
        <w:t>Date</w:t>
      </w:r>
      <w:r>
        <w:rPr>
          <w:rFonts w:ascii="Arial" w:hAnsi="Arial" w:cs="Arial"/>
          <w:b/>
          <w:bCs/>
          <w:color w:val="2F5496" w:themeColor="accent1" w:themeShade="BF"/>
          <w:sz w:val="32"/>
          <w:szCs w:val="32"/>
          <w:u w:val="single"/>
        </w:rPr>
        <w:t>:</w:t>
      </w:r>
    </w:p>
    <w:p w14:paraId="695E7961" w14:textId="221F7DD2" w:rsidR="00F918CB" w:rsidRPr="002D04B5" w:rsidRDefault="002763AF" w:rsidP="002A58CA">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10</w:t>
      </w:r>
      <w:r w:rsidRPr="002763AF">
        <w:rPr>
          <w:rFonts w:ascii="Arial" w:hAnsi="Arial" w:cs="Arial"/>
          <w:color w:val="000000" w:themeColor="text1"/>
          <w:sz w:val="32"/>
          <w:szCs w:val="32"/>
          <w:vertAlign w:val="superscript"/>
        </w:rPr>
        <w:t>th</w:t>
      </w:r>
      <w:r>
        <w:rPr>
          <w:rFonts w:ascii="Arial" w:hAnsi="Arial" w:cs="Arial"/>
          <w:color w:val="000000" w:themeColor="text1"/>
          <w:sz w:val="32"/>
          <w:szCs w:val="32"/>
        </w:rPr>
        <w:t xml:space="preserve"> April 2022</w:t>
      </w:r>
    </w:p>
    <w:p w14:paraId="4778BA74" w14:textId="0E078886" w:rsidR="00F918CB" w:rsidRPr="007F3BA6" w:rsidRDefault="00163970" w:rsidP="007F3BA6">
      <w:pPr>
        <w:spacing w:line="360" w:lineRule="auto"/>
        <w:jc w:val="both"/>
        <w:rPr>
          <w:rFonts w:cstheme="minorHAnsi"/>
          <w:b/>
          <w:color w:val="000000" w:themeColor="text1"/>
          <w:u w:val="single"/>
        </w:rPr>
      </w:pPr>
      <w:r w:rsidRPr="007F3BA6">
        <w:rPr>
          <w:rFonts w:cstheme="minorHAnsi"/>
          <w:b/>
          <w:color w:val="000000" w:themeColor="text1"/>
          <w:u w:val="single"/>
        </w:rPr>
        <w:lastRenderedPageBreak/>
        <w:t>Combustion Stability:</w:t>
      </w:r>
    </w:p>
    <w:p w14:paraId="754A1C18" w14:textId="44E84C8C" w:rsidR="00AA30BD" w:rsidRPr="007F3BA6" w:rsidRDefault="00AA30BD" w:rsidP="007F3BA6">
      <w:pPr>
        <w:spacing w:line="360" w:lineRule="auto"/>
        <w:jc w:val="both"/>
        <w:rPr>
          <w:rFonts w:cstheme="minorHAnsi"/>
          <w:noProof/>
        </w:rPr>
      </w:pPr>
      <w:r w:rsidRPr="007F3BA6">
        <w:rPr>
          <w:rFonts w:cstheme="minorHAnsi"/>
          <w:noProof/>
        </w:rPr>
        <w:t xml:space="preserve">Combustion stability is defined in terms of </w:t>
      </w:r>
      <w:r w:rsidR="007F3BA6" w:rsidRPr="007F3BA6">
        <w:rPr>
          <w:rFonts w:cstheme="minorHAnsi"/>
          <w:noProof/>
        </w:rPr>
        <w:t xml:space="preserve">the </w:t>
      </w:r>
      <w:r w:rsidRPr="007F3BA6">
        <w:rPr>
          <w:rFonts w:cstheme="minorHAnsi"/>
          <w:noProof/>
        </w:rPr>
        <w:t>Coeffici</w:t>
      </w:r>
      <w:r w:rsidR="00516E57" w:rsidRPr="007F3BA6">
        <w:rPr>
          <w:rFonts w:cstheme="minorHAnsi"/>
          <w:noProof/>
        </w:rPr>
        <w:t>ent of Variation of the Net IMEP.</w:t>
      </w:r>
    </w:p>
    <w:p w14:paraId="16D831F7" w14:textId="2FFA3759" w:rsidR="00B908BF" w:rsidRPr="007F3BA6" w:rsidRDefault="00EA7640" w:rsidP="007F3BA6">
      <w:pPr>
        <w:spacing w:line="360" w:lineRule="auto"/>
        <w:jc w:val="both"/>
        <w:rPr>
          <w:rFonts w:cstheme="minorHAnsi"/>
          <w:noProof/>
        </w:rPr>
      </w:pPr>
      <w:r w:rsidRPr="007F3BA6">
        <w:rPr>
          <w:rFonts w:cstheme="minorHAnsi"/>
          <w:noProof/>
        </w:rPr>
        <w:t>Com</w:t>
      </w:r>
      <w:r w:rsidR="00C97237" w:rsidRPr="007F3BA6">
        <w:rPr>
          <w:rFonts w:cstheme="minorHAnsi"/>
          <w:noProof/>
        </w:rPr>
        <w:t xml:space="preserve">bustion Stability is </w:t>
      </w:r>
      <w:r w:rsidR="00110F60" w:rsidRPr="007F3BA6">
        <w:rPr>
          <w:rFonts w:cstheme="minorHAnsi"/>
          <w:noProof/>
        </w:rPr>
        <w:t>pivotal</w:t>
      </w:r>
      <w:r w:rsidR="00F32C2F" w:rsidRPr="007F3BA6">
        <w:rPr>
          <w:rFonts w:cstheme="minorHAnsi"/>
          <w:noProof/>
        </w:rPr>
        <w:t xml:space="preserve"> for the determination of the stability of the engine</w:t>
      </w:r>
      <w:r w:rsidR="001C78C5" w:rsidRPr="007F3BA6">
        <w:rPr>
          <w:rFonts w:cstheme="minorHAnsi"/>
          <w:noProof/>
        </w:rPr>
        <w:t xml:space="preserve">. The main </w:t>
      </w:r>
      <w:r w:rsidR="007F3BA6" w:rsidRPr="007F3BA6">
        <w:rPr>
          <w:rFonts w:cstheme="minorHAnsi"/>
          <w:noProof/>
        </w:rPr>
        <w:t>parameter</w:t>
      </w:r>
      <w:r w:rsidR="009C335C" w:rsidRPr="007F3BA6">
        <w:rPr>
          <w:rFonts w:cstheme="minorHAnsi"/>
          <w:noProof/>
        </w:rPr>
        <w:t xml:space="preserve"> used to evaluate the </w:t>
      </w:r>
      <w:r w:rsidR="007F3BA6" w:rsidRPr="007F3BA6">
        <w:rPr>
          <w:rFonts w:cstheme="minorHAnsi"/>
          <w:noProof/>
        </w:rPr>
        <w:t>stability</w:t>
      </w:r>
      <w:r w:rsidR="009C335C" w:rsidRPr="007F3BA6">
        <w:rPr>
          <w:rFonts w:cstheme="minorHAnsi"/>
          <w:noProof/>
        </w:rPr>
        <w:t xml:space="preserve"> is the Coefficient of Variation (COV)</w:t>
      </w:r>
      <w:r w:rsidR="00B908BF" w:rsidRPr="007F3BA6">
        <w:rPr>
          <w:rFonts w:cstheme="minorHAnsi"/>
          <w:noProof/>
        </w:rPr>
        <w:t>.</w:t>
      </w:r>
    </w:p>
    <w:p w14:paraId="4175FB2C" w14:textId="13AE3211" w:rsidR="00E5588F" w:rsidRPr="007F3BA6" w:rsidRDefault="00E5588F" w:rsidP="007F3BA6">
      <w:pPr>
        <w:spacing w:line="360" w:lineRule="auto"/>
        <w:jc w:val="both"/>
        <w:rPr>
          <w:rFonts w:cstheme="minorHAnsi"/>
        </w:rPr>
      </w:pPr>
      <w:r w:rsidRPr="007F3BA6">
        <w:rPr>
          <w:rFonts w:cstheme="minorHAnsi"/>
        </w:rPr>
        <w:t>The COV is the ratio of the standard deviation normalized with respect to the mean value.</w:t>
      </w:r>
    </w:p>
    <w:p w14:paraId="1CC36B74" w14:textId="77777777" w:rsidR="00A30575" w:rsidRPr="007F3BA6" w:rsidRDefault="00A30575" w:rsidP="004A0276">
      <w:pPr>
        <w:spacing w:line="360" w:lineRule="auto"/>
        <w:jc w:val="both"/>
        <w:rPr>
          <w:rFonts w:cstheme="minorHAnsi"/>
          <w:noProof/>
        </w:rPr>
      </w:pPr>
    </w:p>
    <w:p w14:paraId="246BEE9C" w14:textId="0FFDFA3D" w:rsidR="00882528" w:rsidRPr="007F3BA6" w:rsidRDefault="00B908BF" w:rsidP="008C41AA">
      <w:pPr>
        <w:spacing w:line="360" w:lineRule="auto"/>
        <w:jc w:val="center"/>
        <w:rPr>
          <w:rFonts w:eastAsiaTheme="minorEastAsia" w:cstheme="minorHAnsi"/>
          <w:b/>
        </w:rPr>
      </w:pPr>
      <w:r w:rsidRPr="007F3BA6">
        <w:rPr>
          <w:rFonts w:cstheme="minorHAnsi"/>
          <w:b/>
          <w:bCs/>
          <w:noProof/>
        </w:rPr>
        <w:t>% COV</w:t>
      </w:r>
      <w:r w:rsidR="007B307D" w:rsidRPr="007F3BA6">
        <w:rPr>
          <w:rFonts w:cstheme="minorHAnsi"/>
          <w:b/>
          <w:bCs/>
          <w:noProof/>
        </w:rPr>
        <w:t xml:space="preserve"> </w:t>
      </w:r>
      <w:r w:rsidRPr="007F3BA6">
        <w:rPr>
          <w:rFonts w:cstheme="minorHAnsi"/>
          <w:b/>
          <w:bCs/>
          <w:noProof/>
        </w:rPr>
        <w:t>= σ</w:t>
      </w:r>
      <w:r w:rsidR="00764224" w:rsidRPr="007F3BA6">
        <w:rPr>
          <w:rFonts w:cstheme="minorHAnsi"/>
          <w:b/>
          <w:bCs/>
          <w:noProof/>
        </w:rPr>
        <w:t xml:space="preserve"> / </w:t>
      </w:r>
      <m:oMath>
        <m:bar>
          <m:barPr>
            <m:pos m:val="top"/>
            <m:ctrlPr>
              <w:rPr>
                <w:rFonts w:ascii="Cambria Math" w:hAnsi="Cambria Math" w:cstheme="minorHAnsi"/>
                <w:b/>
                <w:bCs/>
                <w:i/>
                <w:noProof/>
              </w:rPr>
            </m:ctrlPr>
          </m:barPr>
          <m:e>
            <m:r>
              <m:rPr>
                <m:sty m:val="bi"/>
              </m:rPr>
              <w:rPr>
                <w:rFonts w:ascii="Cambria Math" w:hAnsi="Cambria Math" w:cstheme="minorHAnsi"/>
                <w:noProof/>
              </w:rPr>
              <m:t>x</m:t>
            </m:r>
          </m:e>
        </m:bar>
      </m:oMath>
      <w:r w:rsidR="00E63699" w:rsidRPr="007F3BA6">
        <w:rPr>
          <w:rFonts w:eastAsiaTheme="minorEastAsia" w:cstheme="minorHAnsi"/>
          <w:b/>
          <w:bCs/>
          <w:noProof/>
        </w:rPr>
        <w:t xml:space="preserve"> *100</w:t>
      </w:r>
    </w:p>
    <w:p w14:paraId="1D75B960" w14:textId="77777777" w:rsidR="00A30575" w:rsidRDefault="00A30575" w:rsidP="008C41AA">
      <w:pPr>
        <w:spacing w:line="360" w:lineRule="auto"/>
        <w:jc w:val="center"/>
        <w:rPr>
          <w:rFonts w:ascii="Arial" w:hAnsi="Arial" w:cs="Arial"/>
          <w:b/>
          <w:bCs/>
        </w:rPr>
      </w:pPr>
    </w:p>
    <w:p w14:paraId="02CF6A68" w14:textId="250D8566" w:rsidR="008C41AA" w:rsidRPr="007F3BA6" w:rsidRDefault="008C41AA" w:rsidP="007F3BA6">
      <w:pPr>
        <w:spacing w:line="360" w:lineRule="auto"/>
        <w:jc w:val="both"/>
        <w:rPr>
          <w:rFonts w:cstheme="minorHAnsi"/>
          <w:noProof/>
        </w:rPr>
      </w:pPr>
      <w:r w:rsidRPr="007F3BA6">
        <w:rPr>
          <w:rFonts w:cstheme="minorHAnsi"/>
          <w:noProof/>
        </w:rPr>
        <w:t>The COV is an accep</w:t>
      </w:r>
      <w:r w:rsidR="00D56BC3" w:rsidRPr="007F3BA6">
        <w:rPr>
          <w:rFonts w:cstheme="minorHAnsi"/>
          <w:noProof/>
        </w:rPr>
        <w:t>ted indicator of combustion stability.</w:t>
      </w:r>
    </w:p>
    <w:p w14:paraId="12C34EE2" w14:textId="434BC53D" w:rsidR="00D06A59" w:rsidRPr="007F3BA6" w:rsidRDefault="00D06A59" w:rsidP="007F3BA6">
      <w:pPr>
        <w:spacing w:line="360" w:lineRule="auto"/>
        <w:jc w:val="both"/>
        <w:rPr>
          <w:rFonts w:cstheme="minorHAnsi"/>
          <w:noProof/>
        </w:rPr>
      </w:pPr>
      <w:r w:rsidRPr="007F3BA6">
        <w:rPr>
          <w:rFonts w:cstheme="minorHAnsi"/>
          <w:noProof/>
        </w:rPr>
        <w:t>Numerous factors</w:t>
      </w:r>
      <w:r w:rsidR="007F3BA6" w:rsidRPr="007F3BA6">
        <w:rPr>
          <w:rFonts w:cstheme="minorHAnsi"/>
          <w:noProof/>
        </w:rPr>
        <w:t xml:space="preserve"> </w:t>
      </w:r>
      <w:r w:rsidRPr="007F3BA6">
        <w:rPr>
          <w:rFonts w:cstheme="minorHAnsi"/>
          <w:noProof/>
        </w:rPr>
        <w:t>that influ</w:t>
      </w:r>
      <w:r w:rsidR="00D74B05" w:rsidRPr="007F3BA6">
        <w:rPr>
          <w:rFonts w:cstheme="minorHAnsi"/>
          <w:noProof/>
        </w:rPr>
        <w:t>ence the mode and extent of cycle-to-cycle variation</w:t>
      </w:r>
      <w:r w:rsidR="00B73355" w:rsidRPr="007F3BA6">
        <w:rPr>
          <w:rFonts w:cstheme="minorHAnsi"/>
          <w:noProof/>
        </w:rPr>
        <w:t xml:space="preserve"> have been identified. These include </w:t>
      </w:r>
      <w:r w:rsidR="00DD7E7C" w:rsidRPr="007F3BA6">
        <w:rPr>
          <w:rFonts w:cstheme="minorHAnsi"/>
          <w:noProof/>
        </w:rPr>
        <w:t>fluctuations in the following parameters &amp; factors</w:t>
      </w:r>
      <w:r w:rsidR="0065600B" w:rsidRPr="007F3BA6">
        <w:rPr>
          <w:rFonts w:cstheme="minorHAnsi"/>
          <w:noProof/>
        </w:rPr>
        <w:t>:</w:t>
      </w:r>
      <w:r w:rsidR="001E3994" w:rsidRPr="007F3BA6">
        <w:rPr>
          <w:rFonts w:cstheme="minorHAnsi"/>
          <w:noProof/>
        </w:rPr>
        <w:t>[1]</w:t>
      </w:r>
    </w:p>
    <w:p w14:paraId="78D0E8C6" w14:textId="5DD69CF3" w:rsidR="0065600B" w:rsidRPr="007F3BA6" w:rsidRDefault="0065600B" w:rsidP="007F3BA6">
      <w:pPr>
        <w:pStyle w:val="ListParagraph"/>
        <w:numPr>
          <w:ilvl w:val="0"/>
          <w:numId w:val="1"/>
        </w:numPr>
        <w:spacing w:line="360" w:lineRule="auto"/>
        <w:jc w:val="both"/>
        <w:rPr>
          <w:rFonts w:cstheme="minorHAnsi"/>
          <w:noProof/>
        </w:rPr>
      </w:pPr>
      <w:r w:rsidRPr="007F3BA6">
        <w:rPr>
          <w:rFonts w:cstheme="minorHAnsi"/>
          <w:noProof/>
        </w:rPr>
        <w:t>Intake temperature and pressure</w:t>
      </w:r>
    </w:p>
    <w:p w14:paraId="0D500D6B" w14:textId="5BCB7B50" w:rsidR="0065600B" w:rsidRPr="007F3BA6" w:rsidRDefault="00D518DB" w:rsidP="007F3BA6">
      <w:pPr>
        <w:pStyle w:val="ListParagraph"/>
        <w:numPr>
          <w:ilvl w:val="0"/>
          <w:numId w:val="1"/>
        </w:numPr>
        <w:spacing w:line="360" w:lineRule="auto"/>
        <w:jc w:val="both"/>
        <w:rPr>
          <w:rFonts w:cstheme="minorHAnsi"/>
          <w:noProof/>
        </w:rPr>
      </w:pPr>
      <w:r w:rsidRPr="007F3BA6">
        <w:rPr>
          <w:rFonts w:cstheme="minorHAnsi"/>
          <w:noProof/>
        </w:rPr>
        <w:t>Intake air/fuel ratio or fuel flow rate</w:t>
      </w:r>
    </w:p>
    <w:p w14:paraId="28469291" w14:textId="7EA627D6" w:rsidR="00D518DB" w:rsidRPr="007F3BA6" w:rsidRDefault="00E35F01" w:rsidP="007F3BA6">
      <w:pPr>
        <w:pStyle w:val="ListParagraph"/>
        <w:numPr>
          <w:ilvl w:val="0"/>
          <w:numId w:val="1"/>
        </w:numPr>
        <w:spacing w:line="360" w:lineRule="auto"/>
        <w:jc w:val="both"/>
        <w:rPr>
          <w:rFonts w:cstheme="minorHAnsi"/>
          <w:noProof/>
        </w:rPr>
      </w:pPr>
      <w:r w:rsidRPr="007F3BA6">
        <w:rPr>
          <w:rFonts w:cstheme="minorHAnsi"/>
          <w:noProof/>
        </w:rPr>
        <w:t>Coolant and lubrication oil temperatures</w:t>
      </w:r>
    </w:p>
    <w:p w14:paraId="475336BA" w14:textId="627212FE" w:rsidR="00E35F01" w:rsidRPr="007F3BA6" w:rsidRDefault="00800B1C" w:rsidP="007F3BA6">
      <w:pPr>
        <w:pStyle w:val="ListParagraph"/>
        <w:numPr>
          <w:ilvl w:val="0"/>
          <w:numId w:val="1"/>
        </w:numPr>
        <w:spacing w:line="360" w:lineRule="auto"/>
        <w:jc w:val="both"/>
        <w:rPr>
          <w:rFonts w:cstheme="minorHAnsi"/>
          <w:noProof/>
        </w:rPr>
      </w:pPr>
      <w:r w:rsidRPr="007F3BA6">
        <w:rPr>
          <w:rFonts w:cstheme="minorHAnsi"/>
          <w:noProof/>
        </w:rPr>
        <w:t>The completeness of combustion in the preceding cycle</w:t>
      </w:r>
    </w:p>
    <w:p w14:paraId="4D4F81D3" w14:textId="07C2CFD0" w:rsidR="00943253" w:rsidRPr="007F3BA6" w:rsidRDefault="00943253" w:rsidP="007F3BA6">
      <w:pPr>
        <w:pStyle w:val="ListParagraph"/>
        <w:numPr>
          <w:ilvl w:val="0"/>
          <w:numId w:val="1"/>
        </w:numPr>
        <w:spacing w:line="360" w:lineRule="auto"/>
        <w:jc w:val="both"/>
        <w:rPr>
          <w:rFonts w:cstheme="minorHAnsi"/>
          <w:noProof/>
        </w:rPr>
      </w:pPr>
      <w:r w:rsidRPr="007F3BA6">
        <w:rPr>
          <w:rFonts w:cstheme="minorHAnsi"/>
          <w:noProof/>
        </w:rPr>
        <w:t>Fuel mixing system</w:t>
      </w:r>
    </w:p>
    <w:p w14:paraId="65037FD7" w14:textId="485548BA" w:rsidR="00590577" w:rsidRPr="007F3BA6" w:rsidRDefault="00590577" w:rsidP="007F3BA6">
      <w:pPr>
        <w:spacing w:line="360" w:lineRule="auto"/>
        <w:jc w:val="both"/>
        <w:rPr>
          <w:rFonts w:cstheme="minorHAnsi"/>
        </w:rPr>
      </w:pPr>
      <w:r w:rsidRPr="007F3BA6">
        <w:rPr>
          <w:rFonts w:cstheme="minorHAnsi"/>
        </w:rPr>
        <w:t>Combustion efficiency is calculated by the proportion of the total released energy to the total energy delivered to the cylinder between the start and end of combustion</w:t>
      </w:r>
      <w:r w:rsidR="00A30575" w:rsidRPr="007F3BA6">
        <w:rPr>
          <w:rFonts w:cstheme="minorHAnsi"/>
        </w:rPr>
        <w:t xml:space="preserve"> </w:t>
      </w:r>
      <w:r w:rsidR="00B409EB" w:rsidRPr="007F3BA6">
        <w:rPr>
          <w:rFonts w:cstheme="minorHAnsi"/>
        </w:rPr>
        <w:t>[2]</w:t>
      </w:r>
      <w:r w:rsidRPr="007F3BA6">
        <w:rPr>
          <w:rFonts w:cstheme="minorHAnsi"/>
        </w:rPr>
        <w:t>.</w:t>
      </w:r>
      <w:r w:rsidR="00211D11" w:rsidRPr="007F3BA6">
        <w:rPr>
          <w:rFonts w:cstheme="minorHAnsi"/>
        </w:rPr>
        <w:t xml:space="preserve"> The start of combustion of charge mixture can be determined via the second derivative of cylinder pressure value which rises from negative to positive values.</w:t>
      </w:r>
    </w:p>
    <w:p w14:paraId="0DB5EBDD" w14:textId="0B40D5D2" w:rsidR="003B7D92" w:rsidRDefault="003B7D92" w:rsidP="008C41AA">
      <w:pPr>
        <w:spacing w:line="360" w:lineRule="auto"/>
        <w:rPr>
          <w:rFonts w:ascii="Arial" w:hAnsi="Arial" w:cs="Arial"/>
          <w:noProof/>
        </w:rPr>
      </w:pPr>
    </w:p>
    <w:p w14:paraId="67450284" w14:textId="5D7E7C03" w:rsidR="003B7D92" w:rsidRDefault="003B7D92" w:rsidP="008C41AA">
      <w:pPr>
        <w:spacing w:line="360" w:lineRule="auto"/>
        <w:rPr>
          <w:rFonts w:ascii="Arial" w:hAnsi="Arial" w:cs="Arial"/>
          <w:noProof/>
        </w:rPr>
      </w:pPr>
    </w:p>
    <w:p w14:paraId="586854CF" w14:textId="358A5B3F" w:rsidR="003B7D92" w:rsidRDefault="003B7D92" w:rsidP="008C41AA">
      <w:pPr>
        <w:spacing w:line="360" w:lineRule="auto"/>
        <w:rPr>
          <w:rFonts w:ascii="Arial" w:hAnsi="Arial" w:cs="Arial"/>
          <w:noProof/>
        </w:rPr>
      </w:pPr>
    </w:p>
    <w:p w14:paraId="17DB55C2" w14:textId="5475AD18" w:rsidR="003B7D92" w:rsidRDefault="003B7D92" w:rsidP="008C41AA">
      <w:pPr>
        <w:spacing w:line="360" w:lineRule="auto"/>
        <w:rPr>
          <w:rFonts w:ascii="Arial" w:hAnsi="Arial" w:cs="Arial"/>
          <w:noProof/>
        </w:rPr>
      </w:pPr>
    </w:p>
    <w:p w14:paraId="417E65B5" w14:textId="2910B17D" w:rsidR="003B7D92" w:rsidRDefault="003B7D92" w:rsidP="008C41AA">
      <w:pPr>
        <w:spacing w:line="360" w:lineRule="auto"/>
        <w:rPr>
          <w:rFonts w:ascii="Arial" w:hAnsi="Arial" w:cs="Arial"/>
          <w:noProof/>
        </w:rPr>
      </w:pPr>
    </w:p>
    <w:p w14:paraId="2A6A6059" w14:textId="77777777" w:rsidR="00E63B2C" w:rsidRDefault="00E63B2C" w:rsidP="008C41AA">
      <w:pPr>
        <w:spacing w:line="360" w:lineRule="auto"/>
        <w:rPr>
          <w:rFonts w:ascii="Arial" w:hAnsi="Arial" w:cs="Arial"/>
          <w:noProof/>
        </w:rPr>
      </w:pPr>
    </w:p>
    <w:p w14:paraId="37DC9254" w14:textId="6664219D" w:rsidR="002763AF" w:rsidRPr="002763AF" w:rsidRDefault="00682819" w:rsidP="008C41AA">
      <w:pPr>
        <w:spacing w:line="360" w:lineRule="auto"/>
        <w:rPr>
          <w:rFonts w:ascii="Arial" w:hAnsi="Arial" w:cs="Arial"/>
          <w:b/>
          <w:bCs/>
          <w:noProof/>
          <w:u w:val="single"/>
        </w:rPr>
      </w:pPr>
      <w:r w:rsidRPr="002763AF">
        <w:rPr>
          <w:rFonts w:ascii="Arial" w:hAnsi="Arial" w:cs="Arial"/>
          <w:b/>
          <w:bCs/>
          <w:noProof/>
          <w:u w:val="single"/>
        </w:rPr>
        <w:lastRenderedPageBreak/>
        <w:t>Given Data:</w:t>
      </w:r>
    </w:p>
    <w:tbl>
      <w:tblPr>
        <w:tblStyle w:val="TableGrid"/>
        <w:tblW w:w="0" w:type="auto"/>
        <w:jc w:val="center"/>
        <w:tblLook w:val="04A0" w:firstRow="1" w:lastRow="0" w:firstColumn="1" w:lastColumn="0" w:noHBand="0" w:noVBand="1"/>
      </w:tblPr>
      <w:tblGrid>
        <w:gridCol w:w="2333"/>
        <w:gridCol w:w="2333"/>
      </w:tblGrid>
      <w:tr w:rsidR="00093F84" w14:paraId="5A4D0353" w14:textId="77777777" w:rsidTr="00E63B2C">
        <w:trPr>
          <w:trHeight w:val="364"/>
          <w:jc w:val="center"/>
        </w:trPr>
        <w:tc>
          <w:tcPr>
            <w:tcW w:w="2333" w:type="dxa"/>
          </w:tcPr>
          <w:p w14:paraId="7097F3A1" w14:textId="4FCA7FFE" w:rsidR="00093F84" w:rsidRDefault="00435287" w:rsidP="002763AF">
            <w:pPr>
              <w:spacing w:line="360" w:lineRule="auto"/>
              <w:jc w:val="center"/>
              <w:rPr>
                <w:rFonts w:ascii="Arial" w:hAnsi="Arial" w:cs="Arial"/>
                <w:noProof/>
              </w:rPr>
            </w:pPr>
            <w:r>
              <w:rPr>
                <w:rFonts w:ascii="Arial" w:hAnsi="Arial" w:cs="Arial"/>
                <w:noProof/>
              </w:rPr>
              <w:t>Compression Ratio</w:t>
            </w:r>
          </w:p>
        </w:tc>
        <w:tc>
          <w:tcPr>
            <w:tcW w:w="2333" w:type="dxa"/>
          </w:tcPr>
          <w:p w14:paraId="106A5509" w14:textId="227A8879" w:rsidR="00093F84" w:rsidRDefault="002763AF" w:rsidP="002763AF">
            <w:pPr>
              <w:spacing w:line="360" w:lineRule="auto"/>
              <w:jc w:val="center"/>
              <w:rPr>
                <w:rFonts w:ascii="Arial" w:hAnsi="Arial" w:cs="Arial"/>
                <w:noProof/>
              </w:rPr>
            </w:pPr>
            <w:r>
              <w:rPr>
                <w:rFonts w:ascii="Arial" w:hAnsi="Arial" w:cs="Arial"/>
                <w:noProof/>
              </w:rPr>
              <w:t>10:1</w:t>
            </w:r>
          </w:p>
        </w:tc>
      </w:tr>
      <w:tr w:rsidR="00093F84" w14:paraId="51B252BA" w14:textId="77777777" w:rsidTr="00E63B2C">
        <w:trPr>
          <w:trHeight w:val="364"/>
          <w:jc w:val="center"/>
        </w:trPr>
        <w:tc>
          <w:tcPr>
            <w:tcW w:w="2333" w:type="dxa"/>
          </w:tcPr>
          <w:p w14:paraId="578564D0" w14:textId="56A877E6" w:rsidR="00093F84" w:rsidRDefault="00435287" w:rsidP="002763AF">
            <w:pPr>
              <w:spacing w:line="360" w:lineRule="auto"/>
              <w:jc w:val="center"/>
              <w:rPr>
                <w:rFonts w:ascii="Arial" w:hAnsi="Arial" w:cs="Arial"/>
                <w:noProof/>
              </w:rPr>
            </w:pPr>
            <w:r>
              <w:rPr>
                <w:rFonts w:ascii="Arial" w:hAnsi="Arial" w:cs="Arial"/>
                <w:noProof/>
              </w:rPr>
              <w:t>Bore</w:t>
            </w:r>
          </w:p>
        </w:tc>
        <w:tc>
          <w:tcPr>
            <w:tcW w:w="2333" w:type="dxa"/>
          </w:tcPr>
          <w:p w14:paraId="33795B5A" w14:textId="664507A1" w:rsidR="00093F84" w:rsidRDefault="002763AF" w:rsidP="002763AF">
            <w:pPr>
              <w:spacing w:line="360" w:lineRule="auto"/>
              <w:jc w:val="center"/>
              <w:rPr>
                <w:rFonts w:ascii="Arial" w:hAnsi="Arial" w:cs="Arial"/>
                <w:noProof/>
              </w:rPr>
            </w:pPr>
            <w:r>
              <w:rPr>
                <w:rFonts w:ascii="Arial" w:hAnsi="Arial" w:cs="Arial"/>
                <w:noProof/>
              </w:rPr>
              <w:t>90 mm</w:t>
            </w:r>
          </w:p>
        </w:tc>
      </w:tr>
      <w:tr w:rsidR="00093F84" w14:paraId="2E149C62" w14:textId="77777777" w:rsidTr="00E63B2C">
        <w:trPr>
          <w:trHeight w:val="364"/>
          <w:jc w:val="center"/>
        </w:trPr>
        <w:tc>
          <w:tcPr>
            <w:tcW w:w="2333" w:type="dxa"/>
          </w:tcPr>
          <w:p w14:paraId="411C8AE7" w14:textId="6BA5FFF1" w:rsidR="00093F84" w:rsidRDefault="00435287" w:rsidP="002763AF">
            <w:pPr>
              <w:spacing w:line="360" w:lineRule="auto"/>
              <w:jc w:val="center"/>
              <w:rPr>
                <w:rFonts w:ascii="Arial" w:hAnsi="Arial" w:cs="Arial"/>
                <w:noProof/>
              </w:rPr>
            </w:pPr>
            <w:r>
              <w:rPr>
                <w:rFonts w:ascii="Arial" w:hAnsi="Arial" w:cs="Arial"/>
                <w:noProof/>
              </w:rPr>
              <w:t>Stroke</w:t>
            </w:r>
          </w:p>
        </w:tc>
        <w:tc>
          <w:tcPr>
            <w:tcW w:w="2333" w:type="dxa"/>
          </w:tcPr>
          <w:p w14:paraId="7F0997E1" w14:textId="30FB27FA" w:rsidR="00093F84" w:rsidRDefault="002763AF" w:rsidP="002763AF">
            <w:pPr>
              <w:spacing w:line="360" w:lineRule="auto"/>
              <w:jc w:val="center"/>
              <w:rPr>
                <w:rFonts w:ascii="Arial" w:hAnsi="Arial" w:cs="Arial"/>
                <w:noProof/>
              </w:rPr>
            </w:pPr>
            <w:r>
              <w:rPr>
                <w:rFonts w:ascii="Arial" w:hAnsi="Arial" w:cs="Arial"/>
                <w:noProof/>
              </w:rPr>
              <w:t>90 mm</w:t>
            </w:r>
          </w:p>
        </w:tc>
      </w:tr>
      <w:tr w:rsidR="00435287" w14:paraId="429F8B7E" w14:textId="77777777" w:rsidTr="00E63B2C">
        <w:trPr>
          <w:trHeight w:val="127"/>
          <w:jc w:val="center"/>
        </w:trPr>
        <w:tc>
          <w:tcPr>
            <w:tcW w:w="2333" w:type="dxa"/>
          </w:tcPr>
          <w:p w14:paraId="2FC681CE" w14:textId="48E3E669" w:rsidR="00435287" w:rsidRDefault="00435287" w:rsidP="002763AF">
            <w:pPr>
              <w:spacing w:line="360" w:lineRule="auto"/>
              <w:jc w:val="center"/>
              <w:rPr>
                <w:rFonts w:ascii="Arial" w:hAnsi="Arial" w:cs="Arial"/>
                <w:noProof/>
              </w:rPr>
            </w:pPr>
            <w:r>
              <w:rPr>
                <w:rFonts w:ascii="Arial" w:hAnsi="Arial" w:cs="Arial"/>
                <w:noProof/>
              </w:rPr>
              <w:t>l/a</w:t>
            </w:r>
          </w:p>
        </w:tc>
        <w:tc>
          <w:tcPr>
            <w:tcW w:w="2333" w:type="dxa"/>
          </w:tcPr>
          <w:p w14:paraId="6D6E7C32" w14:textId="175A80D2" w:rsidR="00435287" w:rsidRDefault="002763AF" w:rsidP="002763AF">
            <w:pPr>
              <w:spacing w:line="360" w:lineRule="auto"/>
              <w:jc w:val="center"/>
              <w:rPr>
                <w:rFonts w:ascii="Arial" w:hAnsi="Arial" w:cs="Arial"/>
                <w:noProof/>
              </w:rPr>
            </w:pPr>
            <w:r>
              <w:rPr>
                <w:rFonts w:ascii="Arial" w:hAnsi="Arial" w:cs="Arial"/>
                <w:noProof/>
              </w:rPr>
              <w:t>3.2</w:t>
            </w:r>
          </w:p>
        </w:tc>
      </w:tr>
    </w:tbl>
    <w:p w14:paraId="6FE25FC8" w14:textId="5D824F71" w:rsidR="002763AF" w:rsidRDefault="002763AF" w:rsidP="007F3BA6">
      <w:pPr>
        <w:spacing w:line="360" w:lineRule="auto"/>
        <w:jc w:val="both"/>
        <w:rPr>
          <w:rFonts w:ascii="Arial" w:hAnsi="Arial" w:cs="Arial"/>
          <w:noProof/>
        </w:rPr>
      </w:pPr>
    </w:p>
    <w:p w14:paraId="4BA20DFF" w14:textId="0BB6879C" w:rsidR="004A0276" w:rsidRPr="007F3BA6" w:rsidRDefault="004A0276" w:rsidP="00960A86">
      <w:pPr>
        <w:pStyle w:val="ListParagraph"/>
        <w:numPr>
          <w:ilvl w:val="0"/>
          <w:numId w:val="3"/>
        </w:numPr>
        <w:spacing w:line="360" w:lineRule="auto"/>
        <w:ind w:left="0" w:hanging="284"/>
        <w:jc w:val="both"/>
        <w:rPr>
          <w:rFonts w:cstheme="minorHAnsi"/>
          <w:noProof/>
        </w:rPr>
      </w:pPr>
      <w:r w:rsidRPr="007F3BA6">
        <w:rPr>
          <w:rFonts w:cstheme="minorHAnsi"/>
        </w:rPr>
        <w:t xml:space="preserve">PV diagram (pressure in </w:t>
      </w:r>
      <w:r w:rsidR="007F3BA6" w:rsidRPr="007F3BA6">
        <w:rPr>
          <w:rFonts w:cstheme="minorHAnsi"/>
        </w:rPr>
        <w:t xml:space="preserve">a </w:t>
      </w:r>
      <w:r w:rsidRPr="007F3BA6">
        <w:rPr>
          <w:rFonts w:cstheme="minorHAnsi"/>
        </w:rPr>
        <w:t xml:space="preserve">bar vs volume in liter) (program a </w:t>
      </w:r>
      <w:r w:rsidR="007F3BA6" w:rsidRPr="007F3BA6">
        <w:rPr>
          <w:rFonts w:cstheme="minorHAnsi"/>
        </w:rPr>
        <w:t>1-sec</w:t>
      </w:r>
      <w:r w:rsidRPr="007F3BA6">
        <w:rPr>
          <w:rFonts w:cstheme="minorHAnsi"/>
        </w:rPr>
        <w:t xml:space="preserve"> delay between consecutive cycles)</w:t>
      </w:r>
    </w:p>
    <w:p w14:paraId="54F997A4" w14:textId="073246F7" w:rsidR="004A0276" w:rsidRDefault="00F6742A" w:rsidP="007F3BA6">
      <w:pPr>
        <w:spacing w:line="360" w:lineRule="auto"/>
        <w:jc w:val="center"/>
        <w:rPr>
          <w:rFonts w:ascii="Arial" w:hAnsi="Arial" w:cs="Arial"/>
          <w:noProof/>
        </w:rPr>
      </w:pPr>
      <w:r>
        <w:rPr>
          <w:noProof/>
        </w:rPr>
        <w:drawing>
          <wp:inline distT="0" distB="0" distL="0" distR="0" wp14:anchorId="7D0E5CAF" wp14:editId="1E4CE678">
            <wp:extent cx="4603750" cy="3143250"/>
            <wp:effectExtent l="0" t="0" r="635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3750" cy="3143250"/>
                    </a:xfrm>
                    <a:prstGeom prst="rect">
                      <a:avLst/>
                    </a:prstGeom>
                    <a:noFill/>
                    <a:ln>
                      <a:noFill/>
                    </a:ln>
                  </pic:spPr>
                </pic:pic>
              </a:graphicData>
            </a:graphic>
          </wp:inline>
        </w:drawing>
      </w:r>
    </w:p>
    <w:p w14:paraId="336C00F4" w14:textId="524E7773" w:rsidR="004A0276" w:rsidRPr="007F3BA6" w:rsidRDefault="00E63B2C" w:rsidP="00960A86">
      <w:pPr>
        <w:pStyle w:val="ListParagraph"/>
        <w:numPr>
          <w:ilvl w:val="0"/>
          <w:numId w:val="3"/>
        </w:numPr>
        <w:spacing w:line="360" w:lineRule="auto"/>
        <w:ind w:left="-142" w:hanging="284"/>
        <w:jc w:val="both"/>
        <w:rPr>
          <w:rFonts w:ascii="Arial" w:hAnsi="Arial" w:cs="Arial"/>
          <w:noProof/>
        </w:rPr>
      </w:pPr>
      <w:r>
        <w:t xml:space="preserve"> Graphs for </w:t>
      </w:r>
      <w:r w:rsidR="00A26A20">
        <w:t>Maximum cylinder pressure and its crank angle, maximum rate of pressure rise and its crank angle, and net IMEP</w:t>
      </w:r>
      <w:r>
        <w:t xml:space="preserve"> are plotted below respectively.</w:t>
      </w:r>
    </w:p>
    <w:p w14:paraId="06613ADA" w14:textId="0A04FA72" w:rsidR="002153E0" w:rsidRDefault="00E63B2C" w:rsidP="00E63B2C">
      <w:pPr>
        <w:pStyle w:val="ListParagraph"/>
        <w:spacing w:line="360" w:lineRule="auto"/>
        <w:ind w:left="1440"/>
      </w:pPr>
      <w:r>
        <w:rPr>
          <w:noProof/>
        </w:rPr>
        <w:drawing>
          <wp:inline distT="0" distB="0" distL="0" distR="0" wp14:anchorId="78839603" wp14:editId="1B71030D">
            <wp:extent cx="4222750" cy="2218055"/>
            <wp:effectExtent l="0" t="0" r="635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755" cy="2242745"/>
                    </a:xfrm>
                    <a:prstGeom prst="rect">
                      <a:avLst/>
                    </a:prstGeom>
                    <a:noFill/>
                    <a:ln>
                      <a:noFill/>
                    </a:ln>
                  </pic:spPr>
                </pic:pic>
              </a:graphicData>
            </a:graphic>
          </wp:inline>
        </w:drawing>
      </w:r>
    </w:p>
    <w:p w14:paraId="7E69B7A9" w14:textId="3259E1C2" w:rsidR="00C60446" w:rsidRPr="00960A86" w:rsidRDefault="00E63B2C" w:rsidP="00960A86">
      <w:pPr>
        <w:pStyle w:val="ListParagraph"/>
        <w:spacing w:line="360" w:lineRule="auto"/>
        <w:ind w:left="1440"/>
        <w:rPr>
          <w:rFonts w:ascii="Arial" w:hAnsi="Arial" w:cs="Arial"/>
          <w:noProof/>
        </w:rPr>
      </w:pPr>
      <w:r>
        <w:rPr>
          <w:noProof/>
        </w:rPr>
        <w:lastRenderedPageBreak/>
        <w:drawing>
          <wp:inline distT="0" distB="0" distL="0" distR="0" wp14:anchorId="1DFE467D" wp14:editId="5B7291CC">
            <wp:extent cx="4495799" cy="2209800"/>
            <wp:effectExtent l="0" t="0" r="63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903" cy="2213292"/>
                    </a:xfrm>
                    <a:prstGeom prst="rect">
                      <a:avLst/>
                    </a:prstGeom>
                    <a:noFill/>
                    <a:ln>
                      <a:noFill/>
                    </a:ln>
                  </pic:spPr>
                </pic:pic>
              </a:graphicData>
            </a:graphic>
          </wp:inline>
        </w:drawing>
      </w:r>
    </w:p>
    <w:p w14:paraId="6CA4C940" w14:textId="4F4829BB" w:rsidR="00960A86" w:rsidRPr="00EE771A" w:rsidRDefault="00E63B2C" w:rsidP="00EE771A">
      <w:pPr>
        <w:pStyle w:val="ListParagraph"/>
        <w:spacing w:line="360" w:lineRule="auto"/>
        <w:ind w:left="1440"/>
        <w:jc w:val="center"/>
        <w:rPr>
          <w:rFonts w:cstheme="minorHAnsi"/>
          <w:noProof/>
        </w:rPr>
      </w:pPr>
      <w:r w:rsidRPr="00960A86">
        <w:rPr>
          <w:rFonts w:cstheme="minorHAnsi"/>
          <w:noProof/>
        </w:rPr>
        <w:t xml:space="preserve">Figure 3:Crank angles per </w:t>
      </w:r>
      <w:r w:rsidR="00960A86" w:rsidRPr="00960A86">
        <w:rPr>
          <w:rFonts w:cstheme="minorHAnsi"/>
          <w:noProof/>
        </w:rPr>
        <w:t>cycle</w:t>
      </w:r>
      <w:r w:rsidRPr="00960A86">
        <w:rPr>
          <w:rFonts w:cstheme="minorHAnsi"/>
          <w:noProof/>
        </w:rPr>
        <w:t xml:space="preserve"> for maximum pressure. </w:t>
      </w:r>
    </w:p>
    <w:p w14:paraId="47ECAF3A" w14:textId="1819CD10" w:rsidR="00960A86" w:rsidRPr="00960A86" w:rsidRDefault="00960A86" w:rsidP="00960A86">
      <w:pPr>
        <w:pStyle w:val="ListParagraph"/>
        <w:spacing w:line="360" w:lineRule="auto"/>
        <w:ind w:left="1440"/>
        <w:rPr>
          <w:rFonts w:cstheme="minorHAnsi"/>
          <w:noProof/>
        </w:rPr>
      </w:pPr>
      <w:r>
        <w:rPr>
          <w:noProof/>
        </w:rPr>
        <w:drawing>
          <wp:inline distT="0" distB="0" distL="0" distR="0" wp14:anchorId="691EA134" wp14:editId="283C786E">
            <wp:extent cx="4273550" cy="2377969"/>
            <wp:effectExtent l="0" t="0" r="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8260" cy="2380590"/>
                    </a:xfrm>
                    <a:prstGeom prst="rect">
                      <a:avLst/>
                    </a:prstGeom>
                    <a:noFill/>
                    <a:ln>
                      <a:noFill/>
                    </a:ln>
                  </pic:spPr>
                </pic:pic>
              </a:graphicData>
            </a:graphic>
          </wp:inline>
        </w:drawing>
      </w:r>
    </w:p>
    <w:p w14:paraId="4BA772C6" w14:textId="789954F6" w:rsidR="00137D6C" w:rsidRPr="00EE771A" w:rsidRDefault="00960A86" w:rsidP="00EE771A">
      <w:pPr>
        <w:pStyle w:val="ListParagraph"/>
        <w:spacing w:line="360" w:lineRule="auto"/>
        <w:ind w:left="1440"/>
        <w:jc w:val="center"/>
        <w:rPr>
          <w:rFonts w:cstheme="minorHAnsi"/>
          <w:noProof/>
        </w:rPr>
      </w:pPr>
      <w:r>
        <w:rPr>
          <w:rFonts w:cstheme="minorHAnsi"/>
          <w:noProof/>
        </w:rPr>
        <w:t>Figure 4:  Maximum rate of pressure rise per cycle.</w:t>
      </w:r>
    </w:p>
    <w:p w14:paraId="60334540" w14:textId="0115E79E" w:rsidR="00137D6C" w:rsidRDefault="00137D6C" w:rsidP="00960A86">
      <w:pPr>
        <w:pStyle w:val="ListParagraph"/>
        <w:spacing w:line="360" w:lineRule="auto"/>
        <w:ind w:left="1440"/>
        <w:jc w:val="center"/>
        <w:rPr>
          <w:rFonts w:cstheme="minorHAnsi"/>
          <w:noProof/>
        </w:rPr>
      </w:pPr>
    </w:p>
    <w:p w14:paraId="2A2C725F" w14:textId="77777777" w:rsidR="00137D6C" w:rsidRDefault="00137D6C" w:rsidP="00EE771A">
      <w:pPr>
        <w:pStyle w:val="ListParagraph"/>
        <w:spacing w:line="360" w:lineRule="auto"/>
        <w:ind w:left="1440"/>
        <w:rPr>
          <w:rFonts w:cstheme="minorHAnsi"/>
          <w:noProof/>
        </w:rPr>
      </w:pPr>
      <w:r>
        <w:rPr>
          <w:noProof/>
        </w:rPr>
        <w:drawing>
          <wp:inline distT="0" distB="0" distL="0" distR="0" wp14:anchorId="3B1559A0" wp14:editId="41DC2B44">
            <wp:extent cx="4569615" cy="2165350"/>
            <wp:effectExtent l="0" t="0" r="2540" b="635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3331" cy="2167111"/>
                    </a:xfrm>
                    <a:prstGeom prst="rect">
                      <a:avLst/>
                    </a:prstGeom>
                    <a:noFill/>
                    <a:ln>
                      <a:noFill/>
                    </a:ln>
                  </pic:spPr>
                </pic:pic>
              </a:graphicData>
            </a:graphic>
          </wp:inline>
        </w:drawing>
      </w:r>
    </w:p>
    <w:p w14:paraId="73089C97" w14:textId="77777777" w:rsidR="00EE771A" w:rsidRDefault="00EE771A" w:rsidP="00EE771A">
      <w:pPr>
        <w:pStyle w:val="ListParagraph"/>
        <w:spacing w:line="360" w:lineRule="auto"/>
        <w:ind w:left="1440"/>
        <w:rPr>
          <w:rFonts w:cstheme="minorHAnsi"/>
          <w:noProof/>
        </w:rPr>
      </w:pPr>
    </w:p>
    <w:p w14:paraId="62A6A0E7" w14:textId="11084E0D" w:rsidR="00EE771A" w:rsidRPr="00960A86" w:rsidRDefault="00EE771A" w:rsidP="00EE771A">
      <w:pPr>
        <w:pStyle w:val="ListParagraph"/>
        <w:spacing w:line="360" w:lineRule="auto"/>
        <w:ind w:left="1440"/>
        <w:jc w:val="center"/>
        <w:rPr>
          <w:rFonts w:cstheme="minorHAnsi"/>
          <w:noProof/>
        </w:rPr>
        <w:sectPr w:rsidR="00EE771A" w:rsidRPr="00960A86" w:rsidSect="002D04B5">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r>
        <w:rPr>
          <w:rFonts w:cstheme="minorHAnsi"/>
          <w:noProof/>
        </w:rPr>
        <w:t>Figure 5: Crank angles per cycle for max. rate of pressure rise</w:t>
      </w:r>
    </w:p>
    <w:p w14:paraId="2D77AACA" w14:textId="598EBD92" w:rsidR="00C60446" w:rsidRPr="00960A86" w:rsidRDefault="00C60446" w:rsidP="00C60446">
      <w:pPr>
        <w:pStyle w:val="ListParagraph"/>
        <w:spacing w:line="360" w:lineRule="auto"/>
        <w:ind w:left="1440"/>
        <w:jc w:val="center"/>
        <w:rPr>
          <w:rFonts w:cstheme="minorHAnsi"/>
          <w:noProof/>
        </w:rPr>
        <w:sectPr w:rsidR="00C60446" w:rsidRPr="00960A86" w:rsidSect="002D04B5">
          <w:type w:val="continuous"/>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pPr>
    </w:p>
    <w:p w14:paraId="402ACB5B" w14:textId="61268900" w:rsidR="0098421E" w:rsidRPr="00661102" w:rsidRDefault="0098421E" w:rsidP="00661102">
      <w:pPr>
        <w:pStyle w:val="ListParagraph"/>
        <w:numPr>
          <w:ilvl w:val="0"/>
          <w:numId w:val="3"/>
        </w:numPr>
        <w:spacing w:line="360" w:lineRule="auto"/>
        <w:ind w:left="284" w:hanging="284"/>
        <w:rPr>
          <w:rFonts w:cstheme="minorHAnsi"/>
          <w:noProof/>
        </w:rPr>
      </w:pPr>
      <w:r>
        <w:rPr>
          <w:rFonts w:cstheme="minorHAnsi"/>
          <w:noProof/>
        </w:rPr>
        <w:lastRenderedPageBreak/>
        <w:t>Net IMEP:</w:t>
      </w:r>
      <w:r w:rsidR="000D77A4">
        <w:rPr>
          <w:rFonts w:cstheme="minorHAnsi"/>
          <w:noProof/>
        </w:rPr>
        <w:t xml:space="preserve"> </w:t>
      </w:r>
      <w:r w:rsidR="000D77A4">
        <w:rPr>
          <w:noProof/>
        </w:rPr>
        <w:drawing>
          <wp:inline distT="0" distB="0" distL="0" distR="0" wp14:anchorId="6AF6BCCF" wp14:editId="39B7E757">
            <wp:extent cx="4679950" cy="1981200"/>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9950" cy="1981200"/>
                    </a:xfrm>
                    <a:prstGeom prst="rect">
                      <a:avLst/>
                    </a:prstGeom>
                    <a:noFill/>
                    <a:ln>
                      <a:noFill/>
                    </a:ln>
                  </pic:spPr>
                </pic:pic>
              </a:graphicData>
            </a:graphic>
          </wp:inline>
        </w:drawing>
      </w:r>
    </w:p>
    <w:p w14:paraId="73C5E15B" w14:textId="712381DA" w:rsidR="002821C3" w:rsidRDefault="002030FB" w:rsidP="002821C3">
      <w:pPr>
        <w:pStyle w:val="ListParagraph"/>
        <w:numPr>
          <w:ilvl w:val="0"/>
          <w:numId w:val="3"/>
        </w:numPr>
        <w:spacing w:line="360" w:lineRule="auto"/>
        <w:ind w:left="284" w:hanging="284"/>
        <w:rPr>
          <w:rFonts w:cstheme="minorHAnsi"/>
          <w:noProof/>
        </w:rPr>
      </w:pPr>
      <w:r w:rsidRPr="002821C3">
        <w:rPr>
          <w:rFonts w:cstheme="minorHAnsi"/>
          <w:noProof/>
        </w:rPr>
        <w:t>Coefficient of variation</w:t>
      </w:r>
      <w:r w:rsidR="002821C3" w:rsidRPr="002821C3">
        <w:rPr>
          <w:rFonts w:cstheme="minorHAnsi"/>
          <w:noProof/>
        </w:rPr>
        <w:t>: A statistical measure of the relative dispersion of data points in a data series around the mean is the coefficient of variation (CV).</w:t>
      </w:r>
    </w:p>
    <w:p w14:paraId="6685B9C8" w14:textId="4CEF1882" w:rsidR="000D77A4" w:rsidRPr="00661102" w:rsidRDefault="002821C3" w:rsidP="00661102">
      <w:pPr>
        <w:pStyle w:val="ListParagraph"/>
        <w:spacing w:line="360" w:lineRule="auto"/>
        <w:ind w:left="284"/>
        <w:jc w:val="center"/>
        <w:rPr>
          <w:rFonts w:eastAsiaTheme="minorEastAsia" w:cstheme="minorHAnsi"/>
          <w:noProof/>
          <w:sz w:val="36"/>
          <w:szCs w:val="36"/>
        </w:rPr>
      </w:pPr>
      <m:oMath>
        <m:r>
          <w:rPr>
            <w:rFonts w:ascii="Cambria Math" w:eastAsiaTheme="minorEastAsia" w:hAnsi="Cambria Math" w:cstheme="minorHAnsi"/>
            <w:noProof/>
            <w:sz w:val="36"/>
            <w:szCs w:val="36"/>
          </w:rPr>
          <m:t>COV</m:t>
        </m:r>
      </m:oMath>
      <w:r w:rsidRPr="000D77A4">
        <w:rPr>
          <w:rFonts w:eastAsiaTheme="minorEastAsia" w:cstheme="minorHAnsi"/>
          <w:noProof/>
          <w:sz w:val="36"/>
          <w:szCs w:val="36"/>
        </w:rPr>
        <w:t>=</w:t>
      </w:r>
      <m:oMath>
        <m:f>
          <m:fPr>
            <m:ctrlPr>
              <w:rPr>
                <w:rFonts w:ascii="Cambria Math" w:hAnsi="Cambria Math" w:cstheme="minorHAnsi"/>
                <w:i/>
                <w:noProof/>
                <w:sz w:val="36"/>
                <w:szCs w:val="36"/>
              </w:rPr>
            </m:ctrlPr>
          </m:fPr>
          <m:num>
            <m:r>
              <w:rPr>
                <w:rFonts w:ascii="Cambria Math" w:hAnsi="Cambria Math" w:cstheme="minorHAnsi"/>
                <w:noProof/>
                <w:sz w:val="36"/>
                <w:szCs w:val="36"/>
              </w:rPr>
              <m:t xml:space="preserve"> σ</m:t>
            </m:r>
          </m:num>
          <m:den>
            <m:r>
              <w:rPr>
                <w:rFonts w:ascii="Cambria Math" w:hAnsi="Cambria Math" w:cstheme="minorHAnsi"/>
                <w:noProof/>
                <w:sz w:val="36"/>
                <w:szCs w:val="36"/>
              </w:rPr>
              <m:t>X bar</m:t>
            </m:r>
          </m:den>
        </m:f>
      </m:oMath>
    </w:p>
    <w:p w14:paraId="4208D342" w14:textId="3AE9DBE9" w:rsidR="00C60446" w:rsidRPr="00A26A20" w:rsidRDefault="00661102" w:rsidP="00661102">
      <w:pPr>
        <w:pStyle w:val="ListParagraph"/>
        <w:spacing w:line="360" w:lineRule="auto"/>
        <w:ind w:left="1440"/>
        <w:rPr>
          <w:rFonts w:ascii="Arial" w:hAnsi="Arial" w:cs="Arial"/>
          <w:noProof/>
        </w:rPr>
      </w:pPr>
      <w:r>
        <w:rPr>
          <w:noProof/>
        </w:rPr>
        <w:drawing>
          <wp:inline distT="0" distB="0" distL="0" distR="0" wp14:anchorId="38A63E94" wp14:editId="32BA49CB">
            <wp:extent cx="4260850" cy="2362200"/>
            <wp:effectExtent l="0" t="0" r="635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0850" cy="2362200"/>
                    </a:xfrm>
                    <a:prstGeom prst="rect">
                      <a:avLst/>
                    </a:prstGeom>
                    <a:noFill/>
                    <a:ln>
                      <a:noFill/>
                    </a:ln>
                  </pic:spPr>
                </pic:pic>
              </a:graphicData>
            </a:graphic>
          </wp:inline>
        </w:drawing>
      </w:r>
    </w:p>
    <w:p w14:paraId="7206CC46" w14:textId="713291B5" w:rsidR="00A26A20" w:rsidRPr="00B22681" w:rsidRDefault="00445CF4" w:rsidP="00A26A20">
      <w:pPr>
        <w:pStyle w:val="ListParagraph"/>
        <w:spacing w:line="360" w:lineRule="auto"/>
        <w:ind w:left="1440"/>
        <w:rPr>
          <w:rFonts w:ascii="Arial" w:hAnsi="Arial" w:cs="Arial"/>
        </w:rPr>
      </w:pPr>
      <w:r>
        <w:rPr>
          <w:noProof/>
        </w:rPr>
        <w:drawing>
          <wp:inline distT="0" distB="0" distL="0" distR="0" wp14:anchorId="08C473DC" wp14:editId="7D1E1A63">
            <wp:extent cx="4387850" cy="245825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192" cy="2459565"/>
                    </a:xfrm>
                    <a:prstGeom prst="rect">
                      <a:avLst/>
                    </a:prstGeom>
                    <a:noFill/>
                    <a:ln>
                      <a:noFill/>
                    </a:ln>
                  </pic:spPr>
                </pic:pic>
              </a:graphicData>
            </a:graphic>
          </wp:inline>
        </w:drawing>
      </w:r>
    </w:p>
    <w:p w14:paraId="57FD2DC3" w14:textId="5802D25E" w:rsidR="00C60446" w:rsidRDefault="00C60446" w:rsidP="00A30575">
      <w:pPr>
        <w:pStyle w:val="ListParagraph"/>
        <w:spacing w:line="360" w:lineRule="auto"/>
        <w:ind w:left="1440"/>
        <w:rPr>
          <w:rFonts w:ascii="Arial" w:hAnsi="Arial" w:cs="Arial"/>
        </w:rPr>
      </w:pPr>
    </w:p>
    <w:p w14:paraId="4E0B0221" w14:textId="77777777" w:rsidR="00C60446" w:rsidRDefault="00C60446" w:rsidP="00A26A20">
      <w:pPr>
        <w:pStyle w:val="ListParagraph"/>
        <w:spacing w:line="360" w:lineRule="auto"/>
        <w:ind w:left="1440"/>
        <w:rPr>
          <w:rFonts w:ascii="Arial" w:hAnsi="Arial" w:cs="Arial"/>
        </w:rPr>
      </w:pPr>
    </w:p>
    <w:p w14:paraId="0E855CC3" w14:textId="7F4D569B" w:rsidR="00C60446" w:rsidRDefault="00C60446" w:rsidP="00A30575">
      <w:pPr>
        <w:spacing w:line="360" w:lineRule="auto"/>
        <w:jc w:val="center"/>
        <w:rPr>
          <w:rFonts w:ascii="Arial" w:hAnsi="Arial" w:cs="Arial"/>
        </w:rPr>
      </w:pPr>
    </w:p>
    <w:p w14:paraId="2D1425B5" w14:textId="55007F2E" w:rsidR="00882528" w:rsidRDefault="00882528" w:rsidP="00A30575">
      <w:pPr>
        <w:spacing w:line="360" w:lineRule="auto"/>
        <w:jc w:val="center"/>
        <w:rPr>
          <w:rFonts w:ascii="Arial" w:hAnsi="Arial" w:cs="Arial"/>
        </w:rPr>
      </w:pPr>
    </w:p>
    <w:p w14:paraId="021DC763" w14:textId="04BAE960" w:rsidR="00C60446" w:rsidRDefault="00C60446" w:rsidP="00C60446">
      <w:pPr>
        <w:spacing w:line="360" w:lineRule="auto"/>
        <w:rPr>
          <w:rFonts w:ascii="Arial" w:hAnsi="Arial" w:cs="Arial"/>
        </w:rPr>
      </w:pPr>
    </w:p>
    <w:p w14:paraId="1197AD6B" w14:textId="02E4956D" w:rsidR="00E63B2C" w:rsidRDefault="00E63B2C" w:rsidP="00C60446">
      <w:pPr>
        <w:spacing w:line="360" w:lineRule="auto"/>
        <w:rPr>
          <w:rFonts w:ascii="Arial" w:hAnsi="Arial" w:cs="Arial"/>
        </w:rPr>
      </w:pPr>
    </w:p>
    <w:p w14:paraId="164528E1" w14:textId="763DEEA5" w:rsidR="00E63B2C" w:rsidRDefault="00E63B2C" w:rsidP="00C60446">
      <w:pPr>
        <w:spacing w:line="360" w:lineRule="auto"/>
        <w:rPr>
          <w:rFonts w:ascii="Arial" w:hAnsi="Arial" w:cs="Arial"/>
        </w:rPr>
      </w:pPr>
    </w:p>
    <w:p w14:paraId="40F9158B" w14:textId="2EBC5B06" w:rsidR="00E63B2C" w:rsidRDefault="00E63B2C" w:rsidP="00C60446">
      <w:pPr>
        <w:spacing w:line="360" w:lineRule="auto"/>
        <w:rPr>
          <w:rFonts w:ascii="Arial" w:hAnsi="Arial" w:cs="Arial"/>
        </w:rPr>
      </w:pPr>
    </w:p>
    <w:p w14:paraId="0D43031D" w14:textId="77777777" w:rsidR="00D95012" w:rsidRDefault="00D95012" w:rsidP="00C60446">
      <w:pPr>
        <w:spacing w:line="360" w:lineRule="auto"/>
        <w:rPr>
          <w:rFonts w:ascii="Arial" w:hAnsi="Arial" w:cs="Arial"/>
        </w:rPr>
      </w:pPr>
    </w:p>
    <w:p w14:paraId="29FCF680" w14:textId="06B94970" w:rsidR="00C60446" w:rsidRPr="00D95012" w:rsidRDefault="00C60446" w:rsidP="00C60446">
      <w:pPr>
        <w:spacing w:line="360" w:lineRule="auto"/>
        <w:rPr>
          <w:rFonts w:cstheme="minorHAnsi"/>
          <w:b/>
          <w:bCs/>
        </w:rPr>
      </w:pPr>
      <w:r w:rsidRPr="00D95012">
        <w:rPr>
          <w:rFonts w:cstheme="minorHAnsi"/>
          <w:b/>
          <w:bCs/>
        </w:rPr>
        <w:t>References</w:t>
      </w:r>
      <w:r w:rsidR="00A06B1C" w:rsidRPr="00D95012">
        <w:rPr>
          <w:rFonts w:cstheme="minorHAnsi"/>
          <w:b/>
          <w:bCs/>
        </w:rPr>
        <w:t>:</w:t>
      </w:r>
    </w:p>
    <w:p w14:paraId="6A2A9311" w14:textId="05888BEF" w:rsidR="001E3994" w:rsidRPr="00D95012" w:rsidRDefault="008F45EF" w:rsidP="00C60446">
      <w:pPr>
        <w:spacing w:line="360" w:lineRule="auto"/>
        <w:rPr>
          <w:rFonts w:cstheme="minorHAnsi"/>
        </w:rPr>
      </w:pPr>
      <w:r w:rsidRPr="00D95012">
        <w:rPr>
          <w:rFonts w:cstheme="minorHAnsi"/>
        </w:rPr>
        <w:t xml:space="preserve">[1] </w:t>
      </w:r>
      <w:r w:rsidR="001E3994" w:rsidRPr="00D95012">
        <w:rPr>
          <w:rFonts w:cstheme="minorHAnsi"/>
        </w:rPr>
        <w:t xml:space="preserve">X. </w:t>
      </w:r>
      <w:r w:rsidR="00EE771A" w:rsidRPr="00D95012">
        <w:rPr>
          <w:rFonts w:cstheme="minorHAnsi"/>
        </w:rPr>
        <w:t>Lou</w:t>
      </w:r>
      <w:r w:rsidR="001E3994" w:rsidRPr="00D95012">
        <w:rPr>
          <w:rFonts w:cstheme="minorHAnsi"/>
        </w:rPr>
        <w:t>, W. Chen, and Z. Huang. “A fundamental study on the control of the HCCI combustion and emissions by fuel design concept combined with controllable EGR. Part 1. The basic characteristics of HCCI combustion”. Fuel, 84(9):1074– 1083, 2005.</w:t>
      </w:r>
    </w:p>
    <w:p w14:paraId="7DE9548C" w14:textId="13598A99" w:rsidR="00B409EB" w:rsidRPr="00D95012" w:rsidRDefault="00B409EB" w:rsidP="00C60446">
      <w:pPr>
        <w:spacing w:line="360" w:lineRule="auto"/>
        <w:rPr>
          <w:rFonts w:cstheme="minorHAnsi"/>
        </w:rPr>
      </w:pPr>
      <w:r w:rsidRPr="00D95012">
        <w:rPr>
          <w:rFonts w:cstheme="minorHAnsi"/>
        </w:rPr>
        <w:t xml:space="preserve">[2] H. Li, W. Neill, and W. </w:t>
      </w:r>
      <w:proofErr w:type="spellStart"/>
      <w:r w:rsidRPr="00D95012">
        <w:rPr>
          <w:rFonts w:cstheme="minorHAnsi"/>
        </w:rPr>
        <w:t>Chippior</w:t>
      </w:r>
      <w:proofErr w:type="spellEnd"/>
      <w:r w:rsidRPr="00D95012">
        <w:rPr>
          <w:rFonts w:cstheme="minorHAnsi"/>
        </w:rPr>
        <w:t xml:space="preserve">. “Cycle-to-cycle variation of </w:t>
      </w:r>
      <w:r w:rsidR="00EE771A" w:rsidRPr="00D95012">
        <w:rPr>
          <w:rFonts w:cstheme="minorHAnsi"/>
        </w:rPr>
        <w:t>an</w:t>
      </w:r>
      <w:r w:rsidRPr="00D95012">
        <w:rPr>
          <w:rFonts w:cstheme="minorHAnsi"/>
        </w:rPr>
        <w:t xml:space="preserve"> HCCI engine operated with n-heptane”. In Proceeding of Combustion Institute/Canadian Section (CI/CS) Spring Technical Conference, 2007.</w:t>
      </w:r>
    </w:p>
    <w:p w14:paraId="7802A490" w14:textId="77777777" w:rsidR="00882528" w:rsidRPr="00A26A20" w:rsidRDefault="00882528" w:rsidP="00C60446">
      <w:pPr>
        <w:spacing w:line="360" w:lineRule="auto"/>
        <w:rPr>
          <w:rFonts w:ascii="Arial" w:hAnsi="Arial" w:cs="Arial"/>
        </w:rPr>
      </w:pPr>
    </w:p>
    <w:sectPr w:rsidR="00882528" w:rsidRPr="00A26A20" w:rsidSect="002D04B5">
      <w:type w:val="continuous"/>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E7ADE"/>
    <w:multiLevelType w:val="hybridMultilevel"/>
    <w:tmpl w:val="3496BBE4"/>
    <w:lvl w:ilvl="0" w:tplc="BD889806">
      <w:start w:val="1"/>
      <w:numFmt w:val="decimal"/>
      <w:lvlText w:val="%1."/>
      <w:lvlJc w:val="left"/>
      <w:pPr>
        <w:ind w:left="1440" w:hanging="360"/>
      </w:pPr>
      <w:rPr>
        <w:rFonts w:asciiTheme="minorHAnsi" w:hAnsiTheme="minorHAnsi" w:cstheme="minorHAnsi"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0495EF1"/>
    <w:multiLevelType w:val="hybridMultilevel"/>
    <w:tmpl w:val="0F6C2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956C4B"/>
    <w:multiLevelType w:val="hybridMultilevel"/>
    <w:tmpl w:val="79D43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wNDU2tjQ3NzM2NjZR0lEKTi0uzszPAykwrAUAIu5xpCwAAAA="/>
  </w:docVars>
  <w:rsids>
    <w:rsidRoot w:val="005C43E5"/>
    <w:rsid w:val="0001168B"/>
    <w:rsid w:val="00071DD8"/>
    <w:rsid w:val="00093F84"/>
    <w:rsid w:val="000D77A4"/>
    <w:rsid w:val="000E6AA2"/>
    <w:rsid w:val="00110F60"/>
    <w:rsid w:val="001334DE"/>
    <w:rsid w:val="00137D6C"/>
    <w:rsid w:val="00163970"/>
    <w:rsid w:val="001C78C5"/>
    <w:rsid w:val="001E3994"/>
    <w:rsid w:val="002030FB"/>
    <w:rsid w:val="00211D11"/>
    <w:rsid w:val="002153E0"/>
    <w:rsid w:val="002763AF"/>
    <w:rsid w:val="002821C3"/>
    <w:rsid w:val="0028445F"/>
    <w:rsid w:val="002A58CA"/>
    <w:rsid w:val="002D04B5"/>
    <w:rsid w:val="002F262E"/>
    <w:rsid w:val="003B7D92"/>
    <w:rsid w:val="003D0090"/>
    <w:rsid w:val="00415613"/>
    <w:rsid w:val="00435287"/>
    <w:rsid w:val="00445CF4"/>
    <w:rsid w:val="004A0276"/>
    <w:rsid w:val="004D6A08"/>
    <w:rsid w:val="00516E57"/>
    <w:rsid w:val="00582091"/>
    <w:rsid w:val="00590577"/>
    <w:rsid w:val="005C43E5"/>
    <w:rsid w:val="0065600B"/>
    <w:rsid w:val="00661102"/>
    <w:rsid w:val="00682819"/>
    <w:rsid w:val="006F175F"/>
    <w:rsid w:val="00764224"/>
    <w:rsid w:val="007B307D"/>
    <w:rsid w:val="007F3BA6"/>
    <w:rsid w:val="00800B1C"/>
    <w:rsid w:val="00882528"/>
    <w:rsid w:val="008C41AA"/>
    <w:rsid w:val="008E747D"/>
    <w:rsid w:val="008F45EF"/>
    <w:rsid w:val="00943253"/>
    <w:rsid w:val="00960A86"/>
    <w:rsid w:val="0098421E"/>
    <w:rsid w:val="009C335C"/>
    <w:rsid w:val="00A06B1C"/>
    <w:rsid w:val="00A26A20"/>
    <w:rsid w:val="00A30575"/>
    <w:rsid w:val="00A724B7"/>
    <w:rsid w:val="00A73619"/>
    <w:rsid w:val="00A73827"/>
    <w:rsid w:val="00AA30BD"/>
    <w:rsid w:val="00AF6688"/>
    <w:rsid w:val="00B22681"/>
    <w:rsid w:val="00B409EB"/>
    <w:rsid w:val="00B73355"/>
    <w:rsid w:val="00B73E67"/>
    <w:rsid w:val="00B908BF"/>
    <w:rsid w:val="00BC2F78"/>
    <w:rsid w:val="00BE0B37"/>
    <w:rsid w:val="00C60446"/>
    <w:rsid w:val="00C97237"/>
    <w:rsid w:val="00CA2350"/>
    <w:rsid w:val="00D06A59"/>
    <w:rsid w:val="00D2315B"/>
    <w:rsid w:val="00D4786B"/>
    <w:rsid w:val="00D518DB"/>
    <w:rsid w:val="00D56BC3"/>
    <w:rsid w:val="00D74B05"/>
    <w:rsid w:val="00D95012"/>
    <w:rsid w:val="00DD7E7C"/>
    <w:rsid w:val="00E338EE"/>
    <w:rsid w:val="00E35F01"/>
    <w:rsid w:val="00E367B6"/>
    <w:rsid w:val="00E5345F"/>
    <w:rsid w:val="00E5588F"/>
    <w:rsid w:val="00E55D98"/>
    <w:rsid w:val="00E63699"/>
    <w:rsid w:val="00E63B2C"/>
    <w:rsid w:val="00EA7640"/>
    <w:rsid w:val="00EE771A"/>
    <w:rsid w:val="00F32C2F"/>
    <w:rsid w:val="00F6742A"/>
    <w:rsid w:val="00F73999"/>
    <w:rsid w:val="00F918CB"/>
    <w:rsid w:val="00F91C68"/>
    <w:rsid w:val="00FA4DE0"/>
    <w:rsid w:val="00FA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81E9"/>
  <w15:chartTrackingRefBased/>
  <w15:docId w15:val="{31F4F62F-813C-804A-BF6A-47D9875F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681"/>
    <w:rPr>
      <w:color w:val="808080"/>
    </w:rPr>
  </w:style>
  <w:style w:type="paragraph" w:styleId="ListParagraph">
    <w:name w:val="List Paragraph"/>
    <w:basedOn w:val="Normal"/>
    <w:uiPriority w:val="34"/>
    <w:qFormat/>
    <w:rsid w:val="00B22681"/>
    <w:pPr>
      <w:ind w:left="720"/>
      <w:contextualSpacing/>
    </w:pPr>
  </w:style>
  <w:style w:type="table" w:styleId="TableGrid">
    <w:name w:val="Table Grid"/>
    <w:basedOn w:val="TableNormal"/>
    <w:uiPriority w:val="39"/>
    <w:rsid w:val="00B22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Kaivalya Bhavsar</dc:creator>
  <cp:keywords/>
  <dc:description/>
  <cp:lastModifiedBy>Kaivalya Bhavsar</cp:lastModifiedBy>
  <cp:revision>16</cp:revision>
  <dcterms:created xsi:type="dcterms:W3CDTF">2022-04-10T18:55:00Z</dcterms:created>
  <dcterms:modified xsi:type="dcterms:W3CDTF">2022-04-10T21:54:00Z</dcterms:modified>
</cp:coreProperties>
</file>