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rFonts w:ascii="Times New Roman" w:hAnsi="Times New Roman" w:cs="Times New Roman" w:eastAsia="Times New Roman"/>
          <w:b/>
          <w:sz w:val="24"/>
        </w:rPr>
        <w:t>МИНИСТЕРСТВО ОБРАЗОВАНИЯ И НАУКИ КЫРГЫЗСКОЙ РЕСПУБЛИКИ</w:t>
      </w:r>
    </w:p>
    <w:p>
      <w:pPr>
        <w:spacing w:before="0" w:after="0"/>
        <w:ind w:firstLine="0"/>
        <w:jc w:val="center"/>
      </w:pPr>
      <w:r>
        <w:rPr>
          <w:rFonts w:ascii="Times New Roman" w:hAnsi="Times New Roman" w:cs="Times New Roman" w:eastAsia="Times New Roman"/>
          <w:b/>
          <w:sz w:val="24"/>
        </w:rPr>
        <w:t>КЫРГЫЗСКИЙ ГОСУДАРСТВЕННЫЙ ТЕХНИЧЕСКИЙ УНИВЕРСИТЕТ</w:t>
      </w:r>
    </w:p>
    <w:p>
      <w:pPr>
        <w:spacing w:before="0" w:after="480"/>
        <w:ind w:firstLine="0"/>
        <w:jc w:val="center"/>
      </w:pPr>
      <w:r>
        <w:rPr>
          <w:rFonts w:ascii="Times New Roman" w:hAnsi="Times New Roman" w:cs="Times New Roman" w:eastAsia="Times New Roman"/>
          <w:b/>
          <w:sz w:val="24"/>
        </w:rPr>
        <w:t>имени И. РАЗЗАКОВА</w:t>
      </w:r>
    </w:p>
    <w:p>
      <w:pPr>
        <w:spacing w:before="0" w:after="480"/>
        <w:ind w:firstLine="0"/>
        <w:jc w:val="center"/>
      </w:pPr>
      <w:r>
        <w:rPr>
          <w:rFonts w:ascii="Times New Roman" w:hAnsi="Times New Roman" w:cs="Times New Roman" w:eastAsia="Times New Roman"/>
          <w:b w:val="0"/>
          <w:sz w:val="24"/>
        </w:rPr>
        <w:t>Кафедра прикладной математики и информатики</w:t>
      </w:r>
    </w:p>
    <w:p>
      <w:pPr>
        <w:spacing w:before="0" w:after="0"/>
        <w:ind w:firstLine="0"/>
        <w:jc w:val="center"/>
      </w:pPr>
      <w:r>
        <w:rPr>
          <w:rFonts w:ascii="Times New Roman" w:hAnsi="Times New Roman" w:cs="Times New Roman" w:eastAsia="Times New Roman"/>
          <w:b w:val="0"/>
          <w:sz w:val="24"/>
        </w:rPr>
        <w:t>Допустить к защите</w:t>
      </w:r>
    </w:p>
    <w:p>
      <w:pPr>
        <w:spacing w:before="0" w:after="0"/>
        <w:ind w:firstLine="0"/>
        <w:jc w:val="center"/>
      </w:pPr>
      <w:r>
        <w:rPr>
          <w:rFonts w:ascii="Times New Roman" w:hAnsi="Times New Roman" w:cs="Times New Roman" w:eastAsia="Times New Roman"/>
          <w:b w:val="0"/>
          <w:sz w:val="24"/>
        </w:rPr>
        <w:t>Зав. кафедрой _____________</w:t>
      </w:r>
    </w:p>
    <w:p>
      <w:pPr>
        <w:spacing w:before="0" w:after="960"/>
        <w:ind w:firstLine="0"/>
        <w:jc w:val="center"/>
      </w:pPr>
      <w:r>
        <w:rPr>
          <w:rFonts w:ascii="Times New Roman" w:hAnsi="Times New Roman" w:cs="Times New Roman" w:eastAsia="Times New Roman"/>
          <w:b w:val="0"/>
          <w:sz w:val="24"/>
        </w:rPr>
        <w:t>«___» ________ 2026 г.</w:t>
      </w:r>
    </w:p>
    <w:p>
      <w:pPr>
        <w:spacing w:before="0" w:after="480"/>
        <w:ind w:firstLine="0"/>
        <w:jc w:val="center"/>
      </w:pPr>
      <w:r>
        <w:rPr>
          <w:rFonts w:ascii="Times New Roman" w:hAnsi="Times New Roman" w:cs="Times New Roman" w:eastAsia="Times New Roman"/>
          <w:b/>
          <w:sz w:val="32"/>
        </w:rPr>
        <w:t>МАГИСТЕРСКАЯ ДИССЕРТАЦИЯ</w:t>
      </w:r>
    </w:p>
    <w:p>
      <w:pPr>
        <w:spacing w:before="0" w:after="240"/>
        <w:ind w:firstLine="0"/>
        <w:jc w:val="center"/>
      </w:pPr>
      <w:r>
        <w:rPr>
          <w:rFonts w:ascii="Times New Roman" w:hAnsi="Times New Roman" w:cs="Times New Roman" w:eastAsia="Times New Roman"/>
          <w:b w:val="0"/>
          <w:sz w:val="28"/>
        </w:rPr>
        <w:t>на тему:</w:t>
      </w:r>
    </w:p>
    <w:p>
      <w:pPr>
        <w:spacing w:before="0" w:after="720"/>
        <w:ind w:firstLine="0"/>
        <w:jc w:val="center"/>
      </w:pPr>
      <w:r>
        <w:rPr>
          <w:rFonts w:ascii="Times New Roman" w:hAnsi="Times New Roman" w:cs="Times New Roman" w:eastAsia="Times New Roman"/>
          <w:b/>
          <w:sz w:val="28"/>
        </w:rPr>
        <w:t>«Разработка программы для расчёта банковского вклада с капитализацией процентов (на примере ООО «Микрокредитная Компания «Замат Финанс»)»</w:t>
      </w:r>
    </w:p>
    <w:p>
      <w:pPr>
        <w:spacing w:before="0" w:after="960"/>
        <w:ind w:firstLine="0"/>
        <w:jc w:val="center"/>
      </w:pPr>
      <w:r>
        <w:rPr>
          <w:rFonts w:ascii="Times New Roman" w:hAnsi="Times New Roman" w:cs="Times New Roman" w:eastAsia="Times New Roman"/>
          <w:b w:val="0"/>
          <w:sz w:val="24"/>
        </w:rPr>
        <w:t>Направление подготовки: 510200 «Прикладная математика и информатика»</w:t>
      </w:r>
    </w:p>
    <w:p>
      <w:pPr>
        <w:spacing w:after="120"/>
        <w:ind w:firstLine="0"/>
        <w:jc w:val="right"/>
      </w:pPr>
      <w:r>
        <w:rPr>
          <w:rFonts w:ascii="Times New Roman" w:hAnsi="Times New Roman" w:cs="Times New Roman" w:eastAsia="Times New Roman"/>
          <w:b w:val="0"/>
          <w:sz w:val="24"/>
        </w:rPr>
        <w:t>Выполнил: магистрант гр. ПМИ-1-24</w:t>
      </w:r>
      <w:r>
        <w:rPr>
          <w:rFonts w:ascii="Times New Roman" w:hAnsi="Times New Roman" w:cs="Times New Roman" w:eastAsia="Times New Roman"/>
          <w:b/>
          <w:sz w:val="24"/>
        </w:rPr>
        <w:t xml:space="preserve">  _______________</w:t>
      </w:r>
    </w:p>
    <w:p>
      <w:pPr>
        <w:spacing w:after="120"/>
        <w:ind w:firstLine="0"/>
        <w:jc w:val="right"/>
      </w:pPr>
      <w:r>
        <w:rPr>
          <w:rFonts w:ascii="Times New Roman" w:hAnsi="Times New Roman" w:cs="Times New Roman" w:eastAsia="Times New Roman"/>
          <w:b w:val="0"/>
          <w:sz w:val="24"/>
        </w:rPr>
        <w:t>Научный руководитель:</w:t>
      </w:r>
      <w:r>
        <w:rPr>
          <w:rFonts w:ascii="Times New Roman" w:hAnsi="Times New Roman" w:cs="Times New Roman" w:eastAsia="Times New Roman"/>
          <w:b/>
          <w:sz w:val="24"/>
        </w:rPr>
        <w:t xml:space="preserve">  _______________</w:t>
      </w:r>
    </w:p>
    <w:p>
      <w:pPr>
        <w:spacing w:after="720"/>
        <w:ind w:firstLine="0"/>
        <w:jc w:val="right"/>
      </w:pPr>
      <w:r>
        <w:rPr>
          <w:rFonts w:ascii="Times New Roman" w:hAnsi="Times New Roman" w:cs="Times New Roman" w:eastAsia="Times New Roman"/>
          <w:b w:val="0"/>
          <w:sz w:val="24"/>
        </w:rPr>
        <w:t>Рецензент:</w:t>
      </w:r>
      <w:r>
        <w:rPr>
          <w:rFonts w:ascii="Times New Roman" w:hAnsi="Times New Roman" w:cs="Times New Roman" w:eastAsia="Times New Roman"/>
          <w:b/>
          <w:sz w:val="24"/>
        </w:rPr>
        <w:t xml:space="preserve">  _______________</w:t>
      </w:r>
    </w:p>
    <w:p>
      <w:pPr>
        <w:spacing w:before="1200" w:after="0"/>
        <w:ind w:firstLine="0"/>
        <w:jc w:val="center"/>
      </w:pPr>
      <w:r>
        <w:rPr>
          <w:rFonts w:ascii="Times New Roman" w:hAnsi="Times New Roman" w:cs="Times New Roman" w:eastAsia="Times New Roman"/>
          <w:b w:val="0"/>
          <w:sz w:val="24"/>
        </w:rPr>
        <w:t>Бишкек — 2026</w:t>
      </w:r>
    </w:p>
    <w:p>
      <w:pPr>
        <w:pStyle w:val="Heading1"/>
      </w:pPr>
      <w:r>
        <w:rPr>
          <w:rFonts w:ascii="Times New Roman" w:hAnsi="Times New Roman" w:cs="Times New Roman" w:eastAsia="Times New Roman"/>
        </w:rPr>
        <w:t>СОДЕРЖАНИЕ</w:t>
      </w:r>
    </w:p>
    <w:p>
      <w:pPr>
        <w:ind w:firstLine="0"/>
        <w:jc w:val="center"/>
      </w:pPr>
      <w:r>
        <w:rPr>
          <w:rFonts w:ascii="Times New Roman" w:hAnsi="Times New Roman" w:cs="Times New Roman" w:eastAsia="Times New Roman"/>
          <w:b w:val="0"/>
          <w:sz w:val="24"/>
        </w:rPr>
        <w:t>[Обновите оглавление в Word: Ссылки → Обновить таблицу → Обновить целиком]</w:t>
      </w:r>
    </w:p>
    <w:p>
      <w:pPr>
        <w:ind w:firstLine="0"/>
      </w:pPr>
      <w:r>
        <w:fldChar w:fldCharType="begin"/>
      </w:r>
      <w:r>
        <w:instrText xml:space="preserve"> TOC \o "1-2" \h \z \u </w:instrText>
      </w:r>
      <w:r>
        <w:fldChar w:fldCharType="separate"/>
      </w:r>
      <w:r>
        <w:fldChar w:fldCharType="end"/>
      </w:r>
    </w:p>
    <w:p>
      <w:pPr>
        <w:pStyle w:val="Heading1"/>
      </w:pPr>
      <w:r>
        <w:rPr>
          <w:rFonts w:ascii="Times New Roman" w:hAnsi="Times New Roman" w:cs="Times New Roman" w:eastAsia="Times New Roman"/>
        </w:rPr>
        <w:t>ВВЕДЕНИЕ</w:t>
      </w:r>
    </w:p>
    <w:p>
      <w:pPr>
        <w:spacing w:before="120" w:after="120"/>
        <w:ind w:firstLine="0"/>
        <w:jc w:val="center"/>
      </w:pPr>
      <w:r>
        <w:rPr>
          <w:rFonts w:ascii="Times New Roman" w:hAnsi="Times New Roman" w:cs="Times New Roman" w:eastAsia="Times New Roman"/>
          <w:b/>
          <w:sz w:val="28"/>
        </w:rPr>
        <w:t>Актуальность темы</w:t>
      </w:r>
    </w:p>
    <w:p>
      <w:pPr/>
      <w:r>
        <w:rPr>
          <w:rFonts w:ascii="Times New Roman" w:hAnsi="Times New Roman" w:cs="Times New Roman" w:eastAsia="Times New Roman"/>
          <w:b w:val="0"/>
          <w:sz w:val="28"/>
        </w:rPr>
        <w:t>Рынок микрофинансовых услуг в Кыргызской Республике за последние годы претерпел значительную трансформацию. По данным Национального банка КР, число микрокредитных компаний (МКК) и микрокредитных агентств (МКА) к 2024 году превысило 170 организаций, совокупный кредитный портфель которых достиг 48 млрд сомов. Стремительный рост этого сектора породил высокую конкуренцию, вынуждающую участников рынка расширять линейку финансовых продуктов и внедрять депозитные программы с различными схемами начисления процентов.</w:t>
      </w:r>
    </w:p>
    <w:p>
      <w:pPr/>
      <w:r>
        <w:rPr>
          <w:rFonts w:ascii="Times New Roman" w:hAnsi="Times New Roman" w:cs="Times New Roman" w:eastAsia="Times New Roman"/>
          <w:b w:val="0"/>
          <w:sz w:val="28"/>
        </w:rPr>
        <w:t>Механизм капитализации процентов - присоединение начисленных процентов к основной сумме вклада с последующим начислением процентов уже на увеличенную сумму - математически описан формулами сложных процентов ещё в XVII веке. Однако практическое применение этих формул в условиях реальных финансовых продуктов сопряжено с множеством нюансов: переменные процентные ставки, различные периоды капитализации, досрочное снятие, регулярные пополнения, налоговые удержания. Ручной расчёт таких параметров сопровождается высокой вероятностью ошибок, особенно при обработке десятков клиентских заявок ежедневно.</w:t>
      </w:r>
    </w:p>
    <w:p>
      <w:pPr/>
      <w:r>
        <w:rPr>
          <w:rFonts w:ascii="Times New Roman" w:hAnsi="Times New Roman" w:cs="Times New Roman" w:eastAsia="Times New Roman"/>
          <w:b w:val="0"/>
          <w:sz w:val="28"/>
        </w:rPr>
        <w:t>ООО «Микрокредитная Компания «Замат Финанс», работающая под торговой маркой Doke.kg, предоставляет услуги онлайн-кредитования в Кыргызстане и зарегистрирована Национальным банком КР (свидетельство №517 от 07.12.2022). Компания обслуживает тысячи клиентов, и расчёт параметров вкладов с капитализацией в настоящее время выполняется сотрудниками с использованием электронных таблиц, что не обеспечивает необходимой скорости и надёжности вычислений. Автоматизация этого процесса средствами специализированного программного обеспечения - задача, актуальная как для самой компании, так и для всего сектора МКО республики.</w:t>
      </w:r>
    </w:p>
    <w:p>
      <w:pPr/>
      <w:r>
        <w:rPr>
          <w:rFonts w:ascii="Times New Roman" w:hAnsi="Times New Roman" w:cs="Times New Roman" w:eastAsia="Times New Roman"/>
          <w:b w:val="0"/>
          <w:sz w:val="28"/>
        </w:rPr>
        <w:t>Противоречие между потребностью микрофинансового рынка в точных и быстрых расчётах депозитных продуктов с капитализацией и отсутствием адаптированных под условия МКО Кыргызстана программных инструментов определяет актуальность настоящего исследования.</w:t>
      </w:r>
    </w:p>
    <w:p>
      <w:pPr>
        <w:spacing w:before="120" w:after="120"/>
        <w:ind w:firstLine="0"/>
        <w:jc w:val="center"/>
      </w:pPr>
      <w:r>
        <w:rPr>
          <w:rFonts w:ascii="Times New Roman" w:hAnsi="Times New Roman" w:cs="Times New Roman" w:eastAsia="Times New Roman"/>
          <w:b/>
          <w:sz w:val="28"/>
        </w:rPr>
        <w:t>Степень разработанности проблемы</w:t>
      </w:r>
    </w:p>
    <w:p>
      <w:pPr/>
      <w:r>
        <w:rPr>
          <w:rFonts w:ascii="Times New Roman" w:hAnsi="Times New Roman" w:cs="Times New Roman" w:eastAsia="Times New Roman"/>
          <w:b w:val="0"/>
          <w:sz w:val="28"/>
        </w:rPr>
        <w:t>Теоретические основы финансовой математики, включая модели сложных процентов и капитализации, представлены в трудах Е.М. Четыркина, А.А. Козлова, В.В. Ковалёва, И.Я. Лукасевича. Вопросы автоматизации банковских вычислений рассматривались в работах Д.А. Ендовицкого, А.И. Уринцева, зарубежных авторов F. Fabozzi, S. Benninga. Математические аспекты дискретного и непрерывного начисления процентов исследовали J.C. Hull, P. Wilmott. Вместе с тем специфика программной реализации расчётов для микрокредитных организаций Кыргызстана, действующих по нормативам НБКР, изучена недостаточно - большинство существующих решений ориентированы на крупные коммерческие банки и не учитывают особенности продуктовой линейки МКО.</w:t>
      </w:r>
    </w:p>
    <w:p>
      <w:pPr>
        <w:spacing w:before="120" w:after="120"/>
        <w:ind w:firstLine="0"/>
        <w:jc w:val="center"/>
      </w:pPr>
      <w:r>
        <w:rPr>
          <w:rFonts w:ascii="Times New Roman" w:hAnsi="Times New Roman" w:cs="Times New Roman" w:eastAsia="Times New Roman"/>
          <w:b/>
          <w:sz w:val="28"/>
        </w:rPr>
        <w:t>Проблема исследования</w:t>
      </w:r>
    </w:p>
    <w:p>
      <w:pPr/>
      <w:r>
        <w:rPr>
          <w:rFonts w:ascii="Times New Roman" w:hAnsi="Times New Roman" w:cs="Times New Roman" w:eastAsia="Times New Roman"/>
          <w:b w:val="0"/>
          <w:sz w:val="28"/>
        </w:rPr>
        <w:t>Проблема исследования состоит в противоречии между необходимостью обеспечения точных, оперативных и прозрачных расчётов вкладов с капитализацией процентов в микрокредитных организациях и недостаточностью доступных программных средств, адаптированных к условиям микрофинансового рынка Кыргызской Республики.</w:t>
      </w:r>
    </w:p>
    <w:p>
      <w:pPr>
        <w:spacing w:before="120" w:after="120"/>
        <w:ind w:firstLine="0"/>
        <w:jc w:val="center"/>
      </w:pPr>
      <w:r>
        <w:rPr>
          <w:rFonts w:ascii="Times New Roman" w:hAnsi="Times New Roman" w:cs="Times New Roman" w:eastAsia="Times New Roman"/>
          <w:b/>
          <w:sz w:val="28"/>
        </w:rPr>
        <w:t>Цель исследования</w:t>
      </w:r>
    </w:p>
    <w:p>
      <w:pPr/>
      <w:r>
        <w:rPr>
          <w:rFonts w:ascii="Times New Roman" w:hAnsi="Times New Roman" w:cs="Times New Roman" w:eastAsia="Times New Roman"/>
          <w:b w:val="0"/>
          <w:sz w:val="28"/>
        </w:rPr>
        <w:t>Цель исследования - разработать и программно реализовать приложение для автоматизированного расчёта банковского вклада с капитализацией процентов, обеспечивающее точность финансовых вычислений и удобство использования сотрудниками микрокредитной компании Doke.kg.</w:t>
      </w:r>
    </w:p>
    <w:p>
      <w:pPr>
        <w:spacing w:before="120" w:after="120"/>
        <w:ind w:firstLine="0"/>
        <w:jc w:val="center"/>
      </w:pPr>
      <w:r>
        <w:rPr>
          <w:rFonts w:ascii="Times New Roman" w:hAnsi="Times New Roman" w:cs="Times New Roman" w:eastAsia="Times New Roman"/>
          <w:b/>
          <w:sz w:val="28"/>
        </w:rPr>
        <w:t>Задачи исследования</w:t>
      </w:r>
    </w:p>
    <w:p>
      <w:pPr/>
      <w:r>
        <w:rPr>
          <w:rFonts w:ascii="Times New Roman" w:hAnsi="Times New Roman" w:cs="Times New Roman" w:eastAsia="Times New Roman"/>
          <w:b w:val="0"/>
          <w:sz w:val="28"/>
        </w:rPr>
        <w:t>1) проанализировать теоретические основы финансовой математики в части начисления процентов с капитализацией, изучить действующие модели расчёта вкладов и депозитных продуктов;</w:t>
        <w:br/>
        <w:t>2) исследовать нормативно-правовую базу Кыргызской Республики, регулирующую деятельность микрокредитных организаций и порядок начисления процентов по вкладам;</w:t>
        <w:br/>
        <w:t>3) провести сравнительный анализ существующих программных средств и онлайн-калькуляторов для расчёта вкладов, выявить их функциональные ограничения;</w:t>
        <w:br/>
        <w:t>4) разработать математическую модель расчёта вклада с капитализацией, учитывающую переменные ставки, различные периоды капитализации, пополнение и частичное снятие средств;</w:t>
        <w:br/>
        <w:t>5) спроектировать архитектуру программного приложения и реализовать его прототип с графическим пользовательским интерфейсом;</w:t>
        <w:br/>
        <w:t>6) выполнить тестирование разработанной программы на контрольных примерах, провести верификацию результатов и оценку точности вычислений;</w:t>
        <w:br/>
        <w:t>7) сформулировать рекомендации по внедрению программного продукта в операционную деятельность ООО «Микрокредитная Компания «Замат Финанс».</w:t>
      </w:r>
    </w:p>
    <w:p>
      <w:pPr>
        <w:spacing w:before="120" w:after="120"/>
        <w:ind w:firstLine="0"/>
        <w:jc w:val="center"/>
      </w:pPr>
      <w:r>
        <w:rPr>
          <w:rFonts w:ascii="Times New Roman" w:hAnsi="Times New Roman" w:cs="Times New Roman" w:eastAsia="Times New Roman"/>
          <w:b/>
          <w:sz w:val="28"/>
        </w:rPr>
        <w:t>Объект и предмет исследования</w:t>
      </w:r>
    </w:p>
    <w:p>
      <w:pPr/>
      <w:r>
        <w:rPr>
          <w:rFonts w:ascii="Times New Roman" w:hAnsi="Times New Roman" w:cs="Times New Roman" w:eastAsia="Times New Roman"/>
          <w:b w:val="0"/>
          <w:sz w:val="28"/>
        </w:rPr>
      </w:r>
      <w:r>
        <w:rPr>
          <w:rFonts w:ascii="Times New Roman" w:hAnsi="Times New Roman" w:cs="Times New Roman" w:eastAsia="Times New Roman"/>
          <w:b/>
          <w:sz w:val="28"/>
        </w:rPr>
        <w:t>Объект исследования</w:t>
      </w:r>
      <w:r>
        <w:rPr>
          <w:rFonts w:ascii="Times New Roman" w:hAnsi="Times New Roman" w:cs="Times New Roman" w:eastAsia="Times New Roman"/>
          <w:b w:val="0"/>
          <w:sz w:val="28"/>
        </w:rPr>
        <w:t xml:space="preserve"> - процессы автоматизации финансовых расчётов в микрокредитных организациях Кыргызской Республики.</w:t>
      </w:r>
    </w:p>
    <w:p>
      <w:pPr/>
      <w:r>
        <w:rPr>
          <w:rFonts w:ascii="Times New Roman" w:hAnsi="Times New Roman" w:cs="Times New Roman" w:eastAsia="Times New Roman"/>
          <w:b w:val="0"/>
          <w:sz w:val="28"/>
        </w:rPr>
      </w:r>
      <w:r>
        <w:rPr>
          <w:rFonts w:ascii="Times New Roman" w:hAnsi="Times New Roman" w:cs="Times New Roman" w:eastAsia="Times New Roman"/>
          <w:b/>
          <w:sz w:val="28"/>
        </w:rPr>
        <w:t>Предмет исследования</w:t>
      </w:r>
      <w:r>
        <w:rPr>
          <w:rFonts w:ascii="Times New Roman" w:hAnsi="Times New Roman" w:cs="Times New Roman" w:eastAsia="Times New Roman"/>
          <w:b w:val="0"/>
          <w:sz w:val="28"/>
        </w:rPr>
        <w:t xml:space="preserve"> - методы и алгоритмы программного расчёта банковского вклада с капитализацией процентов, а также инструментальные средства их реализации.</w:t>
      </w:r>
    </w:p>
    <w:p>
      <w:pPr>
        <w:spacing w:before="120" w:after="120"/>
        <w:ind w:firstLine="0"/>
        <w:jc w:val="center"/>
      </w:pPr>
      <w:r>
        <w:rPr>
          <w:rFonts w:ascii="Times New Roman" w:hAnsi="Times New Roman" w:cs="Times New Roman" w:eastAsia="Times New Roman"/>
          <w:b/>
          <w:sz w:val="28"/>
        </w:rPr>
        <w:t>Методы исследования</w:t>
      </w:r>
    </w:p>
    <w:p>
      <w:pPr/>
      <w:r>
        <w:rPr>
          <w:rFonts w:ascii="Times New Roman" w:hAnsi="Times New Roman" w:cs="Times New Roman" w:eastAsia="Times New Roman"/>
          <w:b w:val="0"/>
          <w:sz w:val="28"/>
        </w:rPr>
        <w:t>Теоретической основой работы послужили методы анализа научной литературы и нормативных правовых актов Кыргызской Республики. Математическое моделирование применено для формализации расчётов сложных процентов с учётом переменных параметров вклада. Сравнительный анализ использован при исследовании существующих программных аналогов. Проектирование системы выполнено методами объектно-ориентированного анализа с применением нотации UML. Верификация результатов проведена методом контрольных примеров - сопоставлением автоматизированного расчёта с результатами ручных вычислений по эталонным формулам. Функциональное и модульное тестирование обеспечили проверку корректности работы отдельных компонентов и программного продукта в целом.</w:t>
      </w:r>
    </w:p>
    <w:p>
      <w:pPr>
        <w:spacing w:before="120" w:after="120"/>
        <w:ind w:firstLine="0"/>
        <w:jc w:val="center"/>
      </w:pPr>
      <w:r>
        <w:rPr>
          <w:rFonts w:ascii="Times New Roman" w:hAnsi="Times New Roman" w:cs="Times New Roman" w:eastAsia="Times New Roman"/>
          <w:b/>
          <w:sz w:val="28"/>
        </w:rPr>
        <w:t>Теоретическая и методологическая база</w:t>
      </w:r>
    </w:p>
    <w:p>
      <w:pPr/>
      <w:r>
        <w:rPr>
          <w:rFonts w:ascii="Times New Roman" w:hAnsi="Times New Roman" w:cs="Times New Roman" w:eastAsia="Times New Roman"/>
          <w:b w:val="0"/>
          <w:sz w:val="28"/>
        </w:rPr>
        <w:t>Теоретическая и методологическая база исследования включает труды отечественных и зарубежных учёных в области финансовой математики (Е.М. Четыркин, В.В. Ковалёв, F. Fabozzi, J.C. Hull), банковского дела и микрофинансирования (И.Я. Лукасевич, Д.А. Ендовицкий), проектирования программных систем (Г. Буч, Р. Мартин, Э. Гамма). Нормативно-правовую основу составляют Закон Кыргызской Республики «О микрофинансовых организациях в Кыргызской Республике», положения Национального банка КР о порядке расчёта процентов по вкладам, а также международные стандарты финансовой отчётности (МСФО).</w:t>
      </w:r>
    </w:p>
    <w:p>
      <w:pPr>
        <w:spacing w:before="120" w:after="120"/>
        <w:ind w:firstLine="0"/>
        <w:jc w:val="center"/>
      </w:pPr>
      <w:r>
        <w:rPr>
          <w:rFonts w:ascii="Times New Roman" w:hAnsi="Times New Roman" w:cs="Times New Roman" w:eastAsia="Times New Roman"/>
          <w:b/>
          <w:sz w:val="28"/>
        </w:rPr>
        <w:t>Практическая значимость</w:t>
      </w:r>
    </w:p>
    <w:p>
      <w:pPr/>
      <w:r>
        <w:rPr>
          <w:rFonts w:ascii="Times New Roman" w:hAnsi="Times New Roman" w:cs="Times New Roman" w:eastAsia="Times New Roman"/>
          <w:b w:val="0"/>
          <w:sz w:val="28"/>
        </w:rPr>
        <w:t>Практическая значимость результатов исследования состоит в создании работающего прототипа программы, пригодного для внедрения в операционную деятельность ООО «Микрокредитная Компания «Замат Финанс» (Doke.kg). Разработанный программный продукт может быть адаптирован иными микрокредитными организациями Кыргызстана, а математическая модель расчёта пригодна для использования в учебном процессе при подготовке специалистов по прикладной математике и финансовым вычислениям.</w:t>
      </w:r>
    </w:p>
    <w:p>
      <w:pPr>
        <w:spacing w:before="120" w:after="120"/>
        <w:ind w:firstLine="0"/>
        <w:jc w:val="center"/>
      </w:pPr>
      <w:r>
        <w:rPr>
          <w:rFonts w:ascii="Times New Roman" w:hAnsi="Times New Roman" w:cs="Times New Roman" w:eastAsia="Times New Roman"/>
          <w:b/>
          <w:sz w:val="28"/>
        </w:rPr>
        <w:t>Структура работы</w:t>
      </w:r>
    </w:p>
    <w:p>
      <w:pPr/>
      <w:r>
        <w:rPr>
          <w:rFonts w:ascii="Times New Roman" w:hAnsi="Times New Roman" w:cs="Times New Roman" w:eastAsia="Times New Roman"/>
          <w:b w:val="0"/>
          <w:sz w:val="28"/>
        </w:rPr>
        <w:t>Магистерская диссертация состоит из введения, трёх глав, заключения, списка использованных источников (не менее 30 наименований) и приложений. Во введении обоснована актуальность темы, сформулированы цель, задачи, объект, предмет и методы исследования. Первая глава посвящена теоретическим основам финансовых расчётов и анализу предметной области. Вторая глава содержит описание проектирования программного приложения: от формирования требований до архитектурных решений. Третья глава описывает процесс реализации, тестирования и оценки эффективности разработанного продукта. Заключение обобщает полученные результаты и формулирует рекомендации по внедрению и развитию системы.</w:t>
      </w:r>
    </w:p>
    <w:p>
      <w:pPr>
        <w:pStyle w:val="Heading1"/>
      </w:pPr>
      <w:r>
        <w:rPr>
          <w:rFonts w:ascii="Times New Roman" w:hAnsi="Times New Roman" w:cs="Times New Roman" w:eastAsia="Times New Roman"/>
        </w:rPr>
        <w:t>1 ТЕОРЕТИЧЕСКИЕ ОСНОВЫ ФИНАНСОВЫХ РАСЧЁТОВ И АНАЛИЗ ПРЕДМЕТНОЙ ОБЛАСТИ</w:t>
      </w:r>
    </w:p>
    <w:p>
      <w:pPr>
        <w:pStyle w:val="Heading2"/>
      </w:pPr>
      <w:r>
        <w:rPr>
          <w:rFonts w:ascii="Times New Roman" w:hAnsi="Times New Roman" w:cs="Times New Roman" w:eastAsia="Times New Roman"/>
        </w:rPr>
        <w:t>1.1 Экономическая сущность банковских вкладов и капитализации процентов</w:t>
      </w:r>
    </w:p>
    <w:p>
      <w:pPr/>
      <w:r>
        <w:rPr>
          <w:rFonts w:ascii="Times New Roman" w:hAnsi="Times New Roman" w:cs="Times New Roman" w:eastAsia="Times New Roman"/>
          <w:b w:val="0"/>
          <w:sz w:val="28"/>
        </w:rPr>
        <w:t>Банковский вклад (депозит) — денежная сумма, которую вкладчик передаёт кредитной организации на определённых условиях ради хранения и получения дохода в виде процентов. По договору банковского вклада кредитная организация принимает поступившие от вкладчика средства, обязуясь возвратить основную сумму и выплатить начисленные проценты в порядке, согласованном сторонами [11]. Депозитные операции относятся к пассивным операциям банка и формируют значительную часть его ресурсной базы. Это их главная функция. Без привлечённых средств клиентов кредитная организация не способна осуществлять активные операции в достаточном объёме.</w:t>
      </w:r>
    </w:p>
    <w:p>
      <w:pPr/>
      <w:r>
        <w:rPr>
          <w:rFonts w:ascii="Times New Roman" w:hAnsi="Times New Roman" w:cs="Times New Roman" w:eastAsia="Times New Roman"/>
          <w:b w:val="0"/>
          <w:sz w:val="28"/>
        </w:rPr>
        <w:t>Институт банковского вклада прошёл длительную эволюцию. Первые формы депозитного хранения зафиксированы ещё в Древнем Вавилоне, где храмы принимали зерно и серебро на хранение, выдавая расписки. Средневековые менялы Италии — банкьери — трансформировали хранительскую функцию в кредитную: привлечённые средства стали размещаться в ссуды, а вкладчикам выплачивался процент как компенсация за временный отказ от пользования деньгами. О.И. Лаврушин прослеживает генезис депозитных операций от примитивного хранения к сложным финансовым продуктам и отмечает, что именно появление срочных вкладов с фиксированной доходностью позволило банкам планировать кредитный портфель [11]. Капитализация процентов — относительно позднее нововведение: массовое распространение вкладов с реинвестированием дохода началось лишь во второй половине XX века, когда автоматизация учётных операций сделала расчёт «процентов на проценты» технически доступным [18].</w:t>
      </w:r>
    </w:p>
    <w:p>
      <w:pPr/>
      <w:r>
        <w:rPr>
          <w:rFonts w:ascii="Times New Roman" w:hAnsi="Times New Roman" w:cs="Times New Roman" w:eastAsia="Times New Roman"/>
          <w:b w:val="0"/>
          <w:sz w:val="28"/>
        </w:rPr>
        <w:t>Е.А. Звонова отмечает, что банковские вклады остаются основным инструментом аккумуляции сбережений населения, несмотря на расширение альтернативных форм инвестирования [23]. Подтверждением этому служит статистика Национального банка Кыргызской Республики: депозитная база банковского сектора на конец 2024 года составила 592,4 млрд сомов, продемонстрировав прирост на 37,3 % по сравнению с аналогичным периодом предыдущего года [39]. Рост объёмов депозитов зафиксирован по всем категориям вкладчиков. Юридические лица разместили 246,3 млрд сомов, физические лица — 207,7 млрд сомов, а нерезиденты увеличили вложения до 75,4 млрд сомов [39].</w:t>
      </w:r>
    </w:p>
    <w:p>
      <w:pPr/>
      <w:r>
        <w:rPr>
          <w:rFonts w:ascii="Times New Roman" w:hAnsi="Times New Roman" w:cs="Times New Roman" w:eastAsia="Times New Roman"/>
          <w:b w:val="0"/>
          <w:sz w:val="28"/>
        </w:rPr>
        <w:t>Динамика депозитного рынка Кыргызстана за последние годы показывает устойчивый восходящий тренд. Совокупный объём депозитов (банки и микрофинансовые организации) к третьему кварталу 2025 года достиг 715,1 млрд сомов [39]. Депозитный портфель микрофинансового сектора составил 9,8 млрд сомов — прирост на 31 % с начала года. Темпы роста микрофинансовых депозитов опережают банковские, что указывает на растущее доверие вкладчиков к МФО. Для ООО «МКК «Замат Финанс» рост рынка означает увеличение числа депозитных договоров и, как следствие, возросшую потребность в автоматизации расчётных операций.</w:t>
      </w:r>
    </w:p>
    <w:p>
      <w:pPr/>
      <w:r>
        <w:rPr>
          <w:rFonts w:ascii="Times New Roman" w:hAnsi="Times New Roman" w:cs="Times New Roman" w:eastAsia="Times New Roman"/>
          <w:b w:val="0"/>
          <w:sz w:val="28"/>
        </w:rPr>
        <w:t>Классификация банковских вкладов строится на нескольких основаниях. По сроку размещения выделяют вклады до востребования и срочные вклады. Вклад до востребования позволяет вкладчику изъять средства в любой момент без предварительного уведомления, однако процентная ставка по нему минимальна. Срочный вклад предполагает размещение денежных средств на фиксированный период, по истечении которого вкладчик получает основную сумму и проценты. Ставка по срочным вкладам превышает ставку по вкладам до востребования, поскольку банк получает возможность планировать использование привлечённых ресурсов [11]. Помимо указанных двух типов, банковская практика выработала ряд гибридных форм: сберегательные вклады с возможностью пополнения, накопительные вклады с ежемесячным обязательным взносом, а также вклады с капитализацией процентов.</w:t>
      </w:r>
    </w:p>
    <w:p>
      <w:pPr/>
      <w:r>
        <w:rPr>
          <w:rFonts w:ascii="Times New Roman" w:hAnsi="Times New Roman" w:cs="Times New Roman" w:eastAsia="Times New Roman"/>
          <w:b w:val="0"/>
          <w:sz w:val="28"/>
        </w:rPr>
        <w:t>Д.А. Ендовицкий выделяет ещё одно основание для классификации — по категории вкладчика [7]. Вклады физических лиц ориентированы на розничный сегмент и, как правило, предусматривают меньшие минимальные суммы и более простые условия. Вклады юридических лиц сопровождаются повышенными требованиями к документальному оформлению и часто предлагают индивидуальные ставки, зависящие от суммы и срока. Для МКК «Замат Финанс» классификация по категории вкладчика имеет практическое значение: статус микрокредитной компании ограничивает круг допустимых вкладчиков юридическими лицами и учредителями, что рассмотрено подробно в параграфе 1.3.</w:t>
      </w:r>
    </w:p>
    <w:p>
      <w:pPr/>
      <w:r>
        <w:rPr>
          <w:rFonts w:ascii="Times New Roman" w:hAnsi="Times New Roman" w:cs="Times New Roman" w:eastAsia="Times New Roman"/>
          <w:b w:val="0"/>
          <w:sz w:val="28"/>
        </w:rPr>
        <w:t>По валюте вклады подразделяют на национальные (сомовые — применительно к Кыргызской Республике), валютные и мультивалютные. Не менее существенна классификация по способу начисления процентов. Здесь различают вклады с выплатой процентов в конце срока, с ежемесячной выплатой на отдельный счёт и вклады с капитализацией, при которых начисленные проценты присоединяются к телу вклада [9]. Последний вариант обладает особым экономическим содержанием, раскрытие которого составляет центральную задачу настоящего параграфа.</w:t>
      </w:r>
    </w:p>
    <w:p>
      <w:pPr/>
      <w:r>
        <w:rPr>
          <w:rFonts w:ascii="Times New Roman" w:hAnsi="Times New Roman" w:cs="Times New Roman" w:eastAsia="Times New Roman"/>
          <w:b w:val="0"/>
          <w:sz w:val="28"/>
        </w:rPr>
        <w:t>Процент по банковскому вкладу выступает платой кредитной организации за пользование привлечёнными средствами. Существуют две модели начисления. Механизм расчёта процентов опирается либо на схему простых, либо на схему сложных процентов, и разграничение между ними проведено ещё в классических трудах по финансовой математике [18, 29].</w:t>
      </w:r>
    </w:p>
    <w:p>
      <w:pPr/>
      <w:r>
        <w:rPr>
          <w:rFonts w:ascii="Times New Roman" w:hAnsi="Times New Roman" w:cs="Times New Roman" w:eastAsia="Times New Roman"/>
          <w:b w:val="0"/>
          <w:sz w:val="28"/>
        </w:rPr>
        <w:t>При простом начислении процентный доход рассчитывается исключительно от первоначальной суммы вклада на протяжении всего срока размещения. Формула наращения по простым процентам имеет вид:</w:t>
      </w:r>
    </w:p>
    <w:p>
      <w:pPr>
        <w:spacing w:before="120" w:after="120"/>
        <w:ind w:firstLine="0"/>
        <w:jc w:val="center"/>
      </w:pPr>
      <w:r>
        <w:rPr>
          <w:rFonts w:ascii="Times New Roman" w:hAnsi="Times New Roman" w:cs="Times New Roman" w:eastAsia="Times New Roman"/>
          <w:b/>
          <w:sz w:val="28"/>
        </w:rPr>
        <w:t>FV = PV × (1 + r × t),</w:t>
      </w:r>
    </w:p>
    <w:p>
      <w:pPr/>
      <w:r>
        <w:rPr>
          <w:rFonts w:ascii="Times New Roman" w:hAnsi="Times New Roman" w:cs="Times New Roman" w:eastAsia="Times New Roman"/>
          <w:b w:val="0"/>
          <w:sz w:val="28"/>
        </w:rPr>
        <w:t>где FV — наращенная сумма по окончании срока, PV — первоначальная сумма вклада, r — годовая процентная ставка (в десятичном выражении), t — срок вклада в годах [18]. Линейная зависимость накопленной суммы от времени определяет простоту расчётов, однако ограничивает доходность для вкладчика. При увеличении срока размещения прирост капитала замедляется относительно потенциала сложного процента.</w:t>
      </w:r>
    </w:p>
    <w:p>
      <w:pPr/>
      <w:r>
        <w:rPr>
          <w:rFonts w:ascii="Times New Roman" w:hAnsi="Times New Roman" w:cs="Times New Roman" w:eastAsia="Times New Roman"/>
          <w:b w:val="0"/>
          <w:sz w:val="28"/>
        </w:rPr>
        <w:t>Сложные проценты отличаются тем, что в каждом последующем периоде начисления процентный доход рассчитывается от суммы, увеличенной на ранее начисленные проценты. Е.М. Четыркин определяет этот механизм как «присоединение процентов к капиталу» [18]. Формула наращения по сложным процентам с дискретной капитализацией записывается следующим образом:</w:t>
      </w:r>
    </w:p>
    <w:p>
      <w:pPr>
        <w:spacing w:before="120" w:after="120"/>
        <w:ind w:firstLine="0"/>
        <w:jc w:val="center"/>
      </w:pPr>
      <w:r>
        <w:rPr>
          <w:rFonts w:ascii="Times New Roman" w:hAnsi="Times New Roman" w:cs="Times New Roman" w:eastAsia="Times New Roman"/>
          <w:b/>
          <w:sz w:val="28"/>
        </w:rPr>
        <w:t>FV = PV × (1 + r/n)^(n × t),</w:t>
      </w:r>
    </w:p>
    <w:p>
      <w:pPr/>
      <w:r>
        <w:rPr>
          <w:rFonts w:ascii="Times New Roman" w:hAnsi="Times New Roman" w:cs="Times New Roman" w:eastAsia="Times New Roman"/>
          <w:b w:val="0"/>
          <w:sz w:val="28"/>
        </w:rPr>
        <w:t>где n — количество периодов капитализации в году [18, 29]. Нелинейная (экспоненциальная) зависимость FV от времени t означает, что прирост вклада ускоряется с каждым новым периодом. Разница между схемами простого и сложного процента становится заметной уже при сроке свыше одного года, а на горизонте 5–10 лет различие приобретает принципиальный характер [19].</w:t>
      </w:r>
    </w:p>
    <w:p>
      <w:pPr/>
      <w:r>
        <w:rPr>
          <w:rFonts w:ascii="Times New Roman" w:hAnsi="Times New Roman" w:cs="Times New Roman" w:eastAsia="Times New Roman"/>
          <w:b w:val="0"/>
          <w:sz w:val="28"/>
        </w:rPr>
        <w:t>Числовой пример позволяет оценить масштаб расхождения на условиях, близких к продуктам Doke.kg. Пусть вкладчик размещает 500 000 сомов под 16 % годовых сроком на 3 года. При простых процентах наращенная сумма составит FV = 500 000 × (1 + 0,16 × 3) = 740 000 сомов, доход — 240 000 сомов. При сложных процентах с ежемесячной капитализацией FV = 500 000 × (1 + 0,16/12)^36 ≈ 804 329 сомов, доход — 304 329 сомов. Выигрыш от капитализации составляет 64 329 сомов, то есть 26,8 % дополнительного дохода. При пятилетнем сроке разница возрастает до 42,1 %. Цифры наглядны: для клиента с суммой в полмиллиона сомов выбор между простым и сложным процентом измеряется десятками тысяч сомов.</w:t>
      </w:r>
    </w:p>
    <w:p>
      <w:pPr/>
      <w:r>
        <w:rPr>
          <w:rFonts w:ascii="Times New Roman" w:hAnsi="Times New Roman" w:cs="Times New Roman" w:eastAsia="Times New Roman"/>
          <w:b w:val="0"/>
          <w:sz w:val="28"/>
        </w:rPr>
        <w:t>М.С. Аникин на конкретных числовых примерах продемонстрировал, что при годовой ставке 12 % и ежемесячной капитализации вклад сроком 3 года приносит на 1,95 % больше дохода, чем аналогичный вклад без капитализации. При пятилетнем сроке превышение достигает 3,38 % [19]. Д.В. Мамин подтвердил эту закономерность, рассчитав эффективность вкладов с различными условиями и придя к выводу, что капитализация максимально выгодна при длительных сроках и высоких ставках [24].</w:t>
      </w:r>
    </w:p>
    <w:p>
      <w:pPr/>
      <w:r>
        <w:rPr>
          <w:rFonts w:ascii="Times New Roman" w:hAnsi="Times New Roman" w:cs="Times New Roman" w:eastAsia="Times New Roman"/>
          <w:b w:val="0"/>
          <w:sz w:val="28"/>
        </w:rPr>
        <w:t>Капитализация процентов сводится к реинвестированию начисленного дохода в тело депозита без его фактического изъятия. Вкладчик получает «проценты на проценты» — эффект, который в англоязычной литературе обозначают термином compounding [29, 30]. По мнению F.J. Fabozzi, понимание этого механизма составляет фундамент анализа любых инструментов с фиксированным доходом [29].</w:t>
      </w:r>
    </w:p>
    <w:p>
      <w:pPr/>
      <w:r>
        <w:rPr>
          <w:rFonts w:ascii="Times New Roman" w:hAnsi="Times New Roman" w:cs="Times New Roman" w:eastAsia="Times New Roman"/>
          <w:b w:val="0"/>
          <w:sz w:val="28"/>
        </w:rPr>
        <w:t>Частота присоединения начисленных процентов к основной сумме определяет период капитализации. Банковская практика предлагает несколько вариантов: ежегодную, полугодовую, ежеквартальную, ежемесячную и ежедневную капитализацию. Чем выше частота, тем больше итоговый доход вкладчика при прочих равных условиях. Количественную оценку влияния частоты капитализации позволяет провести понятие эффективной процентной ставки, которая вычисляется по формуле:</w:t>
      </w:r>
    </w:p>
    <w:p>
      <w:pPr>
        <w:spacing w:before="120" w:after="120"/>
        <w:ind w:firstLine="0"/>
        <w:jc w:val="center"/>
      </w:pPr>
      <w:r>
        <w:rPr>
          <w:rFonts w:ascii="Times New Roman" w:hAnsi="Times New Roman" w:cs="Times New Roman" w:eastAsia="Times New Roman"/>
          <w:b/>
          <w:sz w:val="28"/>
        </w:rPr>
        <w:t>r_eff = (1 + r/n)^n − 1,</w:t>
      </w:r>
    </w:p>
    <w:p>
      <w:pPr/>
      <w:r>
        <w:rPr>
          <w:rFonts w:ascii="Times New Roman" w:hAnsi="Times New Roman" w:cs="Times New Roman" w:eastAsia="Times New Roman"/>
          <w:b w:val="0"/>
          <w:sz w:val="28"/>
        </w:rPr>
        <w:t>где r — номинальная годовая ставка, n — число капитализаций за год [18, 9]. Влияние частоты капитализации на эффективную ставку показано в таблице 1.1.1.</w:t>
      </w:r>
    </w:p>
    <w:p>
      <w:pPr>
        <w:spacing w:before="120" w:after="120"/>
        <w:ind w:firstLine="0"/>
        <w:jc w:val="center"/>
      </w:pPr>
      <w:r>
        <w:rPr>
          <w:rFonts w:ascii="Times New Roman" w:hAnsi="Times New Roman" w:cs="Times New Roman" w:eastAsia="Times New Roman"/>
          <w:b/>
          <w:sz w:val="24"/>
        </w:rPr>
        <w:t>Таблица 1.1.1 — Эффективная процентная ставка при номинальной ставке 16 % годовых</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40" w:after="40" w:line="320" w:lineRule="exact"/>
              <w:ind w:firstLine="0"/>
            </w:pPr>
            <w:r/>
            <w:r>
              <w:rPr>
                <w:rFonts w:ascii="Times New Roman" w:hAnsi="Times New Roman" w:cs="Times New Roman" w:eastAsia="Times New Roman"/>
                <w:b/>
                <w:sz w:val="24"/>
              </w:rPr>
              <w:t>Частота капитализации</w:t>
            </w:r>
          </w:p>
        </w:tc>
        <w:tc>
          <w:tcPr>
            <w:tcW w:type="dxa" w:w="2422"/>
          </w:tcPr>
          <w:p>
            <w:pPr>
              <w:spacing w:before="40" w:after="40" w:line="320" w:lineRule="exact"/>
              <w:ind w:firstLine="0"/>
            </w:pPr>
            <w:r/>
            <w:r>
              <w:rPr>
                <w:rFonts w:ascii="Times New Roman" w:hAnsi="Times New Roman" w:cs="Times New Roman" w:eastAsia="Times New Roman"/>
                <w:b/>
                <w:sz w:val="24"/>
              </w:rPr>
              <w:t>n</w:t>
            </w:r>
          </w:p>
        </w:tc>
        <w:tc>
          <w:tcPr>
            <w:tcW w:type="dxa" w:w="2422"/>
          </w:tcPr>
          <w:p>
            <w:pPr>
              <w:spacing w:before="40" w:after="40" w:line="320" w:lineRule="exact"/>
              <w:ind w:firstLine="0"/>
            </w:pPr>
            <w:r/>
            <w:r>
              <w:rPr>
                <w:rFonts w:ascii="Times New Roman" w:hAnsi="Times New Roman" w:cs="Times New Roman" w:eastAsia="Times New Roman"/>
                <w:b/>
                <w:sz w:val="24"/>
              </w:rPr>
              <w:t>r_eff, %</w:t>
            </w:r>
          </w:p>
        </w:tc>
        <w:tc>
          <w:tcPr>
            <w:tcW w:type="dxa" w:w="2422"/>
          </w:tcPr>
          <w:p>
            <w:pPr>
              <w:spacing w:before="40" w:after="40" w:line="320" w:lineRule="exact"/>
              <w:ind w:firstLine="0"/>
            </w:pPr>
            <w:r/>
            <w:r>
              <w:rPr>
                <w:rFonts w:ascii="Times New Roman" w:hAnsi="Times New Roman" w:cs="Times New Roman" w:eastAsia="Times New Roman"/>
                <w:b/>
                <w:sz w:val="24"/>
              </w:rPr>
              <w:t>Доход с 500 000 сомов за 3 года, сомов</w:t>
            </w:r>
          </w:p>
        </w:tc>
      </w:tr>
      <w:tr>
        <w:tc>
          <w:tcPr>
            <w:tcW w:type="dxa" w:w="2422"/>
          </w:tcPr>
          <w:p>
            <w:pPr>
              <w:spacing w:before="40" w:after="40" w:line="320" w:lineRule="exact"/>
              <w:ind w:firstLine="0"/>
            </w:pPr>
            <w:r/>
            <w:r>
              <w:rPr>
                <w:rFonts w:ascii="Times New Roman" w:hAnsi="Times New Roman" w:cs="Times New Roman" w:eastAsia="Times New Roman"/>
                <w:b w:val="0"/>
                <w:sz w:val="24"/>
              </w:rPr>
              <w:t>Ежегодная</w:t>
            </w:r>
          </w:p>
        </w:tc>
        <w:tc>
          <w:tcPr>
            <w:tcW w:type="dxa" w:w="2422"/>
          </w:tcPr>
          <w:p>
            <w:pPr>
              <w:spacing w:before="40" w:after="40" w:line="320" w:lineRule="exact"/>
              <w:ind w:firstLine="0"/>
            </w:pPr>
            <w:r/>
            <w:r>
              <w:rPr>
                <w:rFonts w:ascii="Times New Roman" w:hAnsi="Times New Roman" w:cs="Times New Roman" w:eastAsia="Times New Roman"/>
                <w:b w:val="0"/>
                <w:sz w:val="24"/>
              </w:rPr>
              <w:t>1</w:t>
            </w:r>
          </w:p>
        </w:tc>
        <w:tc>
          <w:tcPr>
            <w:tcW w:type="dxa" w:w="2422"/>
          </w:tcPr>
          <w:p>
            <w:pPr>
              <w:spacing w:before="40" w:after="40" w:line="320" w:lineRule="exact"/>
              <w:ind w:firstLine="0"/>
            </w:pPr>
            <w:r/>
            <w:r>
              <w:rPr>
                <w:rFonts w:ascii="Times New Roman" w:hAnsi="Times New Roman" w:cs="Times New Roman" w:eastAsia="Times New Roman"/>
                <w:b w:val="0"/>
                <w:sz w:val="24"/>
              </w:rPr>
              <w:t>16,00</w:t>
            </w:r>
          </w:p>
        </w:tc>
        <w:tc>
          <w:tcPr>
            <w:tcW w:type="dxa" w:w="2422"/>
          </w:tcPr>
          <w:p>
            <w:pPr>
              <w:spacing w:before="40" w:after="40" w:line="320" w:lineRule="exact"/>
              <w:ind w:firstLine="0"/>
            </w:pPr>
            <w:r/>
            <w:r>
              <w:rPr>
                <w:rFonts w:ascii="Times New Roman" w:hAnsi="Times New Roman" w:cs="Times New Roman" w:eastAsia="Times New Roman"/>
                <w:b w:val="0"/>
                <w:sz w:val="24"/>
              </w:rPr>
              <w:t>281 216</w:t>
            </w:r>
          </w:p>
        </w:tc>
      </w:tr>
      <w:tr>
        <w:tc>
          <w:tcPr>
            <w:tcW w:type="dxa" w:w="2422"/>
          </w:tcPr>
          <w:p>
            <w:pPr>
              <w:spacing w:before="40" w:after="40" w:line="320" w:lineRule="exact"/>
              <w:ind w:firstLine="0"/>
            </w:pPr>
            <w:r/>
            <w:r>
              <w:rPr>
                <w:rFonts w:ascii="Times New Roman" w:hAnsi="Times New Roman" w:cs="Times New Roman" w:eastAsia="Times New Roman"/>
                <w:b w:val="0"/>
                <w:sz w:val="24"/>
              </w:rPr>
              <w:t>Полугодовая</w:t>
            </w:r>
          </w:p>
        </w:tc>
        <w:tc>
          <w:tcPr>
            <w:tcW w:type="dxa" w:w="2422"/>
          </w:tcPr>
          <w:p>
            <w:pPr>
              <w:spacing w:before="40" w:after="40" w:line="320" w:lineRule="exact"/>
              <w:ind w:firstLine="0"/>
            </w:pPr>
            <w:r/>
            <w:r>
              <w:rPr>
                <w:rFonts w:ascii="Times New Roman" w:hAnsi="Times New Roman" w:cs="Times New Roman" w:eastAsia="Times New Roman"/>
                <w:b w:val="0"/>
                <w:sz w:val="24"/>
              </w:rPr>
              <w:t>2</w:t>
            </w:r>
          </w:p>
        </w:tc>
        <w:tc>
          <w:tcPr>
            <w:tcW w:type="dxa" w:w="2422"/>
          </w:tcPr>
          <w:p>
            <w:pPr>
              <w:spacing w:before="40" w:after="40" w:line="320" w:lineRule="exact"/>
              <w:ind w:firstLine="0"/>
            </w:pPr>
            <w:r/>
            <w:r>
              <w:rPr>
                <w:rFonts w:ascii="Times New Roman" w:hAnsi="Times New Roman" w:cs="Times New Roman" w:eastAsia="Times New Roman"/>
                <w:b w:val="0"/>
                <w:sz w:val="24"/>
              </w:rPr>
              <w:t>16,64</w:t>
            </w:r>
          </w:p>
        </w:tc>
        <w:tc>
          <w:tcPr>
            <w:tcW w:type="dxa" w:w="2422"/>
          </w:tcPr>
          <w:p>
            <w:pPr>
              <w:spacing w:before="40" w:after="40" w:line="320" w:lineRule="exact"/>
              <w:ind w:firstLine="0"/>
            </w:pPr>
            <w:r/>
            <w:r>
              <w:rPr>
                <w:rFonts w:ascii="Times New Roman" w:hAnsi="Times New Roman" w:cs="Times New Roman" w:eastAsia="Times New Roman"/>
                <w:b w:val="0"/>
                <w:sz w:val="24"/>
              </w:rPr>
              <w:t>293 098</w:t>
            </w:r>
          </w:p>
        </w:tc>
      </w:tr>
      <w:tr>
        <w:tc>
          <w:tcPr>
            <w:tcW w:type="dxa" w:w="2422"/>
          </w:tcPr>
          <w:p>
            <w:pPr>
              <w:spacing w:before="40" w:after="40" w:line="320" w:lineRule="exact"/>
              <w:ind w:firstLine="0"/>
            </w:pPr>
            <w:r/>
            <w:r>
              <w:rPr>
                <w:rFonts w:ascii="Times New Roman" w:hAnsi="Times New Roman" w:cs="Times New Roman" w:eastAsia="Times New Roman"/>
                <w:b w:val="0"/>
                <w:sz w:val="24"/>
              </w:rPr>
              <w:t>Ежеквартальная</w:t>
            </w:r>
          </w:p>
        </w:tc>
        <w:tc>
          <w:tcPr>
            <w:tcW w:type="dxa" w:w="2422"/>
          </w:tcPr>
          <w:p>
            <w:pPr>
              <w:spacing w:before="40" w:after="40" w:line="320" w:lineRule="exact"/>
              <w:ind w:firstLine="0"/>
            </w:pPr>
            <w:r/>
            <w:r>
              <w:rPr>
                <w:rFonts w:ascii="Times New Roman" w:hAnsi="Times New Roman" w:cs="Times New Roman" w:eastAsia="Times New Roman"/>
                <w:b w:val="0"/>
                <w:sz w:val="24"/>
              </w:rPr>
              <w:t>4</w:t>
            </w:r>
          </w:p>
        </w:tc>
        <w:tc>
          <w:tcPr>
            <w:tcW w:type="dxa" w:w="2422"/>
          </w:tcPr>
          <w:p>
            <w:pPr>
              <w:spacing w:before="40" w:after="40" w:line="320" w:lineRule="exact"/>
              <w:ind w:firstLine="0"/>
            </w:pPr>
            <w:r/>
            <w:r>
              <w:rPr>
                <w:rFonts w:ascii="Times New Roman" w:hAnsi="Times New Roman" w:cs="Times New Roman" w:eastAsia="Times New Roman"/>
                <w:b w:val="0"/>
                <w:sz w:val="24"/>
              </w:rPr>
              <w:t>16,99</w:t>
            </w:r>
          </w:p>
        </w:tc>
        <w:tc>
          <w:tcPr>
            <w:tcW w:type="dxa" w:w="2422"/>
          </w:tcPr>
          <w:p>
            <w:pPr>
              <w:spacing w:before="40" w:after="40" w:line="320" w:lineRule="exact"/>
              <w:ind w:firstLine="0"/>
            </w:pPr>
            <w:r/>
            <w:r>
              <w:rPr>
                <w:rFonts w:ascii="Times New Roman" w:hAnsi="Times New Roman" w:cs="Times New Roman" w:eastAsia="Times New Roman"/>
                <w:b w:val="0"/>
                <w:sz w:val="24"/>
              </w:rPr>
              <w:t>299 427</w:t>
            </w:r>
          </w:p>
        </w:tc>
      </w:tr>
      <w:tr>
        <w:tc>
          <w:tcPr>
            <w:tcW w:type="dxa" w:w="2422"/>
          </w:tcPr>
          <w:p>
            <w:pPr>
              <w:spacing w:before="40" w:after="40" w:line="320" w:lineRule="exact"/>
              <w:ind w:firstLine="0"/>
            </w:pPr>
            <w:r/>
            <w:r>
              <w:rPr>
                <w:rFonts w:ascii="Times New Roman" w:hAnsi="Times New Roman" w:cs="Times New Roman" w:eastAsia="Times New Roman"/>
                <w:b w:val="0"/>
                <w:sz w:val="24"/>
              </w:rPr>
              <w:t>Ежемесячная</w:t>
            </w:r>
          </w:p>
        </w:tc>
        <w:tc>
          <w:tcPr>
            <w:tcW w:type="dxa" w:w="2422"/>
          </w:tcPr>
          <w:p>
            <w:pPr>
              <w:spacing w:before="40" w:after="40" w:line="320" w:lineRule="exact"/>
              <w:ind w:firstLine="0"/>
            </w:pPr>
            <w:r/>
            <w:r>
              <w:rPr>
                <w:rFonts w:ascii="Times New Roman" w:hAnsi="Times New Roman" w:cs="Times New Roman" w:eastAsia="Times New Roman"/>
                <w:b w:val="0"/>
                <w:sz w:val="24"/>
              </w:rPr>
              <w:t>12</w:t>
            </w:r>
          </w:p>
        </w:tc>
        <w:tc>
          <w:tcPr>
            <w:tcW w:type="dxa" w:w="2422"/>
          </w:tcPr>
          <w:p>
            <w:pPr>
              <w:spacing w:before="40" w:after="40" w:line="320" w:lineRule="exact"/>
              <w:ind w:firstLine="0"/>
            </w:pPr>
            <w:r/>
            <w:r>
              <w:rPr>
                <w:rFonts w:ascii="Times New Roman" w:hAnsi="Times New Roman" w:cs="Times New Roman" w:eastAsia="Times New Roman"/>
                <w:b w:val="0"/>
                <w:sz w:val="24"/>
              </w:rPr>
              <w:t>17,23</w:t>
            </w:r>
          </w:p>
        </w:tc>
        <w:tc>
          <w:tcPr>
            <w:tcW w:type="dxa" w:w="2422"/>
          </w:tcPr>
          <w:p>
            <w:pPr>
              <w:spacing w:before="40" w:after="40" w:line="320" w:lineRule="exact"/>
              <w:ind w:firstLine="0"/>
            </w:pPr>
            <w:r/>
            <w:r>
              <w:rPr>
                <w:rFonts w:ascii="Times New Roman" w:hAnsi="Times New Roman" w:cs="Times New Roman" w:eastAsia="Times New Roman"/>
                <w:b w:val="0"/>
                <w:sz w:val="24"/>
              </w:rPr>
              <w:t>304 329</w:t>
            </w:r>
          </w:p>
        </w:tc>
      </w:tr>
      <w:tr>
        <w:tc>
          <w:tcPr>
            <w:tcW w:type="dxa" w:w="2422"/>
          </w:tcPr>
          <w:p>
            <w:pPr>
              <w:spacing w:before="40" w:after="40" w:line="320" w:lineRule="exact"/>
              <w:ind w:firstLine="0"/>
            </w:pPr>
            <w:r/>
            <w:r>
              <w:rPr>
                <w:rFonts w:ascii="Times New Roman" w:hAnsi="Times New Roman" w:cs="Times New Roman" w:eastAsia="Times New Roman"/>
                <w:b w:val="0"/>
                <w:sz w:val="24"/>
              </w:rPr>
              <w:t>Ежедневная</w:t>
            </w:r>
          </w:p>
        </w:tc>
        <w:tc>
          <w:tcPr>
            <w:tcW w:type="dxa" w:w="2422"/>
          </w:tcPr>
          <w:p>
            <w:pPr>
              <w:spacing w:before="40" w:after="40" w:line="320" w:lineRule="exact"/>
              <w:ind w:firstLine="0"/>
            </w:pPr>
            <w:r/>
            <w:r>
              <w:rPr>
                <w:rFonts w:ascii="Times New Roman" w:hAnsi="Times New Roman" w:cs="Times New Roman" w:eastAsia="Times New Roman"/>
                <w:b w:val="0"/>
                <w:sz w:val="24"/>
              </w:rPr>
              <w:t>365</w:t>
            </w:r>
          </w:p>
        </w:tc>
        <w:tc>
          <w:tcPr>
            <w:tcW w:type="dxa" w:w="2422"/>
          </w:tcPr>
          <w:p>
            <w:pPr>
              <w:spacing w:before="40" w:after="40" w:line="320" w:lineRule="exact"/>
              <w:ind w:firstLine="0"/>
            </w:pPr>
            <w:r/>
            <w:r>
              <w:rPr>
                <w:rFonts w:ascii="Times New Roman" w:hAnsi="Times New Roman" w:cs="Times New Roman" w:eastAsia="Times New Roman"/>
                <w:b w:val="0"/>
                <w:sz w:val="24"/>
              </w:rPr>
              <w:t>17,35</w:t>
            </w:r>
          </w:p>
        </w:tc>
        <w:tc>
          <w:tcPr>
            <w:tcW w:type="dxa" w:w="2422"/>
          </w:tcPr>
          <w:p>
            <w:pPr>
              <w:spacing w:before="40" w:after="40" w:line="320" w:lineRule="exact"/>
              <w:ind w:firstLine="0"/>
            </w:pPr>
            <w:r/>
            <w:r>
              <w:rPr>
                <w:rFonts w:ascii="Times New Roman" w:hAnsi="Times New Roman" w:cs="Times New Roman" w:eastAsia="Times New Roman"/>
                <w:b w:val="0"/>
                <w:sz w:val="24"/>
              </w:rPr>
              <w:t>306 533</w:t>
            </w:r>
          </w:p>
        </w:tc>
      </w:tr>
    </w:tbl>
    <w:p>
      <w:pPr/>
      <w:r>
        <w:rPr>
          <w:rFonts w:ascii="Times New Roman" w:hAnsi="Times New Roman" w:cs="Times New Roman" w:eastAsia="Times New Roman"/>
          <w:b w:val="0"/>
          <w:sz w:val="28"/>
        </w:rPr>
        <w:t>Разница между ежегодной и ежемесячной капитализацией при вкладе 500 000 сомов на 3 года составляет 23 113 сомов — сумма, ощутимая для индивидуального вкладчика. При этом переход от ежемесячного к ежедневному начислению добавляет лишь 2 204 сома, что объясняет предпочтение банков и МКО к ежемесячной капитализации как оптимальному компромиссу между доходностью для клиента и учётной нагрузкой для организации.</w:t>
      </w:r>
    </w:p>
    <w:p>
      <w:pPr/>
      <w:r>
        <w:rPr>
          <w:rFonts w:ascii="Times New Roman" w:hAnsi="Times New Roman" w:cs="Times New Roman" w:eastAsia="Times New Roman"/>
          <w:b w:val="0"/>
          <w:sz w:val="28"/>
        </w:rPr>
        <w:t>Предельным случаем выступает непрерывная капитализация, при которой число периодов n стремится к бесконечности. Формула наращения принимает вид:</w:t>
      </w:r>
    </w:p>
    <w:p>
      <w:pPr>
        <w:spacing w:before="120" w:after="120"/>
        <w:ind w:firstLine="0"/>
        <w:jc w:val="center"/>
      </w:pPr>
      <w:r>
        <w:rPr>
          <w:rFonts w:ascii="Times New Roman" w:hAnsi="Times New Roman" w:cs="Times New Roman" w:eastAsia="Times New Roman"/>
          <w:b/>
          <w:sz w:val="28"/>
        </w:rPr>
        <w:t>FV = PV × e^(r × t),</w:t>
      </w:r>
    </w:p>
    <w:p>
      <w:pPr/>
      <w:r>
        <w:rPr>
          <w:rFonts w:ascii="Times New Roman" w:hAnsi="Times New Roman" w:cs="Times New Roman" w:eastAsia="Times New Roman"/>
          <w:b w:val="0"/>
          <w:sz w:val="28"/>
        </w:rPr>
        <w:t>где e ≈ 2,71828 — основание натурального логарифма [30, 36]. J.C. Hull использует модель непрерывного начисления при оценке производных финансовых инструментов, поскольку она упрощает дифференцирование и интегрирование в аналитических выкладках [30]. P. Wilmott выводит эту формулу из дифференциального уравнения dM/dt = r × M, где M(t) — сумма на счёте в момент времени t [36]. На практике непрерывная капитализация применяется редко, однако как теоретическая модель она позволяет определить верхнюю границу дохода при заданной номинальной ставке.</w:t>
      </w:r>
    </w:p>
    <w:p>
      <w:pPr/>
      <w:r>
        <w:rPr>
          <w:rFonts w:ascii="Times New Roman" w:hAnsi="Times New Roman" w:cs="Times New Roman" w:eastAsia="Times New Roman"/>
          <w:b w:val="0"/>
          <w:sz w:val="28"/>
        </w:rPr>
        <w:t>С.А. Гамзатова, исследуя депозитные операции коммерческих банков, указывает, что выбор периода капитализации зависит от стратегии привлечения ресурсов: банки, стремящиеся увеличить розничную базу, чаще предлагают ежемесячную капитализацию, а институциональные вкладчики предпочитают вклады с выплатой процентов в конце срока [21]. Для микрокредитных организаций, работающих с небольшими суммами индивидуальных вкладчиков, ежемесячная капитализация служит маркетинговым инструментом: заявленная эффективная ставка выглядит привлекательнее номинальной.</w:t>
      </w:r>
    </w:p>
    <w:p>
      <w:pPr/>
      <w:r>
        <w:rPr>
          <w:rFonts w:ascii="Times New Roman" w:hAnsi="Times New Roman" w:cs="Times New Roman" w:eastAsia="Times New Roman"/>
          <w:b w:val="0"/>
          <w:sz w:val="28"/>
        </w:rPr>
        <w:t>Роль депозитных продуктов в деятельности микрокредитных организаций (МКО) заслуживает отдельного рассмотрения. Закон Кыргызской Республики «О микрофинансовых организациях» наделяет микрофинансовые компании правом привлекать вклады физических и юридических лиц при соблюдении установленных нормативов [2]. По состоянию на октябрь 2025 года на территории Кыргызстана действуют 104 микрофинансовые организации, часть из которых активно размещает депозитные программы [39]. Агентство по защите депозитов КР гарантирует возврат вкладов в коммерческих банках, однако депозиты в МКО под действие системы страхования не подпадают [40]. Отсутствие государственной гарантии повышает требования к прозрачности расчётов и обосновывает потребность в программном инструменте, предоставляющем вкладчику полную детализацию начислений.</w:t>
      </w:r>
    </w:p>
    <w:p>
      <w:pPr/>
      <w:r>
        <w:rPr>
          <w:rFonts w:ascii="Times New Roman" w:hAnsi="Times New Roman" w:cs="Times New Roman" w:eastAsia="Times New Roman"/>
          <w:b w:val="0"/>
          <w:sz w:val="28"/>
        </w:rPr>
        <w:t>Привлечение депозитов позволяет МКО снижать зависимость от внешних заимствований и формировать более дешёвую ресурсную базу, что подробно обосновали А.А. Воротников и А.Ю. Изотова на примере мировых тенденций микрокредитования [20]. Однако депозитная деятельность налагает на МКО дополнительные обязательства — от соблюдения экономических нормативов НБКР и обеспечения прозрачности расчёта процентов до регулярной отчётности перед регулятором. ООО «Микрокредитная Компания «Замат Финанс» (торговая марка Doke.kg), зарегистрированная НБКР с присвоением свидетельства №517, предлагает депозитные программы с различными вариантами капитализации. Расчёт параметров этих продуктов до настоящего времени выполнялся вручную средствами электронных таблиц, что порождает потребность в специализированном программном инструменте.</w:t>
      </w:r>
    </w:p>
    <w:p>
      <w:pPr/>
      <w:r>
        <w:rPr>
          <w:rFonts w:ascii="Times New Roman" w:hAnsi="Times New Roman" w:cs="Times New Roman" w:eastAsia="Times New Roman"/>
          <w:b w:val="0"/>
          <w:sz w:val="28"/>
        </w:rPr>
        <w:t>Помимо стандартных моделей простого и сложного процента, практика коммерческих организаций требует учёта ряда дополнительных факторов. Среди таких факторов — изменение процентной ставки в течение срока вклада, возможность частичного снятия средств и регулярного пополнения, налоговые удержания. МСФО (IFRS) 9 вводит понятие эффективной процентной ставки (effective interest rate) как метода распределения процентного дохода на период действия финансового инструмента [4]. Применение этого метода обеспечивает корректное отражение доходности вклада в финансовой отчётности, что актуально для МКО, обязанных соблюдать стандарты бухгалтерского учёта.</w:t>
      </w:r>
    </w:p>
    <w:p>
      <w:pPr/>
      <w:r>
        <w:rPr>
          <w:rFonts w:ascii="Times New Roman" w:hAnsi="Times New Roman" w:cs="Times New Roman" w:eastAsia="Times New Roman"/>
          <w:b w:val="0"/>
          <w:sz w:val="28"/>
        </w:rPr>
        <w:t>В.В. Ковалёв, рассматривая финансовые вычисления с позиции аналитика, выделяет два аспекта практического применения формул сложных процентов: прямой расчёт (определение будущей стоимости по известным начальным условиям) и обратный расчёт, или дисконтирование (определение текущей стоимости ожидаемой в будущем суммы) [9, 10]. Оба направления существенны для деятельности Doke.kg. Прямой расчёт позволяет клиенту оценить доход от размещения средств, а дисконтирование используется при формировании внутренней финансовой отчётности компании.</w:t>
      </w:r>
    </w:p>
    <w:p>
      <w:pPr/>
      <w:r>
        <w:rPr>
          <w:rFonts w:ascii="Times New Roman" w:hAnsi="Times New Roman" w:cs="Times New Roman" w:eastAsia="Times New Roman"/>
          <w:b w:val="0"/>
          <w:sz w:val="28"/>
        </w:rPr>
        <w:t>В работе S. Benninga показано, как модели сложного процента реализуются в среде Excel и Python [27]. Ручное применение формул при множестве вариативных параметров неизбежно сопровождается ошибками. Программная автоматизация устраняет этот недостаток и одновременно обеспечивает масштабируемость: одно приложение способно обслуживать сотни клиентских заявок без увеличения трудозатрат.</w:t>
      </w:r>
    </w:p>
    <w:p>
      <w:pPr/>
      <w:r>
        <w:rPr>
          <w:rFonts w:ascii="Times New Roman" w:hAnsi="Times New Roman" w:cs="Times New Roman" w:eastAsia="Times New Roman"/>
          <w:b w:val="0"/>
          <w:sz w:val="28"/>
        </w:rPr>
        <w:t>Модуль расчёта процентов, по оценке Т.В. Полтевой, составляет ядро любой автоматизированной банковской системы; от его корректности зависит достоверность всей финансовой информации организации [25]. Практика подтверждает этот тезис: как показали Р.И. Чен и соавторы, банковский сектор уже перешёл от табличных расчётов к специализированным веб-приложениям, позволяющим клиентам моделировать параметры вклада в режиме реального времени [26].</w:t>
      </w:r>
    </w:p>
    <w:p>
      <w:pPr/>
      <w:r>
        <w:rPr>
          <w:rFonts w:ascii="Times New Roman" w:hAnsi="Times New Roman" w:cs="Times New Roman" w:eastAsia="Times New Roman"/>
          <w:b w:val="0"/>
          <w:sz w:val="28"/>
        </w:rPr>
        <w:t>Проведённый анализ позволяет зафиксировать ряд положений. Банковский вклад по-прежнему остаётся базовым инструментом сбережения; капитализация процентов усиливает его доходность за счёт экспоненциального роста накоплений. Математический аппарат — формулы дискретной и непрерывной капитализации, понятие эффективной процентной ставки, метод эффективной ставки МСФО (IFRS) 9 — проработан глубоко, однако перенос этих моделей на многопараметрические депозитные продукты МКО Кыргызстана без программной автоматизации затруднён. Динамика рынка — рост депозитной базы МФО на 31 % за девять месяцев 2025 года — лишь усиливает потребность в таком инструменте. Именно его проектированию посвящены вторая и третья главы работы.</w:t>
      </w:r>
    </w:p>
    <w:p>
      <w:pPr>
        <w:pStyle w:val="Heading2"/>
      </w:pPr>
      <w:r>
        <w:rPr>
          <w:rFonts w:ascii="Times New Roman" w:hAnsi="Times New Roman" w:cs="Times New Roman" w:eastAsia="Times New Roman"/>
        </w:rPr>
        <w:t>1.2 Математические модели расчёта сложных процентов с различными режимами капитализации</w:t>
      </w:r>
    </w:p>
    <w:p>
      <w:pPr/>
      <w:r>
        <w:rPr>
          <w:rFonts w:ascii="Times New Roman" w:hAnsi="Times New Roman" w:cs="Times New Roman" w:eastAsia="Times New Roman"/>
          <w:b w:val="0"/>
          <w:sz w:val="28"/>
        </w:rPr>
        <w:t>Депозитные продукты микрокредитных организаций отличаются многообразием условий: ставки меняются по периодам, вкладчики пополняют счёт и снимают часть средств, а государство удерживает налог с процентного дохода. Простейшая формула сложных процентов, рассмотренная в предыдущем параграфе, не охватывает такие сценарии. Построение расчётного программного модуля требует формализации каждого из них в виде отдельной математической модели, пригодной для алгоритмической реализации [18]. Настоящий параграф последовательно расширяет базовую модель, добавляя один дополнительный фактор на каждом шаге, и сопоставляет полученные модели по точности и области применения.</w:t>
      </w:r>
    </w:p>
    <w:p>
      <w:pPr>
        <w:spacing w:before="120" w:after="120"/>
        <w:ind w:firstLine="709"/>
        <w:jc w:val="both"/>
      </w:pPr>
      <w:r>
        <w:rPr>
          <w:rFonts w:ascii="Times New Roman" w:hAnsi="Times New Roman" w:cs="Times New Roman" w:eastAsia="Times New Roman"/>
          <w:b/>
          <w:sz w:val="28"/>
        </w:rPr>
        <w:t>Базовая модель дискретной капитализации</w:t>
      </w:r>
    </w:p>
    <w:p>
      <w:pPr/>
      <w:r>
        <w:rPr>
          <w:rFonts w:ascii="Times New Roman" w:hAnsi="Times New Roman" w:cs="Times New Roman" w:eastAsia="Times New Roman"/>
          <w:b w:val="0"/>
          <w:sz w:val="28"/>
        </w:rPr>
        <w:t>Формула наращения при фиксированной ставке и равномерных периодах капитализации уже была приведена в §1.1. Здесь она рассматривается подробнее с позиции вычислительной реализации. Запись имеет вид:</w:t>
      </w:r>
    </w:p>
    <w:p>
      <w:pPr>
        <w:spacing w:before="120" w:after="120"/>
        <w:ind w:firstLine="0"/>
        <w:jc w:val="center"/>
      </w:pPr>
      <w:r>
        <w:rPr>
          <w:rFonts w:ascii="Times New Roman" w:hAnsi="Times New Roman" w:cs="Times New Roman" w:eastAsia="Times New Roman"/>
          <w:b/>
          <w:sz w:val="28"/>
        </w:rPr>
        <w:t>FV = PV × (1 + r/n)^(n × t),</w:t>
      </w:r>
    </w:p>
    <w:p>
      <w:pPr/>
      <w:r>
        <w:rPr>
          <w:rFonts w:ascii="Times New Roman" w:hAnsi="Times New Roman" w:cs="Times New Roman" w:eastAsia="Times New Roman"/>
          <w:b w:val="0"/>
          <w:sz w:val="28"/>
        </w:rPr>
        <w:t>где PV обозначает начальную сумму вклада, r — номинальную годовую процентную ставку, n — число периодов капитализации за год, t — срок размещения в годах [18]. Выражение (1 + r/n) принято называть множителем наращения за один период, а показатель степени n × t равен полному числу начислений за весь срок вклада [9].</w:t>
      </w:r>
    </w:p>
    <w:p>
      <w:pPr/>
      <w:r>
        <w:rPr>
          <w:rFonts w:ascii="Times New Roman" w:hAnsi="Times New Roman" w:cs="Times New Roman" w:eastAsia="Times New Roman"/>
          <w:b w:val="0"/>
          <w:sz w:val="28"/>
        </w:rPr>
        <w:t>Е.М. Четыркин обращает внимание на то, что при программной реализации удобнее разделять расчёт на итерации: на каждом шаге k текущая сумма S_k вычисляется рекуррентно как S_k = S_{k−1} × (1 + r/n) [18]. Итерационная форма допускает промежуточные проверки, отладку и протоколирование результатов, что упрощает верификацию. Замкнутая формула остаётся эквивалентной, однако при большом числе периодов она подвержена ошибкам округления с плавающей запятой [27]. S. Benninga рекомендует использовать числовые типы повышенной точности (decimal) при финансовых вычислениях, чтобы избежать накопления погрешности [27].</w:t>
      </w:r>
    </w:p>
    <w:p>
      <w:pPr/>
      <w:r>
        <w:rPr>
          <w:rFonts w:ascii="Times New Roman" w:hAnsi="Times New Roman" w:cs="Times New Roman" w:eastAsia="Times New Roman"/>
          <w:b w:val="0"/>
          <w:sz w:val="28"/>
        </w:rPr>
        <w:t>В.В. Ковалёв подчёркивает, что модель дискретной капитализации предполагает постоянство ставки, отсутствие промежуточных денежных потоков и неизменность суммы между начислениями [9]. Три ограничения задают рамки применимости. Снятие любого из них приводит к расширенным моделям.</w:t>
      </w:r>
    </w:p>
    <w:p>
      <w:pPr/>
      <w:r>
        <w:rPr>
          <w:rFonts w:ascii="Times New Roman" w:hAnsi="Times New Roman" w:cs="Times New Roman" w:eastAsia="Times New Roman"/>
          <w:b w:val="0"/>
          <w:sz w:val="28"/>
        </w:rPr>
        <w:t>Рассмотрим числовой пример, приближенный к условиям Doke.kg. Вклад 300 000 сомов размещён на 12 месяцев под 18 % годовых с ежемесячной капитализацией. Множитель наращения за один месяц: (1 + 0,18/12) = 1,015. Число периодов: 12. Наращенная сумма: FV = 300 000 × 1,015^12 = 300 000 × 1,19562 ≈ 358 685 сомов. Процентный доход: 58 685 сомов. При ежеквартальной капитализации (n = 4) множитель за квартал составляет (1 + 0,18/4) = 1,045, число периодов 4, и FV = 300 000 × 1,045^4 ≈ 357 813 сомов. Разница в 872 сома наглядно показывает эффект частоты капитализации даже на коротком горизонте.</w:t>
      </w:r>
    </w:p>
    <w:p>
      <w:pPr>
        <w:spacing w:before="120" w:after="120"/>
        <w:ind w:firstLine="709"/>
        <w:jc w:val="both"/>
      </w:pPr>
      <w:r>
        <w:rPr>
          <w:rFonts w:ascii="Times New Roman" w:hAnsi="Times New Roman" w:cs="Times New Roman" w:eastAsia="Times New Roman"/>
          <w:b/>
          <w:sz w:val="28"/>
        </w:rPr>
        <w:t>Модель непрерывного начисления</w:t>
      </w:r>
    </w:p>
    <w:p>
      <w:pPr/>
      <w:r>
        <w:rPr>
          <w:rFonts w:ascii="Times New Roman" w:hAnsi="Times New Roman" w:cs="Times New Roman" w:eastAsia="Times New Roman"/>
          <w:b w:val="0"/>
          <w:sz w:val="28"/>
        </w:rPr>
        <w:t>Если частота капитализации n устремляется к бесконечности, дискретная формула переходит в предел:</w:t>
      </w:r>
    </w:p>
    <w:p>
      <w:pPr>
        <w:spacing w:before="120" w:after="120"/>
        <w:ind w:firstLine="0"/>
        <w:jc w:val="center"/>
      </w:pPr>
      <w:r>
        <w:rPr>
          <w:rFonts w:ascii="Times New Roman" w:hAnsi="Times New Roman" w:cs="Times New Roman" w:eastAsia="Times New Roman"/>
          <w:b/>
          <w:sz w:val="28"/>
        </w:rPr>
        <w:t>FV = PV × e^(r × t),</w:t>
      </w:r>
    </w:p>
    <w:p>
      <w:pPr/>
      <w:r>
        <w:rPr>
          <w:rFonts w:ascii="Times New Roman" w:hAnsi="Times New Roman" w:cs="Times New Roman" w:eastAsia="Times New Roman"/>
          <w:b w:val="0"/>
          <w:sz w:val="28"/>
        </w:rPr>
        <w:t>где e ≈ 2,71828 — основание натурального логарифма [30]. Переход обосновывается классическим пределом lim_{n→∞}(1 + r/n)^n = e^r, описанным ещё Эйлером. J.C. Hull выводит эту модель из дифференциального уравнения dS/dt = r × S с начальным условием S(0) = PV, решение которого даёт экспоненту [30]. P. Wilmott применяет ту же конструкцию при моделировании стоимости безрисковых облигаций [36].</w:t>
      </w:r>
    </w:p>
    <w:p>
      <w:pPr/>
      <w:r>
        <w:rPr>
          <w:rFonts w:ascii="Times New Roman" w:hAnsi="Times New Roman" w:cs="Times New Roman" w:eastAsia="Times New Roman"/>
          <w:b w:val="0"/>
          <w:sz w:val="28"/>
        </w:rPr>
        <w:t>Непрерывная модель удобна в теории. Она позволяет переходить от сложения дискретных приращений к интегрированию, что упрощает аналитические выкладки при оценке производных инструментов [30]. Однако ни один банк и ни одна микрокредитная организация не начисляют проценты непрерывно: бухгалтерский учёт требует фиксированных дат начисления [4]. Поэтому в разрабатываемом приложении непрерывная модель будет реализована как справочный инструмент для определения верхней границы дохода. Для упомянутого выше примера (300 000 сомов, 18 % годовых, 1 год) непрерывная капитализация даёт FV = 300 000 × e^0,18 ≈ 359 119 сомов. Разница с ежемесячным начислением — 434 сома, или 0,12 %, что подтверждает практическую достаточность дискретной модели с коротким периодом капитализации [29].</w:t>
      </w:r>
    </w:p>
    <w:p>
      <w:pPr>
        <w:spacing w:before="120" w:after="120"/>
        <w:ind w:firstLine="709"/>
        <w:jc w:val="both"/>
      </w:pPr>
      <w:r>
        <w:rPr>
          <w:rFonts w:ascii="Times New Roman" w:hAnsi="Times New Roman" w:cs="Times New Roman" w:eastAsia="Times New Roman"/>
          <w:b/>
          <w:sz w:val="28"/>
        </w:rPr>
        <w:t>Модель с переменной процентной ставкой</w:t>
      </w:r>
    </w:p>
    <w:p>
      <w:pPr/>
      <w:r>
        <w:rPr>
          <w:rFonts w:ascii="Times New Roman" w:hAnsi="Times New Roman" w:cs="Times New Roman" w:eastAsia="Times New Roman"/>
          <w:b w:val="0"/>
          <w:sz w:val="28"/>
        </w:rPr>
        <w:t>Реальные депозитные договоры редко предусматривают единую ставку на весь срок. ООО «МКК «Замат Финанс» предлагает продукты, в которых ставка зависит от суммы остатка или меняется по временным интервалам. И.Я. Лукасевич формализует расчёт наращения при ставке, меняющейся по периодам, следующим образом [13]:</w:t>
      </w:r>
    </w:p>
    <w:p>
      <w:pPr>
        <w:spacing w:before="120" w:after="120"/>
        <w:ind w:firstLine="0"/>
        <w:jc w:val="center"/>
      </w:pPr>
      <w:r>
        <w:rPr>
          <w:rFonts w:ascii="Times New Roman" w:hAnsi="Times New Roman" w:cs="Times New Roman" w:eastAsia="Times New Roman"/>
          <w:b/>
          <w:sz w:val="28"/>
        </w:rPr>
        <w:t>FV = PV × ∏_{j=1}^{m} (1 + r_j / n_j)^(n_j × t_j),</w:t>
      </w:r>
    </w:p>
    <w:p>
      <w:pPr/>
      <w:r>
        <w:rPr>
          <w:rFonts w:ascii="Times New Roman" w:hAnsi="Times New Roman" w:cs="Times New Roman" w:eastAsia="Times New Roman"/>
          <w:b w:val="0"/>
          <w:sz w:val="28"/>
        </w:rPr>
        <w:t>где m обозначает количество интервалов с разными ставками, r_j — годовую ставку на j-м интервале, n_j — частоту капитализации на j-м интервале, t_j — длительность j-го интервала в годах [13]. Символ ∏ означает произведение множителей наращения по всем интервалам.</w:t>
      </w:r>
    </w:p>
    <w:p>
      <w:pPr/>
      <w:r>
        <w:rPr>
          <w:rFonts w:ascii="Times New Roman" w:hAnsi="Times New Roman" w:cs="Times New Roman" w:eastAsia="Times New Roman"/>
          <w:b w:val="0"/>
          <w:sz w:val="28"/>
        </w:rPr>
        <w:t>На практике произведение раскладывается в последовательные умножения. Сначала начальная сумма наращивается за первый интервал по ставке r_1, затем результат выступает начальной суммой для второго интервала со ставкой r_2 и так далее [18]. Четыркин поясняет, что метод «цепного наращения» эквивалентен общей формуле, но нагляднее для вычислительных алгоритмов [18]. Модель допускает произвольное число интервалов. Это свойство существенно для программного модуля, поскольку Doke.kg может изменить условия продукта, и система должна обрабатывать любую конфигурацию ставок без модификации кода.</w:t>
      </w:r>
    </w:p>
    <w:p>
      <w:pPr/>
      <w:r>
        <w:rPr>
          <w:rFonts w:ascii="Times New Roman" w:hAnsi="Times New Roman" w:cs="Times New Roman" w:eastAsia="Times New Roman"/>
          <w:b w:val="0"/>
          <w:sz w:val="28"/>
        </w:rPr>
        <w:t>Проиллюстрируем на примере. Вкладчик размещает 400 000 сомов на 24 месяца. Первые 12 месяцев ставка составляет 20 % годовых, следующие 12 — 16 %. Капитализация ежемесячная. За первый интервал: S_12 = 400 000 × (1 + 0,20/12)^12 ≈ 488 130 сомов. За второй интервал: FV = 488 130 × (1 + 0,16/12)^12 ≈ 572 603 сомов. Совокупный доход: 172 603 сома. Если бы ставка была единой (18 % — среднее арифметическое), результат составил бы FV ≈ 572 036 сомов. Расхождение в 567 сомов объясняется тем, что более высокая ставка действовала на первом интервале, когда база начисления меньше. Среднее арифметическое ставок не может заменить пошаговый расчёт.</w:t>
      </w:r>
    </w:p>
    <w:p>
      <w:pPr>
        <w:spacing w:before="120" w:after="120"/>
        <w:ind w:firstLine="709"/>
        <w:jc w:val="both"/>
      </w:pPr>
      <w:r>
        <w:rPr>
          <w:rFonts w:ascii="Times New Roman" w:hAnsi="Times New Roman" w:cs="Times New Roman" w:eastAsia="Times New Roman"/>
          <w:b/>
          <w:sz w:val="28"/>
        </w:rPr>
        <w:t>Модель с регулярными пополнениями (аннуитетная)</w:t>
      </w:r>
    </w:p>
    <w:p>
      <w:pPr/>
      <w:r>
        <w:rPr>
          <w:rFonts w:ascii="Times New Roman" w:hAnsi="Times New Roman" w:cs="Times New Roman" w:eastAsia="Times New Roman"/>
          <w:b w:val="0"/>
          <w:sz w:val="28"/>
        </w:rPr>
        <w:t>Накопительные вклады предполагают, что клиент вносит дополнительные суммы через равные промежутки времени. Ковалёв описывает эту задачу через модель обычного аннуитета, в которой периодические платежи PMT поступают в конце каждого периода [9]. Формула наращения принимает вид:</w:t>
      </w:r>
    </w:p>
    <w:p>
      <w:pPr>
        <w:spacing w:before="120" w:after="120"/>
        <w:ind w:firstLine="0"/>
        <w:jc w:val="center"/>
      </w:pPr>
      <w:r>
        <w:rPr>
          <w:rFonts w:ascii="Times New Roman" w:hAnsi="Times New Roman" w:cs="Times New Roman" w:eastAsia="Times New Roman"/>
          <w:b/>
          <w:sz w:val="28"/>
        </w:rPr>
        <w:t>FV = PV × (1 + i)^N + PMT × [((1 + i)^N − 1) / i],</w:t>
      </w:r>
    </w:p>
    <w:p>
      <w:pPr/>
      <w:r>
        <w:rPr>
          <w:rFonts w:ascii="Times New Roman" w:hAnsi="Times New Roman" w:cs="Times New Roman" w:eastAsia="Times New Roman"/>
          <w:b w:val="0"/>
          <w:sz w:val="28"/>
        </w:rPr>
        <w:t>где i = r/n — ставка за один период начисления, N = n × t — общее число периодов, PMT — сумма регулярного пополнения [9, 29]. Первое слагаемое отражает рост первоначального взноса по модели сложных процентов, а второе описывает накопленную стоимость потока пополнений.</w:t>
      </w:r>
    </w:p>
    <w:p>
      <w:pPr/>
      <w:r>
        <w:rPr>
          <w:rFonts w:ascii="Times New Roman" w:hAnsi="Times New Roman" w:cs="Times New Roman" w:eastAsia="Times New Roman"/>
          <w:b w:val="0"/>
          <w:sz w:val="28"/>
        </w:rPr>
        <w:t>F.J. Fabozzi уточняет, что формула справедлива при условии совпадения момента пополнения с моментом капитализации [29]. Если клиент вносит средства в начале периода, а не в конце, множитель второго слагаемого корректируется: оно умножается на (1 + i), и модель превращается в аннуитет пренумерандо [18]. Лукасевич рекомендует при проектировании программного обеспечения предоставлять пользователю выбор между двумя вариантами, поскольку различие в итоговой сумме может достигать нескольких процентов при длительных сроках [13].</w:t>
      </w:r>
    </w:p>
    <w:p>
      <w:pPr/>
      <w:r>
        <w:rPr>
          <w:rFonts w:ascii="Times New Roman" w:hAnsi="Times New Roman" w:cs="Times New Roman" w:eastAsia="Times New Roman"/>
          <w:b w:val="0"/>
          <w:sz w:val="28"/>
        </w:rPr>
        <w:t>Пример иллюстрирует масштаб эффекта. При начальном взносе 100 000 сомов, ежемесячном пополнении 5 000 сомов, ставке 14 % годовых и ежемесячной капитализации за 3 года (N = 36 периодов) расчёт по формуле даёт: первое слагаемое PV × (1 + 0,14/12)^36 ≈ 151 259 сомов, второе слагаемое PMT × [((1 + 0,14/12)^36 − 1) / (0,14/12)] ≈ 219 453 сомов. Итого FV ≈ 370 712 сомов. Без капитализации (простые проценты) та же комбинация начального взноса и пополнений дала бы около 352 000 сомов. Выигрыш от капитализации составляет порядка 18 700 сомов, или 5,3 % от суммы без капитализации [24].</w:t>
      </w:r>
    </w:p>
    <w:p>
      <w:pPr>
        <w:spacing w:before="120" w:after="120"/>
        <w:ind w:firstLine="709"/>
        <w:jc w:val="both"/>
      </w:pPr>
      <w:r>
        <w:rPr>
          <w:rFonts w:ascii="Times New Roman" w:hAnsi="Times New Roman" w:cs="Times New Roman" w:eastAsia="Times New Roman"/>
          <w:b/>
          <w:sz w:val="28"/>
        </w:rPr>
        <w:t>Модель с учётом частичных снятий</w:t>
      </w:r>
    </w:p>
    <w:p>
      <w:pPr/>
      <w:r>
        <w:rPr>
          <w:rFonts w:ascii="Times New Roman" w:hAnsi="Times New Roman" w:cs="Times New Roman" w:eastAsia="Times New Roman"/>
          <w:b w:val="0"/>
          <w:sz w:val="28"/>
        </w:rPr>
        <w:t>Вклады ряда депозитных программ Doke.kg допускают частичное изъятие средств без расторжения договора. Математическая модель строится на уменьшении базы начисления в момент снятия [10]. Если в момент времени τ (измеренном в периодах от начала вклада) вкладчик изымает сумму W, то расчёт делится на два этапа. До момента τ сумма наращивается по стандартной формуле. Непосредственно после снятия база уменьшается, и дальнейшее наращение производится от нового остатка:</w:t>
      </w:r>
    </w:p>
    <w:p>
      <w:pPr>
        <w:spacing w:before="120" w:after="120"/>
        <w:ind w:firstLine="0"/>
        <w:jc w:val="center"/>
      </w:pPr>
      <w:r>
        <w:rPr>
          <w:rFonts w:ascii="Times New Roman" w:hAnsi="Times New Roman" w:cs="Times New Roman" w:eastAsia="Times New Roman"/>
          <w:b/>
          <w:sz w:val="28"/>
        </w:rPr>
        <w:t>FV = (S_τ − W) × (1 + i)^(N − τ),</w:t>
      </w:r>
    </w:p>
    <w:p>
      <w:pPr/>
      <w:r>
        <w:rPr>
          <w:rFonts w:ascii="Times New Roman" w:hAnsi="Times New Roman" w:cs="Times New Roman" w:eastAsia="Times New Roman"/>
          <w:b w:val="0"/>
          <w:sz w:val="28"/>
        </w:rPr>
        <w:t>где S_τ = PV × (1 + i)^τ — сумма на счёте к моменту снятия, W — величина изъятия, (N − τ) — оставшееся число периодов [10]. При нескольких снятиях формула обобщается по тому же принципу: после каждого изъятия расчёт «перезапускается» от уменьшенной базы.</w:t>
      </w:r>
    </w:p>
    <w:p>
      <w:pPr/>
      <w:r>
        <w:rPr>
          <w:rFonts w:ascii="Times New Roman" w:hAnsi="Times New Roman" w:cs="Times New Roman" w:eastAsia="Times New Roman"/>
          <w:b w:val="0"/>
          <w:sz w:val="28"/>
        </w:rPr>
        <w:t>Частичные снятия снижают эффективную доходность нелинейно. Как показал Д.В. Мамин, изъятие на раннем этапе наносит больший ущерб итоговой сумме, чем аналогичное снятие ближе к завершению срока, поскольку ранние средства имели больший горизонт для начисления процентов [24]. Рассмотрим конкретный пример. Вклад 500 000 сомов, 16 % годовых, 24 месяца, ежемесячная капитализация. Без снятий: FV = 500 000 × 1,01333^24 ≈ 687 544 сома. Если на 6-м месяце вкладчик снимает 100 000 сомов, баланс к этому моменту составляет S_6 ≈ 541 022, после снятия — 441 022 сома. За оставшиеся 18 месяцев: FV = 441 022 × 1,01333^18 ≈ 554 673 сома. Потеря по сравнению с вариантом без снятия — 132 871 сом, что значительно превышает изъятые 100 000 сомов из-за утраченных «процентов на проценты». Программная реализация обязана учитывать произвольное число снятий с произвольными суммами и датами, что исключает использование замкнутой формулы и требует пошагового (итерационного) расчёта.</w:t>
      </w:r>
    </w:p>
    <w:p>
      <w:pPr>
        <w:spacing w:before="120" w:after="120"/>
        <w:ind w:firstLine="709"/>
        <w:jc w:val="both"/>
      </w:pPr>
      <w:r>
        <w:rPr>
          <w:rFonts w:ascii="Times New Roman" w:hAnsi="Times New Roman" w:cs="Times New Roman" w:eastAsia="Times New Roman"/>
          <w:b/>
          <w:sz w:val="28"/>
        </w:rPr>
        <w:t>Комбинированная модель: пополнения, снятия и переменная ставка</w:t>
      </w:r>
    </w:p>
    <w:p>
      <w:pPr/>
      <w:r>
        <w:rPr>
          <w:rFonts w:ascii="Times New Roman" w:hAnsi="Times New Roman" w:cs="Times New Roman" w:eastAsia="Times New Roman"/>
          <w:b w:val="0"/>
          <w:sz w:val="28"/>
        </w:rPr>
        <w:t>Реальный депозит объединяет все перечисленные факторы. Итерационный алгоритм, который реализуется в программном модуле, вычисляет баланс на каждом периоде k по рекуррентному соотношению:</w:t>
      </w:r>
    </w:p>
    <w:p>
      <w:pPr>
        <w:spacing w:before="120" w:after="120"/>
        <w:ind w:firstLine="0"/>
        <w:jc w:val="center"/>
      </w:pPr>
      <w:r>
        <w:rPr>
          <w:rFonts w:ascii="Times New Roman" w:hAnsi="Times New Roman" w:cs="Times New Roman" w:eastAsia="Times New Roman"/>
          <w:b/>
          <w:sz w:val="28"/>
        </w:rPr>
        <w:t>S_k = (S_{k−1} + D_k − W_k) × (1 + r_k / n_k),</w:t>
      </w:r>
    </w:p>
    <w:p>
      <w:pPr/>
      <w:r>
        <w:rPr>
          <w:rFonts w:ascii="Times New Roman" w:hAnsi="Times New Roman" w:cs="Times New Roman" w:eastAsia="Times New Roman"/>
          <w:b w:val="0"/>
          <w:sz w:val="28"/>
        </w:rPr>
        <w:t>где D_k — сумма пополнения в периоде k (ноль при отсутствии), W_k — сумма снятия в периоде k (ноль при отсутствии), r_k — годовая ставка, действующая в периоде k, n_k — частота капитализации [18, 9]. Начальное условие: S_0 = PV. Итоговая наращенная сумма определяется после завершения последнего периода: FV = S_N.</w:t>
      </w:r>
    </w:p>
    <w:p>
      <w:pPr/>
      <w:r>
        <w:rPr>
          <w:rFonts w:ascii="Times New Roman" w:hAnsi="Times New Roman" w:cs="Times New Roman" w:eastAsia="Times New Roman"/>
          <w:b w:val="0"/>
          <w:sz w:val="28"/>
        </w:rPr>
        <w:t>Benninga подчёркивает, что рекуррентный подход универсален: он не требует аналитического замкнутого решения и одинаково корректно обрабатывает любую комбинацию переменных ставок, нерегулярных пополнений и снятий [27]. Вычислительная сложность алгоритма пропорциональна числу периодов (O(N)), что обеспечивает мгновенный отклик даже при посуточном расчёте на горизонте десятков лет.</w:t>
      </w:r>
    </w:p>
    <w:p>
      <w:pPr>
        <w:spacing w:before="120" w:after="120"/>
        <w:ind w:firstLine="709"/>
        <w:jc w:val="both"/>
      </w:pPr>
      <w:r>
        <w:rPr>
          <w:rFonts w:ascii="Times New Roman" w:hAnsi="Times New Roman" w:cs="Times New Roman" w:eastAsia="Times New Roman"/>
          <w:b/>
          <w:sz w:val="28"/>
        </w:rPr>
        <w:t>Налоговый корректор</w:t>
      </w:r>
    </w:p>
    <w:p>
      <w:pPr/>
      <w:r>
        <w:rPr>
          <w:rFonts w:ascii="Times New Roman" w:hAnsi="Times New Roman" w:cs="Times New Roman" w:eastAsia="Times New Roman"/>
          <w:b w:val="0"/>
          <w:sz w:val="28"/>
        </w:rPr>
        <w:t>Законодательство Кыргызской Республики предусматривает налогообложение процентного дохода по вкладам. Ставка налога определяется нормативными актами и может изменяться. Налоговый корректор вводится для определения чистой (после удержания налога) доходности вклада [10]. Формула расчёта чистого дохода:</w:t>
      </w:r>
    </w:p>
    <w:p>
      <w:pPr/>
      <w:r>
        <w:rPr>
          <w:rFonts w:ascii="Times New Roman" w:hAnsi="Times New Roman" w:cs="Times New Roman" w:eastAsia="Times New Roman"/>
          <w:b w:val="0"/>
          <w:sz w:val="28"/>
        </w:rPr>
      </w:r>
      <w:r>
        <w:rPr>
          <w:rFonts w:ascii="Times New Roman" w:hAnsi="Times New Roman" w:cs="Times New Roman" w:eastAsia="Times New Roman"/>
          <w:b/>
          <w:sz w:val="28"/>
        </w:rPr>
        <w:t>FV_net = FV − tax × (FV − PV),</w:t>
      </w:r>
      <w:r>
        <w:rPr>
          <w:rFonts w:ascii="Times New Roman" w:hAnsi="Times New Roman" w:cs="Times New Roman" w:eastAsia="Times New Roman"/>
          <w:b w:val="0"/>
          <w:sz w:val="28"/>
        </w:rPr>
      </w:r>
    </w:p>
    <w:p>
      <w:pPr/>
      <w:r>
        <w:rPr>
          <w:rFonts w:ascii="Times New Roman" w:hAnsi="Times New Roman" w:cs="Times New Roman" w:eastAsia="Times New Roman"/>
          <w:b w:val="0"/>
          <w:sz w:val="28"/>
        </w:rPr>
        <w:t>где FV — наращенная сумма до вычета налога, PV — первоначальный вклад, tax — ставка налога на процентный доход в десятичном выражении [10]. Величина (FV − PV) представляет совокупный процентный доход за весь срок. При итерационном расчёте налог может удерживаться единовременно при закрытии вклада либо ежепериодно, в момент капитализации. Второй вариант снижает базу начисления и приводит к меньшей итоговой сумме. Ковалёв описывает оба сценария и рекомендует реализовывать в программном обеспечении оба варианта, предоставляя пользователю выбор [9].</w:t>
      </w:r>
    </w:p>
    <w:p>
      <w:pPr/>
      <w:r>
        <w:rPr>
          <w:rFonts w:ascii="Times New Roman" w:hAnsi="Times New Roman" w:cs="Times New Roman" w:eastAsia="Times New Roman"/>
          <w:b w:val="0"/>
          <w:sz w:val="28"/>
        </w:rPr>
        <w:t>Для случая ежепериодного удержания рекуррентная формула модифицируется:</w:t>
      </w:r>
    </w:p>
    <w:p>
      <w:pPr>
        <w:spacing w:before="120" w:after="120"/>
        <w:ind w:firstLine="0"/>
        <w:jc w:val="center"/>
      </w:pPr>
      <w:r>
        <w:rPr>
          <w:rFonts w:ascii="Times New Roman" w:hAnsi="Times New Roman" w:cs="Times New Roman" w:eastAsia="Times New Roman"/>
          <w:b/>
          <w:sz w:val="28"/>
        </w:rPr>
        <w:t>S_k = S_{k−1} + I_k × (1 − tax),</w:t>
      </w:r>
    </w:p>
    <w:p>
      <w:pPr/>
      <w:r>
        <w:rPr>
          <w:rFonts w:ascii="Times New Roman" w:hAnsi="Times New Roman" w:cs="Times New Roman" w:eastAsia="Times New Roman"/>
          <w:b w:val="0"/>
          <w:sz w:val="28"/>
        </w:rPr>
        <w:t>где I_k = S_{k−1} × (r_k / n_k) — начисленные проценты за период k [9]. К основной сумме прибавляется лишь чистый (после налога) процентный доход, что снижает темп наращения. МСФО (IFRS) 9 требует раскрытия эффективной процентной ставки с учётом всех существенных денежных потоков, включая налоговые удержания, при составлении финансовой отчётности микрофинансовых организаций [4].</w:t>
      </w:r>
    </w:p>
    <w:p>
      <w:pPr/>
      <w:r>
        <w:rPr>
          <w:rFonts w:ascii="Times New Roman" w:hAnsi="Times New Roman" w:cs="Times New Roman" w:eastAsia="Times New Roman"/>
          <w:b w:val="0"/>
          <w:sz w:val="28"/>
        </w:rPr>
        <w:t>Возвращаясь к примеру с вкладом 300 000 сомов под 18 % на 12 месяцев: без налога процентный доход составляет 58 685 сомов. При единовременном удержании 10 % налог равен 5 869 сомов, чистый доход — 52 816 сомов. При ежемесячном удержании итоговая сумма оказывается на 312 сомов меньше из-за сокращённой базы капитализации. Разница невелика на коротком горизонте, но при сроке 5 лет расхождение между двумя схемами удержания достигает нескольких тысяч сомов.</w:t>
      </w:r>
    </w:p>
    <w:p>
      <w:pPr>
        <w:spacing w:before="120" w:after="120"/>
        <w:ind w:firstLine="709"/>
        <w:jc w:val="both"/>
      </w:pPr>
      <w:r>
        <w:rPr>
          <w:rFonts w:ascii="Times New Roman" w:hAnsi="Times New Roman" w:cs="Times New Roman" w:eastAsia="Times New Roman"/>
          <w:b/>
          <w:sz w:val="28"/>
        </w:rPr>
        <w:t>Сравнительная характеристика моделей</w:t>
      </w:r>
    </w:p>
    <w:p>
      <w:pPr/>
      <w:r>
        <w:rPr>
          <w:rFonts w:ascii="Times New Roman" w:hAnsi="Times New Roman" w:cs="Times New Roman" w:eastAsia="Times New Roman"/>
          <w:b w:val="0"/>
          <w:sz w:val="28"/>
        </w:rPr>
        <w:t>Рассмотренные модели образуют иерархию. Сложность и точность возрастают от базовой формулы к комбинированному алгоритму. Сводная характеристика приведена в таблице 1.2.1.</w:t>
      </w:r>
    </w:p>
    <w:p>
      <w:pPr>
        <w:spacing w:before="120" w:after="120"/>
        <w:ind w:firstLine="0"/>
        <w:jc w:val="center"/>
      </w:pPr>
      <w:r>
        <w:rPr>
          <w:rFonts w:ascii="Times New Roman" w:hAnsi="Times New Roman" w:cs="Times New Roman" w:eastAsia="Times New Roman"/>
          <w:b/>
          <w:sz w:val="24"/>
        </w:rPr>
        <w:t>Таблица 1.2.1 — Сравнительная характеристика математических моделей расчёта вкладов</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pPr>
              <w:spacing w:before="40" w:after="40" w:line="320" w:lineRule="exact"/>
              <w:ind w:firstLine="0"/>
            </w:pPr>
            <w:r/>
            <w:r>
              <w:rPr>
                <w:rFonts w:ascii="Times New Roman" w:hAnsi="Times New Roman" w:cs="Times New Roman" w:eastAsia="Times New Roman"/>
                <w:b/>
                <w:sz w:val="24"/>
              </w:rPr>
              <w:t>Модель</w:t>
            </w:r>
          </w:p>
        </w:tc>
        <w:tc>
          <w:tcPr>
            <w:tcW w:type="dxa" w:w="1615"/>
          </w:tcPr>
          <w:p>
            <w:pPr>
              <w:spacing w:before="40" w:after="40" w:line="320" w:lineRule="exact"/>
              <w:ind w:firstLine="0"/>
            </w:pPr>
            <w:r/>
            <w:r>
              <w:rPr>
                <w:rFonts w:ascii="Times New Roman" w:hAnsi="Times New Roman" w:cs="Times New Roman" w:eastAsia="Times New Roman"/>
                <w:b/>
                <w:sz w:val="24"/>
              </w:rPr>
              <w:t>Входные параметры</w:t>
            </w:r>
          </w:p>
        </w:tc>
        <w:tc>
          <w:tcPr>
            <w:tcW w:type="dxa" w:w="1615"/>
          </w:tcPr>
          <w:p>
            <w:pPr>
              <w:spacing w:before="40" w:after="40" w:line="320" w:lineRule="exact"/>
              <w:ind w:firstLine="0"/>
            </w:pPr>
            <w:r/>
            <w:r>
              <w:rPr>
                <w:rFonts w:ascii="Times New Roman" w:hAnsi="Times New Roman" w:cs="Times New Roman" w:eastAsia="Times New Roman"/>
                <w:b/>
                <w:sz w:val="24"/>
              </w:rPr>
              <w:t>Учёт пополнений</w:t>
            </w:r>
          </w:p>
        </w:tc>
        <w:tc>
          <w:tcPr>
            <w:tcW w:type="dxa" w:w="1615"/>
          </w:tcPr>
          <w:p>
            <w:pPr>
              <w:spacing w:before="40" w:after="40" w:line="320" w:lineRule="exact"/>
              <w:ind w:firstLine="0"/>
            </w:pPr>
            <w:r/>
            <w:r>
              <w:rPr>
                <w:rFonts w:ascii="Times New Roman" w:hAnsi="Times New Roman" w:cs="Times New Roman" w:eastAsia="Times New Roman"/>
                <w:b/>
                <w:sz w:val="24"/>
              </w:rPr>
              <w:t>Учёт снятий</w:t>
            </w:r>
          </w:p>
        </w:tc>
        <w:tc>
          <w:tcPr>
            <w:tcW w:type="dxa" w:w="1615"/>
          </w:tcPr>
          <w:p>
            <w:pPr>
              <w:spacing w:before="40" w:after="40" w:line="320" w:lineRule="exact"/>
              <w:ind w:firstLine="0"/>
            </w:pPr>
            <w:r/>
            <w:r>
              <w:rPr>
                <w:rFonts w:ascii="Times New Roman" w:hAnsi="Times New Roman" w:cs="Times New Roman" w:eastAsia="Times New Roman"/>
                <w:b/>
                <w:sz w:val="24"/>
              </w:rPr>
              <w:t>Переменная ставка</w:t>
            </w:r>
          </w:p>
        </w:tc>
        <w:tc>
          <w:tcPr>
            <w:tcW w:type="dxa" w:w="1615"/>
          </w:tcPr>
          <w:p>
            <w:pPr>
              <w:spacing w:before="40" w:after="40" w:line="320" w:lineRule="exact"/>
              <w:ind w:firstLine="0"/>
            </w:pPr>
            <w:r/>
            <w:r>
              <w:rPr>
                <w:rFonts w:ascii="Times New Roman" w:hAnsi="Times New Roman" w:cs="Times New Roman" w:eastAsia="Times New Roman"/>
                <w:b/>
                <w:sz w:val="24"/>
              </w:rPr>
              <w:t>Вычислит. сложность</w:t>
            </w:r>
          </w:p>
        </w:tc>
      </w:tr>
      <w:tr>
        <w:tc>
          <w:tcPr>
            <w:tcW w:type="dxa" w:w="1615"/>
          </w:tcPr>
          <w:p>
            <w:pPr>
              <w:spacing w:before="40" w:after="40" w:line="320" w:lineRule="exact"/>
              <w:ind w:firstLine="0"/>
            </w:pPr>
            <w:r/>
            <w:r>
              <w:rPr>
                <w:rFonts w:ascii="Times New Roman" w:hAnsi="Times New Roman" w:cs="Times New Roman" w:eastAsia="Times New Roman"/>
                <w:b w:val="0"/>
                <w:sz w:val="24"/>
              </w:rPr>
              <w:t>Базовая дискретная</w:t>
            </w:r>
          </w:p>
        </w:tc>
        <w:tc>
          <w:tcPr>
            <w:tcW w:type="dxa" w:w="1615"/>
          </w:tcPr>
          <w:p>
            <w:pPr>
              <w:spacing w:before="40" w:after="40" w:line="320" w:lineRule="exact"/>
              <w:ind w:firstLine="0"/>
            </w:pPr>
            <w:r/>
            <w:r>
              <w:rPr>
                <w:rFonts w:ascii="Times New Roman" w:hAnsi="Times New Roman" w:cs="Times New Roman" w:eastAsia="Times New Roman"/>
                <w:b w:val="0"/>
                <w:sz w:val="24"/>
              </w:rPr>
              <w:t>PV, r, n, t</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O(1)</w:t>
            </w:r>
          </w:p>
        </w:tc>
      </w:tr>
      <w:tr>
        <w:tc>
          <w:tcPr>
            <w:tcW w:type="dxa" w:w="1615"/>
          </w:tcPr>
          <w:p>
            <w:pPr>
              <w:spacing w:before="40" w:after="40" w:line="320" w:lineRule="exact"/>
              <w:ind w:firstLine="0"/>
            </w:pPr>
            <w:r/>
            <w:r>
              <w:rPr>
                <w:rFonts w:ascii="Times New Roman" w:hAnsi="Times New Roman" w:cs="Times New Roman" w:eastAsia="Times New Roman"/>
                <w:b w:val="0"/>
                <w:sz w:val="24"/>
              </w:rPr>
              <w:t>Непрерывная</w:t>
            </w:r>
          </w:p>
        </w:tc>
        <w:tc>
          <w:tcPr>
            <w:tcW w:type="dxa" w:w="1615"/>
          </w:tcPr>
          <w:p>
            <w:pPr>
              <w:spacing w:before="40" w:after="40" w:line="320" w:lineRule="exact"/>
              <w:ind w:firstLine="0"/>
            </w:pPr>
            <w:r/>
            <w:r>
              <w:rPr>
                <w:rFonts w:ascii="Times New Roman" w:hAnsi="Times New Roman" w:cs="Times New Roman" w:eastAsia="Times New Roman"/>
                <w:b w:val="0"/>
                <w:sz w:val="24"/>
              </w:rPr>
              <w:t>PV, r, t</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O(1)</w:t>
            </w:r>
          </w:p>
        </w:tc>
      </w:tr>
      <w:tr>
        <w:tc>
          <w:tcPr>
            <w:tcW w:type="dxa" w:w="1615"/>
          </w:tcPr>
          <w:p>
            <w:pPr>
              <w:spacing w:before="40" w:after="40" w:line="320" w:lineRule="exact"/>
              <w:ind w:firstLine="0"/>
            </w:pPr>
            <w:r/>
            <w:r>
              <w:rPr>
                <w:rFonts w:ascii="Times New Roman" w:hAnsi="Times New Roman" w:cs="Times New Roman" w:eastAsia="Times New Roman"/>
                <w:b w:val="0"/>
                <w:sz w:val="24"/>
              </w:rPr>
              <w:t>Переменная ставка</w:t>
            </w:r>
          </w:p>
        </w:tc>
        <w:tc>
          <w:tcPr>
            <w:tcW w:type="dxa" w:w="1615"/>
          </w:tcPr>
          <w:p>
            <w:pPr>
              <w:spacing w:before="40" w:after="40" w:line="320" w:lineRule="exact"/>
              <w:ind w:firstLine="0"/>
            </w:pPr>
            <w:r/>
            <w:r>
              <w:rPr>
                <w:rFonts w:ascii="Times New Roman" w:hAnsi="Times New Roman" w:cs="Times New Roman" w:eastAsia="Times New Roman"/>
                <w:b w:val="0"/>
                <w:sz w:val="24"/>
              </w:rPr>
              <w:t>PV, {r_j, t_j}</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Да</w:t>
            </w:r>
          </w:p>
        </w:tc>
        <w:tc>
          <w:tcPr>
            <w:tcW w:type="dxa" w:w="1615"/>
          </w:tcPr>
          <w:p>
            <w:pPr>
              <w:spacing w:before="40" w:after="40" w:line="320" w:lineRule="exact"/>
              <w:ind w:firstLine="0"/>
            </w:pPr>
            <w:r/>
            <w:r>
              <w:rPr>
                <w:rFonts w:ascii="Times New Roman" w:hAnsi="Times New Roman" w:cs="Times New Roman" w:eastAsia="Times New Roman"/>
                <w:b w:val="0"/>
                <w:sz w:val="24"/>
              </w:rPr>
              <w:t>O(m)</w:t>
            </w:r>
          </w:p>
        </w:tc>
      </w:tr>
      <w:tr>
        <w:tc>
          <w:tcPr>
            <w:tcW w:type="dxa" w:w="1615"/>
          </w:tcPr>
          <w:p>
            <w:pPr>
              <w:spacing w:before="40" w:after="40" w:line="320" w:lineRule="exact"/>
              <w:ind w:firstLine="0"/>
            </w:pPr>
            <w:r/>
            <w:r>
              <w:rPr>
                <w:rFonts w:ascii="Times New Roman" w:hAnsi="Times New Roman" w:cs="Times New Roman" w:eastAsia="Times New Roman"/>
                <w:b w:val="0"/>
                <w:sz w:val="24"/>
              </w:rPr>
              <w:t>Аннуитетная</w:t>
            </w:r>
          </w:p>
        </w:tc>
        <w:tc>
          <w:tcPr>
            <w:tcW w:type="dxa" w:w="1615"/>
          </w:tcPr>
          <w:p>
            <w:pPr>
              <w:spacing w:before="40" w:after="40" w:line="320" w:lineRule="exact"/>
              <w:ind w:firstLine="0"/>
            </w:pPr>
            <w:r/>
            <w:r>
              <w:rPr>
                <w:rFonts w:ascii="Times New Roman" w:hAnsi="Times New Roman" w:cs="Times New Roman" w:eastAsia="Times New Roman"/>
                <w:b w:val="0"/>
                <w:sz w:val="24"/>
              </w:rPr>
              <w:t>PV, r, n, t, PMT</w:t>
            </w:r>
          </w:p>
        </w:tc>
        <w:tc>
          <w:tcPr>
            <w:tcW w:type="dxa" w:w="1615"/>
          </w:tcPr>
          <w:p>
            <w:pPr>
              <w:spacing w:before="40" w:after="40" w:line="320" w:lineRule="exact"/>
              <w:ind w:firstLine="0"/>
            </w:pPr>
            <w:r/>
            <w:r>
              <w:rPr>
                <w:rFonts w:ascii="Times New Roman" w:hAnsi="Times New Roman" w:cs="Times New Roman" w:eastAsia="Times New Roman"/>
                <w:b w:val="0"/>
                <w:sz w:val="24"/>
              </w:rPr>
              <w:t>Да (регулярные)</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O(1)</w:t>
            </w:r>
          </w:p>
        </w:tc>
      </w:tr>
      <w:tr>
        <w:tc>
          <w:tcPr>
            <w:tcW w:type="dxa" w:w="1615"/>
          </w:tcPr>
          <w:p>
            <w:pPr>
              <w:spacing w:before="40" w:after="40" w:line="320" w:lineRule="exact"/>
              <w:ind w:firstLine="0"/>
            </w:pPr>
            <w:r/>
            <w:r>
              <w:rPr>
                <w:rFonts w:ascii="Times New Roman" w:hAnsi="Times New Roman" w:cs="Times New Roman" w:eastAsia="Times New Roman"/>
                <w:b w:val="0"/>
                <w:sz w:val="24"/>
              </w:rPr>
              <w:t>С частичными снятиями</w:t>
            </w:r>
          </w:p>
        </w:tc>
        <w:tc>
          <w:tcPr>
            <w:tcW w:type="dxa" w:w="1615"/>
          </w:tcPr>
          <w:p>
            <w:pPr>
              <w:spacing w:before="40" w:after="40" w:line="320" w:lineRule="exact"/>
              <w:ind w:firstLine="0"/>
            </w:pPr>
            <w:r/>
            <w:r>
              <w:rPr>
                <w:rFonts w:ascii="Times New Roman" w:hAnsi="Times New Roman" w:cs="Times New Roman" w:eastAsia="Times New Roman"/>
                <w:b w:val="0"/>
                <w:sz w:val="24"/>
              </w:rPr>
              <w:t>PV, r, n, t, {W_τ}</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Да</w:t>
            </w:r>
          </w:p>
        </w:tc>
        <w:tc>
          <w:tcPr>
            <w:tcW w:type="dxa" w:w="1615"/>
          </w:tcPr>
          <w:p>
            <w:pPr>
              <w:spacing w:before="40" w:after="40" w:line="320" w:lineRule="exact"/>
              <w:ind w:firstLine="0"/>
            </w:pPr>
            <w:r/>
            <w:r>
              <w:rPr>
                <w:rFonts w:ascii="Times New Roman" w:hAnsi="Times New Roman" w:cs="Times New Roman" w:eastAsia="Times New Roman"/>
                <w:b w:val="0"/>
                <w:sz w:val="24"/>
              </w:rPr>
              <w:t>Нет</w:t>
            </w:r>
          </w:p>
        </w:tc>
        <w:tc>
          <w:tcPr>
            <w:tcW w:type="dxa" w:w="1615"/>
          </w:tcPr>
          <w:p>
            <w:pPr>
              <w:spacing w:before="40" w:after="40" w:line="320" w:lineRule="exact"/>
              <w:ind w:firstLine="0"/>
            </w:pPr>
            <w:r/>
            <w:r>
              <w:rPr>
                <w:rFonts w:ascii="Times New Roman" w:hAnsi="Times New Roman" w:cs="Times New Roman" w:eastAsia="Times New Roman"/>
                <w:b w:val="0"/>
                <w:sz w:val="24"/>
              </w:rPr>
              <w:t>O(N)</w:t>
            </w:r>
          </w:p>
        </w:tc>
      </w:tr>
      <w:tr>
        <w:tc>
          <w:tcPr>
            <w:tcW w:type="dxa" w:w="1615"/>
          </w:tcPr>
          <w:p>
            <w:pPr>
              <w:spacing w:before="40" w:after="40" w:line="320" w:lineRule="exact"/>
              <w:ind w:firstLine="0"/>
            </w:pPr>
            <w:r/>
            <w:r>
              <w:rPr>
                <w:rFonts w:ascii="Times New Roman" w:hAnsi="Times New Roman" w:cs="Times New Roman" w:eastAsia="Times New Roman"/>
                <w:b w:val="0"/>
                <w:sz w:val="24"/>
              </w:rPr>
              <w:t>Комбинированная</w:t>
            </w:r>
          </w:p>
        </w:tc>
        <w:tc>
          <w:tcPr>
            <w:tcW w:type="dxa" w:w="1615"/>
          </w:tcPr>
          <w:p>
            <w:pPr>
              <w:spacing w:before="40" w:after="40" w:line="320" w:lineRule="exact"/>
              <w:ind w:firstLine="0"/>
            </w:pPr>
            <w:r/>
            <w:r>
              <w:rPr>
                <w:rFonts w:ascii="Times New Roman" w:hAnsi="Times New Roman" w:cs="Times New Roman" w:eastAsia="Times New Roman"/>
                <w:b w:val="0"/>
                <w:sz w:val="24"/>
              </w:rPr>
              <w:t>PV, {r_k}, {D_k}, {W_k}</w:t>
            </w:r>
          </w:p>
        </w:tc>
        <w:tc>
          <w:tcPr>
            <w:tcW w:type="dxa" w:w="1615"/>
          </w:tcPr>
          <w:p>
            <w:pPr>
              <w:spacing w:before="40" w:after="40" w:line="320" w:lineRule="exact"/>
              <w:ind w:firstLine="0"/>
            </w:pPr>
            <w:r/>
            <w:r>
              <w:rPr>
                <w:rFonts w:ascii="Times New Roman" w:hAnsi="Times New Roman" w:cs="Times New Roman" w:eastAsia="Times New Roman"/>
                <w:b w:val="0"/>
                <w:sz w:val="24"/>
              </w:rPr>
              <w:t>Да (произвольные)</w:t>
            </w:r>
          </w:p>
        </w:tc>
        <w:tc>
          <w:tcPr>
            <w:tcW w:type="dxa" w:w="1615"/>
          </w:tcPr>
          <w:p>
            <w:pPr>
              <w:spacing w:before="40" w:after="40" w:line="320" w:lineRule="exact"/>
              <w:ind w:firstLine="0"/>
            </w:pPr>
            <w:r/>
            <w:r>
              <w:rPr>
                <w:rFonts w:ascii="Times New Roman" w:hAnsi="Times New Roman" w:cs="Times New Roman" w:eastAsia="Times New Roman"/>
                <w:b w:val="0"/>
                <w:sz w:val="24"/>
              </w:rPr>
              <w:t>Да</w:t>
            </w:r>
          </w:p>
        </w:tc>
        <w:tc>
          <w:tcPr>
            <w:tcW w:type="dxa" w:w="1615"/>
          </w:tcPr>
          <w:p>
            <w:pPr>
              <w:spacing w:before="40" w:after="40" w:line="320" w:lineRule="exact"/>
              <w:ind w:firstLine="0"/>
            </w:pPr>
            <w:r/>
            <w:r>
              <w:rPr>
                <w:rFonts w:ascii="Times New Roman" w:hAnsi="Times New Roman" w:cs="Times New Roman" w:eastAsia="Times New Roman"/>
                <w:b w:val="0"/>
                <w:sz w:val="24"/>
              </w:rPr>
              <w:t>Да</w:t>
            </w:r>
          </w:p>
        </w:tc>
        <w:tc>
          <w:tcPr>
            <w:tcW w:type="dxa" w:w="1615"/>
          </w:tcPr>
          <w:p>
            <w:pPr>
              <w:spacing w:before="40" w:after="40" w:line="320" w:lineRule="exact"/>
              <w:ind w:firstLine="0"/>
            </w:pPr>
            <w:r/>
            <w:r>
              <w:rPr>
                <w:rFonts w:ascii="Times New Roman" w:hAnsi="Times New Roman" w:cs="Times New Roman" w:eastAsia="Times New Roman"/>
                <w:b w:val="0"/>
                <w:sz w:val="24"/>
              </w:rPr>
              <w:t>O(N)</w:t>
            </w:r>
          </w:p>
        </w:tc>
      </w:tr>
    </w:tbl>
    <w:p>
      <w:pPr/>
      <w:r>
        <w:rPr>
          <w:rFonts w:ascii="Times New Roman" w:hAnsi="Times New Roman" w:cs="Times New Roman" w:eastAsia="Times New Roman"/>
          <w:b w:val="0"/>
          <w:sz w:val="28"/>
        </w:rPr>
        <w:t>Модель дискретной капитализации при фиксированной ставке пригодна для вкладов с простыми условиями, когда ставка неизменна, движений по счёту нет, а налог не удерживается. Модель непрерывного начисления выполняет роль теоретического ориентира и верхней границы доходности, но не применяется в реальном бухгалтерском учёте [4]. Модель с переменной ставкой расширяет область применения на ступенчатые и прогрессивные депозитные продукты, что характерно для предложений Doke.kg [13]. Аннуитетная модель с пополнениями описывает накопительные программы, а модель с частичными снятиями охватывает гибкие вклады с правом частичного изъятия. Комбинированная рекуррентная модель объединяет все факторы и допускает произвольную конфигурацию входных параметров.</w:t>
      </w:r>
    </w:p>
    <w:p>
      <w:pPr/>
      <w:r>
        <w:rPr>
          <w:rFonts w:ascii="Times New Roman" w:hAnsi="Times New Roman" w:cs="Times New Roman" w:eastAsia="Times New Roman"/>
          <w:b w:val="0"/>
          <w:sz w:val="28"/>
        </w:rPr>
        <w:t>Точность базовой модели ограничена тремя названными допущениями о постоянстве ставки, отсутствии потоков и отсутствии налога. М.С. Аникин показал, что даже при фиксированных условиях расхождение между дискретной и непрерывной моделями не превышает десятых долей процента на горизонте до 5 лет [19]. Расхождение между замкнутой формулой и итерационным расчётом вызвано исключительно ошибками округления и при использовании числового типа decimal устраняется полностью [27]. Комбинированная рекуррентная модель обеспечивает погрешность, определяемую только точностью входных параметров (ставки и суммы), и не вносит систематической ошибки [18].</w:t>
      </w:r>
    </w:p>
    <w:p>
      <w:pPr/>
      <w:r>
        <w:rPr>
          <w:rFonts w:ascii="Times New Roman" w:hAnsi="Times New Roman" w:cs="Times New Roman" w:eastAsia="Times New Roman"/>
          <w:b w:val="0"/>
          <w:sz w:val="28"/>
        </w:rPr>
        <w:t>С позиции вычислительной реализации базовая и аннуитетная модели допускают расчёт по замкнутым формулам за постоянное время O(1), тогда как комбинированная модель требует прохода по всем периодам, что соответствует линейной сложности O(N). При типичных параметрах вкладов Doke.kg (срок до 5 лет, ежемесячная капитализация, N ≤ 60) вычисление занимает микросекунды и не создаёт нагрузки на сервер.</w:t>
      </w:r>
    </w:p>
    <w:p>
      <w:pPr/>
      <w:r>
        <w:rPr>
          <w:rFonts w:ascii="Times New Roman" w:hAnsi="Times New Roman" w:cs="Times New Roman" w:eastAsia="Times New Roman"/>
          <w:b w:val="0"/>
          <w:sz w:val="28"/>
        </w:rPr>
        <w:t>Практическая значимость выбора модели зависит от конкретного депозитного продукта. Для стандартного вклада Doke.kg сроком 12 месяцев с фиксированной ставкой 16 % годовых и ежемесячной капитализацией базовая дискретная модель даёт точный результат. Однако тот же вклад с возможностью ежемесячного пополнения на 10 000 сомов требует аннуитетной модели. Если вкладчик дополнительно запрашивает частичное снятие через 6 месяцев, аннуитетная модель уже неприменима — необходим переход к комбинированной рекуррентной формуле. А при привязке ставки к учётной ставке НБКР (которая пересматривается 8 раз в год) требуется модель переменной ставки. Таким образом, даже один депозитный продукт при различных конфигурациях параметров может потребовать любую из шести описанных моделей.</w:t>
      </w:r>
    </w:p>
    <w:p>
      <w:pPr/>
      <w:r>
        <w:rPr>
          <w:rFonts w:ascii="Times New Roman" w:hAnsi="Times New Roman" w:cs="Times New Roman" w:eastAsia="Times New Roman"/>
          <w:b w:val="0"/>
          <w:sz w:val="28"/>
        </w:rPr>
        <w:t>Четыркин отмечает, что наращение при переменных ставках и нерегулярных потоках не поддаётся адекватному описанию замкнутой аналитической формулой [18]. Единственный универсальный подход — пошаговое (итерационное) вычисление, при котором баланс пересчитывается в конце каждого периода капитализации с учётом всех операций, совершённых за этот период. Именно этот подход положен в основу комбинированной рекуррентной модели, и именно его реализует проектируемый программный модуль.</w:t>
      </w:r>
    </w:p>
    <w:p>
      <w:pPr/>
      <w:r>
        <w:rPr>
          <w:rFonts w:ascii="Times New Roman" w:hAnsi="Times New Roman" w:cs="Times New Roman" w:eastAsia="Times New Roman"/>
          <w:b w:val="0"/>
          <w:sz w:val="28"/>
        </w:rPr>
        <w:t>Выбор комбинированной модели как основного алгоритма не исключает использования остальных пяти. Каждая из них выступает частным случаем общей рекуррентной формулы. При отсутствии пополнений D_k = 0 для всех k, при отсутствии снятий W_k = 0, при постоянной ставке r_k = r. Программный модуль передаёт параметры в единый алгоритм, который автоматически вырождается до нужного частного случая. Ковалёв определяет такой подход как принцип обобщённой модели, при которой частные формулы не программируются отдельно, а получаются из общей при подстановке нулевых значений для неиспользуемых параметров [9].</w:t>
      </w:r>
    </w:p>
    <w:p>
      <w:pPr/>
      <w:r>
        <w:rPr>
          <w:rFonts w:ascii="Times New Roman" w:hAnsi="Times New Roman" w:cs="Times New Roman" w:eastAsia="Times New Roman"/>
          <w:b w:val="0"/>
          <w:sz w:val="28"/>
        </w:rPr>
        <w:t>Проведённый анализ математических моделей позволяет сформулировать основу для проектирования вычислительного ядра приложения. Базовая формула дискретной капитализации, модели переменной ставки, аннуитетных пополнений и частичных снятий, а также налоговый корректор составляют минимальный набор, достаточный для автоматизации расчётов ООО «МКК «Замат Финанс». Программный модуль будет использовать комбинированную рекуррентную модель как универсальный алгоритм, способный обрабатывать все типы депозитных продуктов компании. Конкретные архитектурные и проектные решения по реализации этого модуля рассматриваются во второй главе.</w:t>
      </w:r>
    </w:p>
    <w:p>
      <w:pPr>
        <w:pStyle w:val="Heading2"/>
      </w:pPr>
      <w:r>
        <w:rPr>
          <w:rFonts w:ascii="Times New Roman" w:hAnsi="Times New Roman" w:cs="Times New Roman" w:eastAsia="Times New Roman"/>
        </w:rPr>
        <w:t>1.3 Нормативно-правовое регулирование деятельности микрокредитных организаций в Кыргызской Республике</w:t>
      </w:r>
    </w:p>
    <w:p>
      <w:pPr/>
      <w:r>
        <w:rPr>
          <w:rFonts w:ascii="Times New Roman" w:hAnsi="Times New Roman" w:cs="Times New Roman" w:eastAsia="Times New Roman"/>
          <w:b w:val="0"/>
          <w:sz w:val="28"/>
        </w:rPr>
        <w:t>Программный продукт, разрабатываемый для ООО «МКК «Замат Финанс», функционирует не в вакууме: каждая операция по начислению процентов, формированию отчёта и раскрытию условий вклада подчинена нормативным требованиям. Игнорирование регуляторного контекста при проектировании финансового приложения ведёт к тому, что формально корректная программа оказывается юридически непригодной. Настоящий параграф анализирует правовую базу, определяющую рамки деятельности микрокредитных организаций (МКО) Кыргызской Республики, с акцентом на те нормы, которые непосредственно затрагивают программную реализацию расчёта вкладов с капитализацией.</w:t>
      </w:r>
    </w:p>
    <w:p>
      <w:pPr/>
      <w:r>
        <w:rPr>
          <w:rFonts w:ascii="Times New Roman" w:hAnsi="Times New Roman" w:cs="Times New Roman" w:eastAsia="Times New Roman"/>
          <w:b w:val="0"/>
          <w:sz w:val="28"/>
        </w:rPr>
        <w:t>Базовым законодательным актом выступает Закон Кыргызской Республики «О микрофинансовых организациях в Кыргызской Республике» от 23 июля 2002 года № 124 (в редакции 2024 года). Закон определяет три организационно-правовые формы микрофинансовой деятельности: микрофинансовую компанию (МФК), микрокредитную компанию (МКК) и микрокредитное агентство (МКА). Разграничение между формами проведено по объёму допустимых операций. Различия принципиальны. МФК обладает правом привлекать вклады физических и юридических лиц, выдавать микрокредиты и осуществлять переводы. МКК вправе привлекать вклады юридических лиц и своих учредителей, а также выдавать микрокредиты, однако ограничена в привлечении средств физических лиц, не входящих в число учредителей. МКА осуществляет исключительно кредитование за счёт донорских средств и грантов, привлечение вкладов ему запрещено [2].</w:t>
      </w:r>
    </w:p>
    <w:p>
      <w:pPr/>
      <w:r>
        <w:rPr>
          <w:rFonts w:ascii="Times New Roman" w:hAnsi="Times New Roman" w:cs="Times New Roman" w:eastAsia="Times New Roman"/>
          <w:b w:val="0"/>
          <w:sz w:val="28"/>
        </w:rPr>
        <w:t>Помимо трёх традиционных форм, законодательство 2024 года закрепило право МФО осуществлять деятельность по исламским принципам финансирования (ИПФ). По состоянию на октябрь 2025 года на территории Кыргызстана действуют 104 микрофинансовые организации, из которых 10 работают на основе ИПФ [39]. Расширение перечня организационных форм увеличивает число параметров, которые программный продукт обязан учитывать при расчёте: продукты ИПФ оперируют понятиями «мурабаха» и «мудараба» вместо классических процентных ставок, что требует отдельной логики начисления дохода.</w:t>
      </w:r>
    </w:p>
    <w:p>
      <w:pPr/>
      <w:r>
        <w:rPr>
          <w:rFonts w:ascii="Times New Roman" w:hAnsi="Times New Roman" w:cs="Times New Roman" w:eastAsia="Times New Roman"/>
          <w:b w:val="0"/>
          <w:sz w:val="28"/>
        </w:rPr>
        <w:t>ООО «МКК «Замат Финанс» зарегистрировано в реестре НБКР под свидетельством № 517 от 07.12.2022 и обладает статусом микрокредитной компании. Этот статус определяет круг клиентов, от которых компания вправе привлекать вклады: юридические лица и учредители. Ограничение влияет на проектируемое приложение напрямую. При создании карточки вкладчика система обязана верифицировать принадлежность лица к допустимой категории, а попытка оформления вклада от стороннего физического лица блокируется на уровне бизнес-логики.</w:t>
      </w:r>
    </w:p>
    <w:p>
      <w:pPr/>
      <w:r>
        <w:rPr>
          <w:rFonts w:ascii="Times New Roman" w:hAnsi="Times New Roman" w:cs="Times New Roman" w:eastAsia="Times New Roman"/>
          <w:b w:val="0"/>
          <w:sz w:val="28"/>
        </w:rPr>
        <w:t>Регуляторные полномочия в отношении МКО сосредоточены в Национальном банке Кыргызской Республики (НБКР). Статья 13 Закона «О Национальном банке Кыргызской Республики» [3] относит к его компетенции лицензирование, пруденциальный надзор, установление обязательных нормативов и проведение проверок. НБКР утверждает порядок расчёта и раскрытия эффективной процентной ставки, стандарты отчётности и формы бухгалтерских документов. Цена несоблюдения высока. Нарушение нормативов влечёт санкции от письменного предупреждения до отзыва лицензии [39].</w:t>
      </w:r>
    </w:p>
    <w:p>
      <w:pPr/>
      <w:r>
        <w:rPr>
          <w:rFonts w:ascii="Times New Roman" w:hAnsi="Times New Roman" w:cs="Times New Roman" w:eastAsia="Times New Roman"/>
          <w:b w:val="0"/>
          <w:sz w:val="28"/>
        </w:rPr>
        <w:t>Пруденциальные нормативы НБКР для МКО включают минимальный размер уставного капитала, нормативы достаточности капитала и ограничения на концентрацию рисков. Минимальный уставной капитал МКК установлен на уровне 5 млн сомов. Для МФК порог выше — 50 млн сомов, что отражает расширенный круг допустимых операций [39]. МКО обязаны ежеквартально представлять финансовую отчётность регулятору и проходить внешний аудит не реже одного раза в год. Отчётные формы включают баланс, отчёт о прибылях и убытках, расчёт экономических нормативов и расшифровку депозитного портфеля по срокам и ставкам. Программное обеспечение, автоматизирующее расчёт вкладов, обязано генерировать данные, пригодные для заполнения этих форм без ручной обработки.</w:t>
      </w:r>
    </w:p>
    <w:p>
      <w:pPr/>
      <w:r>
        <w:rPr>
          <w:rFonts w:ascii="Times New Roman" w:hAnsi="Times New Roman" w:cs="Times New Roman" w:eastAsia="Times New Roman"/>
          <w:b w:val="0"/>
          <w:sz w:val="28"/>
        </w:rPr>
        <w:t>Постановление Правления НБКР № 2019-П-12/57-4 «Об утверждении Положения о порядке расчёта эффективной процентной ставки по депозитам и кредитам» устанавливает методику вычисления эффективной процентной ставки (ЭПС). ЭПС определяется как ставка дисконтирования, при которой приведённая стоимость всех денежных потоков по вкладу равна первоначальной сумме:</w:t>
      </w:r>
    </w:p>
    <w:p>
      <w:pPr>
        <w:spacing w:before="120" w:after="120"/>
        <w:ind w:firstLine="0"/>
        <w:jc w:val="center"/>
      </w:pPr>
      <w:r>
        <w:rPr>
          <w:rFonts w:ascii="Times New Roman" w:hAnsi="Times New Roman" w:cs="Times New Roman" w:eastAsia="Times New Roman"/>
          <w:b/>
          <w:sz w:val="28"/>
        </w:rPr>
        <w:t>PV = Σ (CF_k / (1 + ЭПС/n)^k) = 0,</w:t>
      </w:r>
    </w:p>
    <w:p>
      <w:pPr/>
      <w:r>
        <w:rPr>
          <w:rFonts w:ascii="Times New Roman" w:hAnsi="Times New Roman" w:cs="Times New Roman" w:eastAsia="Times New Roman"/>
          <w:b w:val="0"/>
          <w:sz w:val="28"/>
        </w:rPr>
        <w:t>где CF_k — денежный поток в периоде k, n — число периодов капитализации в году. Методика обязывает кредитную организацию раскрывать ЭПС при заключении договора вклада и указывать её в договоре явным образом [39]. Требование означает, что проектируемое приложение не может ограничиться расчётом номинальной суммы вклада: модуль расчёта обязан дополнительно вычислять ЭПС и предъявлять её оператору.</w:t>
      </w:r>
    </w:p>
    <w:p>
      <w:pPr/>
      <w:r>
        <w:rPr>
          <w:rFonts w:ascii="Times New Roman" w:hAnsi="Times New Roman" w:cs="Times New Roman" w:eastAsia="Times New Roman"/>
          <w:b w:val="0"/>
          <w:sz w:val="28"/>
        </w:rPr>
        <w:t>Методика НБКР по расчёту ЭПС согласуется с требованиями МСФО (IFRS) 9 «Финансовые инструменты», который Кыргызстан применяет с 2018 года. Стандарт вводит метод эффективной процентной ставки как основной способ оценки финансовых активов по амортизированной стоимости. Процентный доход рассчитывается умножением ЭПС на валовую балансовую стоимость финансового актива [4]. Для депозитных продуктов с постоянной ставкой и равномерной периодичностью капитализации ЭПС совпадает с эффективной годовой ставкой r_eff, формула которой приведена в параграфе 1.1. Расхождение возникает при наличии дополнительных денежных потоков — комиссий, бонусов при открытии вклада или штрафов за досрочное расторжение. МСФО (IFRS) 9 предписывает включать все такие потоки в расчёт ЭПС, что усложняет алгоритм по сравнению с базовой формулой капитализации [4]. Программный модуль расчёта для Doke.kg реализует полный вариант ЭПС с учётом произвольных денежных потоков, обеспечивая соответствие как методике НБКР, так и стандарту МСФО.</w:t>
      </w:r>
    </w:p>
    <w:p>
      <w:pPr/>
      <w:r>
        <w:rPr>
          <w:rFonts w:ascii="Times New Roman" w:hAnsi="Times New Roman" w:cs="Times New Roman" w:eastAsia="Times New Roman"/>
          <w:b w:val="0"/>
          <w:sz w:val="28"/>
        </w:rPr>
        <w:t>Помимо ЭПС, НБКР предъявляет требования к раскрытию информации по депозитному продукту. Микрокредитная компания обязана до заключения договора предоставить клиенту расчёт полной суммы вклада по периодам, включая начисленные проценты, операции пополнения и снятия, а также удержанный подоходный налог (при его наличии). Формат раскрытия содержит помесячную детализацию: дату начисления, базу начисления, сумму процентов и итоговый баланс. Требование формирует прямое техническое задание для модуля вывода результатов: приложение генерирует таблицу помесячной детализации, пригодную для включения в договор.</w:t>
      </w:r>
    </w:p>
    <w:p>
      <w:pPr/>
      <w:r>
        <w:rPr>
          <w:rFonts w:ascii="Times New Roman" w:hAnsi="Times New Roman" w:cs="Times New Roman" w:eastAsia="Times New Roman"/>
          <w:b w:val="0"/>
          <w:sz w:val="28"/>
        </w:rPr>
        <w:t>Налоговое законодательство вносит дополнительный элемент в расчётную модель. Налоговый кодекс Кыргызской Республики (статья 178) [40] устанавливает подоходный налог на процентные доходы физических лиц по ставке 10 %. Для юридических лиц процентный доход включается в совокупный годовой доход и облагается налогом на прибыль по общей ставке (10 % для субъектов малого бизнеса, 20 % для прочих). МКК «Замат Финанс» привлекает вклады от юридических лиц, следовательно, налоговое удержание при выплате процентов не производится — юридические лица уплачивают налог самостоятельно [40]. Тем не менее приложение реализует настраиваемый параметр налоговой ставки, поскольку изменение круга допустимых вкладчиков (при повышении статуса до МФК) потребует удержания налога при выплате. Кроме того, ставка подоходного налога пересматривалась дважды за последние десять лет, и жёсткая привязка значения в коде создала бы необходимость повторной сборки приложения при очередном изменении.</w:t>
      </w:r>
    </w:p>
    <w:p>
      <w:pPr/>
      <w:r>
        <w:rPr>
          <w:rFonts w:ascii="Times New Roman" w:hAnsi="Times New Roman" w:cs="Times New Roman" w:eastAsia="Times New Roman"/>
          <w:b w:val="0"/>
          <w:sz w:val="28"/>
        </w:rPr>
        <w:t>Сопоставление нормативной среды Кыргызской Республики с регуляторными режимами соседних государств позволяет оценить степень специфичности требований, которые программный продукт обязан учитывать. В таблице 1.3.1 приведены ключевые параметры регулирования МКО в трёх странах.</w:t>
      </w:r>
    </w:p>
    <w:p>
      <w:pPr>
        <w:spacing w:before="120" w:after="120"/>
        <w:ind w:firstLine="0"/>
        <w:jc w:val="center"/>
      </w:pPr>
      <w:r>
        <w:rPr>
          <w:rFonts w:ascii="Times New Roman" w:hAnsi="Times New Roman" w:cs="Times New Roman" w:eastAsia="Times New Roman"/>
          <w:b/>
          <w:sz w:val="24"/>
        </w:rPr>
        <w:t>Таблица 1.3.1 — Сравнение нормативного регулирования МКО в Кыргызстане, Казахстане и России</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40" w:after="40" w:line="320" w:lineRule="exact"/>
              <w:ind w:firstLine="0"/>
            </w:pPr>
            <w:r/>
            <w:r>
              <w:rPr>
                <w:rFonts w:ascii="Times New Roman" w:hAnsi="Times New Roman" w:cs="Times New Roman" w:eastAsia="Times New Roman"/>
                <w:b/>
                <w:sz w:val="24"/>
              </w:rPr>
              <w:t>Параметр</w:t>
            </w:r>
          </w:p>
        </w:tc>
        <w:tc>
          <w:tcPr>
            <w:tcW w:type="dxa" w:w="2422"/>
          </w:tcPr>
          <w:p>
            <w:pPr>
              <w:spacing w:before="40" w:after="40" w:line="320" w:lineRule="exact"/>
              <w:ind w:firstLine="0"/>
            </w:pPr>
            <w:r/>
            <w:r>
              <w:rPr>
                <w:rFonts w:ascii="Times New Roman" w:hAnsi="Times New Roman" w:cs="Times New Roman" w:eastAsia="Times New Roman"/>
                <w:b/>
                <w:sz w:val="24"/>
              </w:rPr>
              <w:t>Кыргызстан</w:t>
            </w:r>
          </w:p>
        </w:tc>
        <w:tc>
          <w:tcPr>
            <w:tcW w:type="dxa" w:w="2422"/>
          </w:tcPr>
          <w:p>
            <w:pPr>
              <w:spacing w:before="40" w:after="40" w:line="320" w:lineRule="exact"/>
              <w:ind w:firstLine="0"/>
            </w:pPr>
            <w:r/>
            <w:r>
              <w:rPr>
                <w:rFonts w:ascii="Times New Roman" w:hAnsi="Times New Roman" w:cs="Times New Roman" w:eastAsia="Times New Roman"/>
                <w:b/>
                <w:sz w:val="24"/>
              </w:rPr>
              <w:t>Казахстан</w:t>
            </w:r>
          </w:p>
        </w:tc>
        <w:tc>
          <w:tcPr>
            <w:tcW w:type="dxa" w:w="2422"/>
          </w:tcPr>
          <w:p>
            <w:pPr>
              <w:spacing w:before="40" w:after="40" w:line="320" w:lineRule="exact"/>
              <w:ind w:firstLine="0"/>
            </w:pPr>
            <w:r/>
            <w:r>
              <w:rPr>
                <w:rFonts w:ascii="Times New Roman" w:hAnsi="Times New Roman" w:cs="Times New Roman" w:eastAsia="Times New Roman"/>
                <w:b/>
                <w:sz w:val="24"/>
              </w:rPr>
              <w:t>Россия</w:t>
            </w:r>
          </w:p>
        </w:tc>
      </w:tr>
      <w:tr>
        <w:tc>
          <w:tcPr>
            <w:tcW w:type="dxa" w:w="2422"/>
          </w:tcPr>
          <w:p>
            <w:pPr>
              <w:spacing w:before="40" w:after="40" w:line="320" w:lineRule="exact"/>
              <w:ind w:firstLine="0"/>
            </w:pPr>
            <w:r/>
            <w:r>
              <w:rPr>
                <w:rFonts w:ascii="Times New Roman" w:hAnsi="Times New Roman" w:cs="Times New Roman" w:eastAsia="Times New Roman"/>
                <w:b w:val="0"/>
                <w:sz w:val="24"/>
              </w:rPr>
              <w:t>Регулятор</w:t>
            </w:r>
          </w:p>
        </w:tc>
        <w:tc>
          <w:tcPr>
            <w:tcW w:type="dxa" w:w="2422"/>
          </w:tcPr>
          <w:p>
            <w:pPr>
              <w:spacing w:before="40" w:after="40" w:line="320" w:lineRule="exact"/>
              <w:ind w:firstLine="0"/>
            </w:pPr>
            <w:r/>
            <w:r>
              <w:rPr>
                <w:rFonts w:ascii="Times New Roman" w:hAnsi="Times New Roman" w:cs="Times New Roman" w:eastAsia="Times New Roman"/>
                <w:b w:val="0"/>
                <w:sz w:val="24"/>
              </w:rPr>
              <w:t>НБКР</w:t>
            </w:r>
          </w:p>
        </w:tc>
        <w:tc>
          <w:tcPr>
            <w:tcW w:type="dxa" w:w="2422"/>
          </w:tcPr>
          <w:p>
            <w:pPr>
              <w:spacing w:before="40" w:after="40" w:line="320" w:lineRule="exact"/>
              <w:ind w:firstLine="0"/>
            </w:pPr>
            <w:r/>
            <w:r>
              <w:rPr>
                <w:rFonts w:ascii="Times New Roman" w:hAnsi="Times New Roman" w:cs="Times New Roman" w:eastAsia="Times New Roman"/>
                <w:b w:val="0"/>
                <w:sz w:val="24"/>
              </w:rPr>
              <w:t>АРРФР</w:t>
            </w:r>
          </w:p>
        </w:tc>
        <w:tc>
          <w:tcPr>
            <w:tcW w:type="dxa" w:w="2422"/>
          </w:tcPr>
          <w:p>
            <w:pPr>
              <w:spacing w:before="40" w:after="40" w:line="320" w:lineRule="exact"/>
              <w:ind w:firstLine="0"/>
            </w:pPr>
            <w:r/>
            <w:r>
              <w:rPr>
                <w:rFonts w:ascii="Times New Roman" w:hAnsi="Times New Roman" w:cs="Times New Roman" w:eastAsia="Times New Roman"/>
                <w:b w:val="0"/>
                <w:sz w:val="24"/>
              </w:rPr>
              <w:t>Банк России</w:t>
            </w:r>
          </w:p>
        </w:tc>
      </w:tr>
      <w:tr>
        <w:tc>
          <w:tcPr>
            <w:tcW w:type="dxa" w:w="2422"/>
          </w:tcPr>
          <w:p>
            <w:pPr>
              <w:spacing w:before="40" w:after="40" w:line="320" w:lineRule="exact"/>
              <w:ind w:firstLine="0"/>
            </w:pPr>
            <w:r/>
            <w:r>
              <w:rPr>
                <w:rFonts w:ascii="Times New Roman" w:hAnsi="Times New Roman" w:cs="Times New Roman" w:eastAsia="Times New Roman"/>
                <w:b w:val="0"/>
                <w:sz w:val="24"/>
              </w:rPr>
              <w:t>Мин. уставной капитал МКК</w:t>
            </w:r>
          </w:p>
        </w:tc>
        <w:tc>
          <w:tcPr>
            <w:tcW w:type="dxa" w:w="2422"/>
          </w:tcPr>
          <w:p>
            <w:pPr>
              <w:spacing w:before="40" w:after="40" w:line="320" w:lineRule="exact"/>
              <w:ind w:firstLine="0"/>
            </w:pPr>
            <w:r/>
            <w:r>
              <w:rPr>
                <w:rFonts w:ascii="Times New Roman" w:hAnsi="Times New Roman" w:cs="Times New Roman" w:eastAsia="Times New Roman"/>
                <w:b w:val="0"/>
                <w:sz w:val="24"/>
              </w:rPr>
              <w:t>5 млн сомов (~55 тыс. USD)</w:t>
            </w:r>
          </w:p>
        </w:tc>
        <w:tc>
          <w:tcPr>
            <w:tcW w:type="dxa" w:w="2422"/>
          </w:tcPr>
          <w:p>
            <w:pPr>
              <w:spacing w:before="40" w:after="40" w:line="320" w:lineRule="exact"/>
              <w:ind w:firstLine="0"/>
            </w:pPr>
            <w:r/>
            <w:r>
              <w:rPr>
                <w:rFonts w:ascii="Times New Roman" w:hAnsi="Times New Roman" w:cs="Times New Roman" w:eastAsia="Times New Roman"/>
                <w:b w:val="0"/>
                <w:sz w:val="24"/>
              </w:rPr>
              <w:t>200 млн тенге (~400 тыс. USD)</w:t>
            </w:r>
          </w:p>
        </w:tc>
        <w:tc>
          <w:tcPr>
            <w:tcW w:type="dxa" w:w="2422"/>
          </w:tcPr>
          <w:p>
            <w:pPr>
              <w:spacing w:before="40" w:after="40" w:line="320" w:lineRule="exact"/>
              <w:ind w:firstLine="0"/>
            </w:pPr>
            <w:r/>
            <w:r>
              <w:rPr>
                <w:rFonts w:ascii="Times New Roman" w:hAnsi="Times New Roman" w:cs="Times New Roman" w:eastAsia="Times New Roman"/>
                <w:b w:val="0"/>
                <w:sz w:val="24"/>
              </w:rPr>
              <w:t>2 млн рублей (~22 тыс. USD)</w:t>
            </w:r>
          </w:p>
        </w:tc>
      </w:tr>
      <w:tr>
        <w:tc>
          <w:tcPr>
            <w:tcW w:type="dxa" w:w="2422"/>
          </w:tcPr>
          <w:p>
            <w:pPr>
              <w:spacing w:before="40" w:after="40" w:line="320" w:lineRule="exact"/>
              <w:ind w:firstLine="0"/>
            </w:pPr>
            <w:r/>
            <w:r>
              <w:rPr>
                <w:rFonts w:ascii="Times New Roman" w:hAnsi="Times New Roman" w:cs="Times New Roman" w:eastAsia="Times New Roman"/>
                <w:b w:val="0"/>
                <w:sz w:val="24"/>
              </w:rPr>
              <w:t>Право привлечения вкладов МКК</w:t>
            </w:r>
          </w:p>
        </w:tc>
        <w:tc>
          <w:tcPr>
            <w:tcW w:type="dxa" w:w="2422"/>
          </w:tcPr>
          <w:p>
            <w:pPr>
              <w:spacing w:before="40" w:after="40" w:line="320" w:lineRule="exact"/>
              <w:ind w:firstLine="0"/>
            </w:pPr>
            <w:r/>
            <w:r>
              <w:rPr>
                <w:rFonts w:ascii="Times New Roman" w:hAnsi="Times New Roman" w:cs="Times New Roman" w:eastAsia="Times New Roman"/>
                <w:b w:val="0"/>
                <w:sz w:val="24"/>
              </w:rPr>
              <w:t>Юр. лица и учредители</w:t>
            </w:r>
          </w:p>
        </w:tc>
        <w:tc>
          <w:tcPr>
            <w:tcW w:type="dxa" w:w="2422"/>
          </w:tcPr>
          <w:p>
            <w:pPr>
              <w:spacing w:before="40" w:after="40" w:line="320" w:lineRule="exact"/>
              <w:ind w:firstLine="0"/>
            </w:pPr>
            <w:r/>
            <w:r>
              <w:rPr>
                <w:rFonts w:ascii="Times New Roman" w:hAnsi="Times New Roman" w:cs="Times New Roman" w:eastAsia="Times New Roman"/>
                <w:b w:val="0"/>
                <w:sz w:val="24"/>
              </w:rPr>
              <w:t>Запрещено</w:t>
            </w:r>
          </w:p>
        </w:tc>
        <w:tc>
          <w:tcPr>
            <w:tcW w:type="dxa" w:w="2422"/>
          </w:tcPr>
          <w:p>
            <w:pPr>
              <w:spacing w:before="40" w:after="40" w:line="320" w:lineRule="exact"/>
              <w:ind w:firstLine="0"/>
            </w:pPr>
            <w:r/>
            <w:r>
              <w:rPr>
                <w:rFonts w:ascii="Times New Roman" w:hAnsi="Times New Roman" w:cs="Times New Roman" w:eastAsia="Times New Roman"/>
                <w:b w:val="0"/>
                <w:sz w:val="24"/>
              </w:rPr>
              <w:t>Запрещено</w:t>
            </w:r>
          </w:p>
        </w:tc>
      </w:tr>
      <w:tr>
        <w:tc>
          <w:tcPr>
            <w:tcW w:type="dxa" w:w="2422"/>
          </w:tcPr>
          <w:p>
            <w:pPr>
              <w:spacing w:before="40" w:after="40" w:line="320" w:lineRule="exact"/>
              <w:ind w:firstLine="0"/>
            </w:pPr>
            <w:r/>
            <w:r>
              <w:rPr>
                <w:rFonts w:ascii="Times New Roman" w:hAnsi="Times New Roman" w:cs="Times New Roman" w:eastAsia="Times New Roman"/>
                <w:b w:val="0"/>
                <w:sz w:val="24"/>
              </w:rPr>
              <w:t>Применение МСФО</w:t>
            </w:r>
          </w:p>
        </w:tc>
        <w:tc>
          <w:tcPr>
            <w:tcW w:type="dxa" w:w="2422"/>
          </w:tcPr>
          <w:p>
            <w:pPr>
              <w:spacing w:before="40" w:after="40" w:line="320" w:lineRule="exact"/>
              <w:ind w:firstLine="0"/>
            </w:pPr>
            <w:r/>
            <w:r>
              <w:rPr>
                <w:rFonts w:ascii="Times New Roman" w:hAnsi="Times New Roman" w:cs="Times New Roman" w:eastAsia="Times New Roman"/>
                <w:b w:val="0"/>
                <w:sz w:val="24"/>
              </w:rPr>
              <w:t>Обязательно</w:t>
            </w:r>
          </w:p>
        </w:tc>
        <w:tc>
          <w:tcPr>
            <w:tcW w:type="dxa" w:w="2422"/>
          </w:tcPr>
          <w:p>
            <w:pPr>
              <w:spacing w:before="40" w:after="40" w:line="320" w:lineRule="exact"/>
              <w:ind w:firstLine="0"/>
            </w:pPr>
            <w:r/>
            <w:r>
              <w:rPr>
                <w:rFonts w:ascii="Times New Roman" w:hAnsi="Times New Roman" w:cs="Times New Roman" w:eastAsia="Times New Roman"/>
                <w:b w:val="0"/>
                <w:sz w:val="24"/>
              </w:rPr>
              <w:t>Обязательно</w:t>
            </w:r>
          </w:p>
        </w:tc>
        <w:tc>
          <w:tcPr>
            <w:tcW w:type="dxa" w:w="2422"/>
          </w:tcPr>
          <w:p>
            <w:pPr>
              <w:spacing w:before="40" w:after="40" w:line="320" w:lineRule="exact"/>
              <w:ind w:firstLine="0"/>
            </w:pPr>
            <w:r/>
            <w:r>
              <w:rPr>
                <w:rFonts w:ascii="Times New Roman" w:hAnsi="Times New Roman" w:cs="Times New Roman" w:eastAsia="Times New Roman"/>
                <w:b w:val="0"/>
                <w:sz w:val="24"/>
              </w:rPr>
              <w:t>По выбору (РСБУ / МСФО)</w:t>
            </w:r>
          </w:p>
        </w:tc>
      </w:tr>
      <w:tr>
        <w:tc>
          <w:tcPr>
            <w:tcW w:type="dxa" w:w="2422"/>
          </w:tcPr>
          <w:p>
            <w:pPr>
              <w:spacing w:before="40" w:after="40" w:line="320" w:lineRule="exact"/>
              <w:ind w:firstLine="0"/>
            </w:pPr>
            <w:r/>
            <w:r>
              <w:rPr>
                <w:rFonts w:ascii="Times New Roman" w:hAnsi="Times New Roman" w:cs="Times New Roman" w:eastAsia="Times New Roman"/>
                <w:b w:val="0"/>
                <w:sz w:val="24"/>
              </w:rPr>
              <w:t>Расчёт ЭПС</w:t>
            </w:r>
          </w:p>
        </w:tc>
        <w:tc>
          <w:tcPr>
            <w:tcW w:type="dxa" w:w="2422"/>
          </w:tcPr>
          <w:p>
            <w:pPr>
              <w:spacing w:before="40" w:after="40" w:line="320" w:lineRule="exact"/>
              <w:ind w:firstLine="0"/>
            </w:pPr>
            <w:r/>
            <w:r>
              <w:rPr>
                <w:rFonts w:ascii="Times New Roman" w:hAnsi="Times New Roman" w:cs="Times New Roman" w:eastAsia="Times New Roman"/>
                <w:b w:val="0"/>
                <w:sz w:val="24"/>
              </w:rPr>
              <w:t>Методика НБКР</w:t>
            </w:r>
          </w:p>
        </w:tc>
        <w:tc>
          <w:tcPr>
            <w:tcW w:type="dxa" w:w="2422"/>
          </w:tcPr>
          <w:p>
            <w:pPr>
              <w:spacing w:before="40" w:after="40" w:line="320" w:lineRule="exact"/>
              <w:ind w:firstLine="0"/>
            </w:pPr>
            <w:r/>
            <w:r>
              <w:rPr>
                <w:rFonts w:ascii="Times New Roman" w:hAnsi="Times New Roman" w:cs="Times New Roman" w:eastAsia="Times New Roman"/>
                <w:b w:val="0"/>
                <w:sz w:val="24"/>
              </w:rPr>
              <w:t>Методика АРРФР</w:t>
            </w:r>
          </w:p>
        </w:tc>
        <w:tc>
          <w:tcPr>
            <w:tcW w:type="dxa" w:w="2422"/>
          </w:tcPr>
          <w:p>
            <w:pPr>
              <w:spacing w:before="40" w:after="40" w:line="320" w:lineRule="exact"/>
              <w:ind w:firstLine="0"/>
            </w:pPr>
            <w:r/>
            <w:r>
              <w:rPr>
                <w:rFonts w:ascii="Times New Roman" w:hAnsi="Times New Roman" w:cs="Times New Roman" w:eastAsia="Times New Roman"/>
                <w:b w:val="0"/>
                <w:sz w:val="24"/>
              </w:rPr>
              <w:t>ФЗ «О потребительском кредите»</w:t>
            </w:r>
          </w:p>
        </w:tc>
      </w:tr>
      <w:tr>
        <w:tc>
          <w:tcPr>
            <w:tcW w:type="dxa" w:w="2422"/>
          </w:tcPr>
          <w:p>
            <w:pPr>
              <w:spacing w:before="40" w:after="40" w:line="320" w:lineRule="exact"/>
              <w:ind w:firstLine="0"/>
            </w:pPr>
            <w:r/>
            <w:r>
              <w:rPr>
                <w:rFonts w:ascii="Times New Roman" w:hAnsi="Times New Roman" w:cs="Times New Roman" w:eastAsia="Times New Roman"/>
                <w:b w:val="0"/>
                <w:sz w:val="24"/>
              </w:rPr>
              <w:t>Страхование вкладов</w:t>
            </w:r>
          </w:p>
        </w:tc>
        <w:tc>
          <w:tcPr>
            <w:tcW w:type="dxa" w:w="2422"/>
          </w:tcPr>
          <w:p>
            <w:pPr>
              <w:spacing w:before="40" w:after="40" w:line="320" w:lineRule="exact"/>
              <w:ind w:firstLine="0"/>
            </w:pPr>
            <w:r/>
            <w:r>
              <w:rPr>
                <w:rFonts w:ascii="Times New Roman" w:hAnsi="Times New Roman" w:cs="Times New Roman" w:eastAsia="Times New Roman"/>
                <w:b w:val="0"/>
                <w:sz w:val="24"/>
              </w:rPr>
              <w:t>Не распространяется на МКО</w:t>
            </w:r>
          </w:p>
        </w:tc>
        <w:tc>
          <w:tcPr>
            <w:tcW w:type="dxa" w:w="2422"/>
          </w:tcPr>
          <w:p>
            <w:pPr>
              <w:spacing w:before="40" w:after="40" w:line="320" w:lineRule="exact"/>
              <w:ind w:firstLine="0"/>
            </w:pPr>
            <w:r/>
            <w:r>
              <w:rPr>
                <w:rFonts w:ascii="Times New Roman" w:hAnsi="Times New Roman" w:cs="Times New Roman" w:eastAsia="Times New Roman"/>
                <w:b w:val="0"/>
                <w:sz w:val="24"/>
              </w:rPr>
              <w:t>Не распространяется на МФО</w:t>
            </w:r>
          </w:p>
        </w:tc>
        <w:tc>
          <w:tcPr>
            <w:tcW w:type="dxa" w:w="2422"/>
          </w:tcPr>
          <w:p>
            <w:pPr>
              <w:spacing w:before="40" w:after="40" w:line="320" w:lineRule="exact"/>
              <w:ind w:firstLine="0"/>
            </w:pPr>
            <w:r/>
            <w:r>
              <w:rPr>
                <w:rFonts w:ascii="Times New Roman" w:hAnsi="Times New Roman" w:cs="Times New Roman" w:eastAsia="Times New Roman"/>
                <w:b w:val="0"/>
                <w:sz w:val="24"/>
              </w:rPr>
              <w:t>Не распространяется на МФО</w:t>
            </w:r>
          </w:p>
        </w:tc>
      </w:tr>
      <w:tr>
        <w:tc>
          <w:tcPr>
            <w:tcW w:type="dxa" w:w="2422"/>
          </w:tcPr>
          <w:p>
            <w:pPr>
              <w:spacing w:before="40" w:after="40" w:line="320" w:lineRule="exact"/>
              <w:ind w:firstLine="0"/>
            </w:pPr>
            <w:r/>
            <w:r>
              <w:rPr>
                <w:rFonts w:ascii="Times New Roman" w:hAnsi="Times New Roman" w:cs="Times New Roman" w:eastAsia="Times New Roman"/>
                <w:b w:val="0"/>
                <w:sz w:val="24"/>
              </w:rPr>
              <w:t>Число МФО (2025)</w:t>
            </w:r>
          </w:p>
        </w:tc>
        <w:tc>
          <w:tcPr>
            <w:tcW w:type="dxa" w:w="2422"/>
          </w:tcPr>
          <w:p>
            <w:pPr>
              <w:spacing w:before="40" w:after="40" w:line="320" w:lineRule="exact"/>
              <w:ind w:firstLine="0"/>
            </w:pPr>
            <w:r/>
            <w:r>
              <w:rPr>
                <w:rFonts w:ascii="Times New Roman" w:hAnsi="Times New Roman" w:cs="Times New Roman" w:eastAsia="Times New Roman"/>
                <w:b w:val="0"/>
                <w:sz w:val="24"/>
              </w:rPr>
              <w:t>104</w:t>
            </w:r>
          </w:p>
        </w:tc>
        <w:tc>
          <w:tcPr>
            <w:tcW w:type="dxa" w:w="2422"/>
          </w:tcPr>
          <w:p>
            <w:pPr>
              <w:spacing w:before="40" w:after="40" w:line="320" w:lineRule="exact"/>
              <w:ind w:firstLine="0"/>
            </w:pPr>
            <w:r/>
            <w:r>
              <w:rPr>
                <w:rFonts w:ascii="Times New Roman" w:hAnsi="Times New Roman" w:cs="Times New Roman" w:eastAsia="Times New Roman"/>
                <w:b w:val="0"/>
                <w:sz w:val="24"/>
              </w:rPr>
              <w:t>~1 200</w:t>
            </w:r>
          </w:p>
        </w:tc>
        <w:tc>
          <w:tcPr>
            <w:tcW w:type="dxa" w:w="2422"/>
          </w:tcPr>
          <w:p>
            <w:pPr>
              <w:spacing w:before="40" w:after="40" w:line="320" w:lineRule="exact"/>
              <w:ind w:firstLine="0"/>
            </w:pPr>
            <w:r/>
            <w:r>
              <w:rPr>
                <w:rFonts w:ascii="Times New Roman" w:hAnsi="Times New Roman" w:cs="Times New Roman" w:eastAsia="Times New Roman"/>
                <w:b w:val="0"/>
                <w:sz w:val="24"/>
              </w:rPr>
              <w:t>~1 100</w:t>
            </w:r>
          </w:p>
        </w:tc>
      </w:tr>
    </w:tbl>
    <w:p>
      <w:pPr/>
      <w:r>
        <w:rPr>
          <w:rFonts w:ascii="Times New Roman" w:hAnsi="Times New Roman" w:cs="Times New Roman" w:eastAsia="Times New Roman"/>
          <w:b w:val="0"/>
          <w:sz w:val="28"/>
        </w:rPr>
        <w:t>Таблица демонстрирует два факта, значимых для проектирования приложения. Во-первых, МКК в Кыргызстане — единственная из трёх рассматриваемых юрисдикций, где микрокредитная компания вправе привлекать вклады. Ни казахстанская, ни российская модель не наделяют МКК аналогичным правом. Специфика кыргызского рынка объясняет отсутствие готовых программных решений: разработчики АБС из России и Казахстана не закладывают модуль депозитного расчёта в продукты для МКК, поскольку в их юрисдикциях такой функционал для МКК не востребован. Во-вторых, обязательное применение МСФО в КР и РК ужесточает требования к точности расчёта ЭПС и формату раскрытия — приложение обязано соответствовать международному стандарту, а не только национальной методике.</w:t>
      </w:r>
    </w:p>
    <w:p>
      <w:pPr/>
      <w:r>
        <w:rPr>
          <w:rFonts w:ascii="Times New Roman" w:hAnsi="Times New Roman" w:cs="Times New Roman" w:eastAsia="Times New Roman"/>
          <w:b w:val="0"/>
          <w:sz w:val="28"/>
        </w:rPr>
        <w:t>Агентство по защите депозитов КР гарантирует возврат вкладов в коммерческих банках на сумму до 200 000 сомов для физических лиц [40]. Депозиты, размещённые в МКО, под действие системы страхования не подпадают. Отсутствие государственной гарантии повышает значимость прозрачности расчётов для вкладчиков МКК «Замат Финанс». Клиент, размещая средства в организации без страховой защиты, рассчитывает на полное понимание условий: какую сумму он получит по истечении срока, какова эффективная ставка и какие операции зафиксированы за период действия вклада. Программное приложение, формирующее детализированный отчёт с помесячной разбивкой, напрямую отвечает на эту потребность и укрепляет доверие к организации.</w:t>
      </w:r>
    </w:p>
    <w:p>
      <w:pPr/>
      <w:r>
        <w:rPr>
          <w:rFonts w:ascii="Times New Roman" w:hAnsi="Times New Roman" w:cs="Times New Roman" w:eastAsia="Times New Roman"/>
          <w:b w:val="0"/>
          <w:sz w:val="28"/>
        </w:rPr>
        <w:t>Doke.kg (торговое наименование ООО «МКК «Замат Финанс») работает на рынке микрофинансовых услуг Кыргызстана с 2018 года. Компания специализируется на выдаче микрокредитов и привлечении срочных вкладов с капитализацией процентов. Линейка депозитных продуктов включает вклады сроком от 3 до 24 месяцев с ежемесячной и ежеквартальной капитализацией; процентные ставки варьируются от 14 % до 22 % годовых в зависимости от срока и суммы. По данным НБКР, депозитный портфель сектора МФО Кыргызстана на сентябрь 2025 года составил 9,8 млрд сомов, продемонстрировав прирост на 31 % с начала года [39]. Рост депозитной базы отражает растущее доверие вкладчиков к микрофинансовому сектору и одновременно увеличивает операционную нагрузку на расчётный персонал: ручной процесс расчёта с использованием электронных таблиц не масштабируется пропорционально числу договоров.</w:t>
      </w:r>
    </w:p>
    <w:p>
      <w:pPr/>
      <w:r>
        <w:rPr>
          <w:rFonts w:ascii="Times New Roman" w:hAnsi="Times New Roman" w:cs="Times New Roman" w:eastAsia="Times New Roman"/>
          <w:b w:val="0"/>
          <w:sz w:val="28"/>
        </w:rPr>
        <w:t>Цифровизация финансового сектора КР создаёт дополнительные регуляторные требования к программным продуктам МКО. НБКР планомерно переводит отчётность в электронный формат: с 2023 года микрофинансовые организации обязаны представлять пруденциальную отчётность через единый портал регулятора. Программное обеспечение, автоматизирующее расчёт вкладов, должно генерировать данные в формате, совместимом с порталом НБКР, — в противном случае оператору потребуется переносить информацию вручную, что воспроизводит ту же проблему, которую автоматизация призвана устранить.</w:t>
      </w:r>
    </w:p>
    <w:p>
      <w:pPr/>
      <w:r>
        <w:rPr>
          <w:rFonts w:ascii="Times New Roman" w:hAnsi="Times New Roman" w:cs="Times New Roman" w:eastAsia="Times New Roman"/>
          <w:b w:val="0"/>
          <w:sz w:val="28"/>
        </w:rPr>
        <w:t>Отдельного внимания заслуживает требование к хранению документов. НБКР обязывает МКО хранить копии договоров и расчётов по депозитным операциям не менее пяти лет с момента закрытия вклада. Бумажное хранение при растущем объёме операций становится затруднительным: по оценке руководства Doke.kg, архив за 2023–2025 годы занимает три шкафа документации. Электронное хранение расчётов в базе данных приложения снимает эту проблему и одновременно обеспечивает мгновенный доступ к любому документу при проверке регулятора. Возможность поиска по клиенту, дате и сумме сокращает время подготовки к проверке НБКР с нескольких дней до нескольких минут.</w:t>
      </w:r>
    </w:p>
    <w:p>
      <w:pPr/>
      <w:r>
        <w:rPr>
          <w:rFonts w:ascii="Times New Roman" w:hAnsi="Times New Roman" w:cs="Times New Roman" w:eastAsia="Times New Roman"/>
          <w:b w:val="0"/>
          <w:sz w:val="28"/>
        </w:rPr>
        <w:t>Ещё один нормативный аспект связан с противодействием легализации доходов, полученных преступным путём (ПОД/ФТ). Закон КР «О противодействии финансированию терроризма и легализации (отмыванию) доходов, полученных преступным путём» обязывает МКО проводить идентификацию клиентов и сообщать о подозрительных операциях в Государственную службу финансовой разведки. Программное приложение содействует выполнению этих требований, храня полный журнал операций по каждому вкладу (дата, сумма, тип операции) и позволяя оператору формировать выписки за произвольный период. При обнаружении операций, подпадающих под критерии подозрительности (например, многократные пополнения на крупные суммы с последующим снятием), система способна генерировать уведомление для ответственного сотрудника.</w:t>
      </w:r>
    </w:p>
    <w:p>
      <w:pPr/>
      <w:r>
        <w:rPr>
          <w:rFonts w:ascii="Times New Roman" w:hAnsi="Times New Roman" w:cs="Times New Roman" w:eastAsia="Times New Roman"/>
          <w:b w:val="0"/>
          <w:sz w:val="28"/>
        </w:rPr>
        <w:t>Нормативная среда, формируемая Законом «О МФО в КР» [2], положениями НБКР [39], стандартом МСФО (IFRS) 9 [4] и Налоговым кодексом КР [40], предъявляет к программному продукту конкретные функциональные требования. Пять нормативных ограничений переходят непосредственно в спецификацию: расчёт ЭПС по методике НБКР с учётом всех денежных потоков, помесячная детализация начислений в формате, пригодном для включения в договор, настраиваемая налоговая ставка, контроль категории вкладчика и формирование данных для квартальной отчётности перед регулятором. Сравнение с нормативными режимами Казахстана и России подтвердило уникальность кыргызской модели, при которой МКК наделена правом привлекать вклады, — обстоятельство, объясняющее отсутствие готовых программных решений на рынке и обосновывающее целесообразность собственной разработки. Все пять требований учтены при проектировании, описанном во второй главе.</w:t>
      </w:r>
    </w:p>
    <w:p>
      <w:pPr>
        <w:pStyle w:val="Heading2"/>
      </w:pPr>
      <w:r>
        <w:rPr>
          <w:rFonts w:ascii="Times New Roman" w:hAnsi="Times New Roman" w:cs="Times New Roman" w:eastAsia="Times New Roman"/>
        </w:rPr>
        <w:t>1.4 Сравнительный анализ существующих программных решений для расчёта вкладов</w:t>
      </w:r>
    </w:p>
    <w:p>
      <w:pPr/>
      <w:r>
        <w:rPr>
          <w:rFonts w:ascii="Times New Roman" w:hAnsi="Times New Roman" w:cs="Times New Roman" w:eastAsia="Times New Roman"/>
          <w:b w:val="0"/>
          <w:sz w:val="28"/>
        </w:rPr>
        <w:t>Четвёртая задача настоящего исследования требует оценить инструменты, доступные на рынке для автоматизации расчётов депозитных продуктов с капитализацией процентов. Оценка принципиальна. Без неё невозможно аргументированно обосновать разработку нового программного приложения: если среди существующих решений найдётся система, полностью отвечающая потребностям микрокредитной организации (МКО) в Кыргызской Республике, создание собственного продукта теряет практический смысл. Поэтому ниже рассмотрены четыре группы инструментов — онлайн-калькуляторы, банковские автоматизированные системы (АБС), табличные процессоры и специализированные финансовые пакеты — и проведено их сравнение по единому набору критериев.</w:t>
      </w:r>
    </w:p>
    <w:p>
      <w:pPr/>
      <w:r>
        <w:rPr>
          <w:rFonts w:ascii="Times New Roman" w:hAnsi="Times New Roman" w:cs="Times New Roman" w:eastAsia="Times New Roman"/>
          <w:b w:val="0"/>
          <w:sz w:val="28"/>
        </w:rPr>
        <w:t>Критерии сформированы с учётом специфики ООО «МКК «Замат Финанс» (Doke.kg) и нормативной среды НБКР. Первый критерий касается точности вычислений: допустимая погрешность при расчёте конечной суммы вклада не должна превышать 0,01 %. Второй критерий затрагивает функциональную гибкость, то есть поддержку переменных процентных ставок, различных периодов капитализации, операций пополнения и частичного снятия, а также налоговых удержаний по законодательству КР. Третий критерий определяет степень адаптации к нормативам МКО Кыргызстана, включая формат отчётности, раскрытие эффективной ставки и соответствие требованиям НБКР [39]. Четвёртый критерий охватывает стоимость владения: лицензионные платежи, расходы на внедрение и техническую поддержку. Пятый оценивает наличие программного интерфейса (API) для интеграции с внутренними системами компании. Все пять критериев равнозначны.</w:t>
      </w:r>
    </w:p>
    <w:p>
      <w:pPr/>
      <w:r>
        <w:rPr>
          <w:rFonts w:ascii="Times New Roman" w:hAnsi="Times New Roman" w:cs="Times New Roman" w:eastAsia="Times New Roman"/>
          <w:b w:val="0"/>
          <w:sz w:val="28"/>
        </w:rPr>
      </w:r>
      <w:r>
        <w:rPr>
          <w:rFonts w:ascii="Times New Roman" w:hAnsi="Times New Roman" w:cs="Times New Roman" w:eastAsia="Times New Roman"/>
          <w:b/>
          <w:sz w:val="28"/>
        </w:rPr>
        <w:t>Онлайн-калькуляторы.</w:t>
      </w:r>
      <w:r>
        <w:rPr>
          <w:rFonts w:ascii="Times New Roman" w:hAnsi="Times New Roman" w:cs="Times New Roman" w:eastAsia="Times New Roman"/>
          <w:b w:val="0"/>
          <w:sz w:val="28"/>
        </w:rPr>
        <w:t xml:space="preserve"> Среди общедоступных веб-инструментов наибольшую известность получили калькуляторы порталов banki.ru, calculator.net и fincalc.ru. На международном уровне широко используются калькуляторы Investor.gov (Комиссия по ценным бумагам США), Bankrate, NerdWallet и MoneyGeek, предоставляющие расчёт compound interest с визуализацией помесячного прироста. В Кыргызстане аналогичный сервис предоставляет финансовый маркетплейс Banks.kg, где размещён простой калькулятор вкладов для сравнения условий коммерческих банков [37]. Портал Akchabar.kg позволяет сопоставить депозитные продукты кыргызстанских банков по ставке и сроку, однако встроенный калькулятор ограничен базовой формулой без капитализации. Р.И. Чен и соавторы зафиксировали тенденцию к переводу базовых финансовых расчётов в веб-интерфейс: по их оценке, более 60 % розничных клиентов банков перед открытием депозита пользуются подобными инструментами [26].</w:t>
      </w:r>
    </w:p>
    <w:p>
      <w:pPr/>
      <w:r>
        <w:rPr>
          <w:rFonts w:ascii="Times New Roman" w:hAnsi="Times New Roman" w:cs="Times New Roman" w:eastAsia="Times New Roman"/>
          <w:b w:val="0"/>
          <w:sz w:val="28"/>
        </w:rPr>
        <w:t>Преимущества онлайн-калькуляторов очевидны. Они бесплатны и не требуют установки — достаточно браузера. Пользователь вводит сумму, ставку и срок, после чего получает результат за доли секунды. Порог входа минимален. Однако при попытке применить эти инструменты для нужд Doke.kg обнаруживается ряд ограничений, несовместимых с реальными бизнес-процессами МКО.</w:t>
      </w:r>
    </w:p>
    <w:p>
      <w:pPr/>
      <w:r>
        <w:rPr>
          <w:rFonts w:ascii="Times New Roman" w:hAnsi="Times New Roman" w:cs="Times New Roman" w:eastAsia="Times New Roman"/>
          <w:b w:val="0"/>
          <w:sz w:val="28"/>
        </w:rPr>
        <w:t>Во-первых, ни один из рассмотренных калькуляторов не поддерживает переменных процентных ставок — обязательного условия для депозитных программ, по которым ставка пересматривается при изменении учётной ставки НБКР. Калькулятор Bankrate позволяет задать единую ставку и частоту капитализации (daily, monthly, quarterly, annually), а также ежемесячное пополнение, однако изменение ставки в середине срока не предусмотрено. MoneyGeek детализирует результаты по годам с разбивкой на начальный баланс, взносы и начисленные проценты, но ставка фиксирована на весь период. Во-вторых, функции пополнения и частичного снятия реализованы лишь фрагментарно: banki.ru позволяет задать ежемесячный взнос, но не поддерживает произвольный график пополнений и полностью игнорирует снятие. Калькулятор Banks.kg ещё более ограничен — он рассчитывает только итоговую сумму по формуле простого или сложного процента без промежуточных операций [37]. В-третьих, отсутствует учёт налоговых удержаний. Наконец, все перечисленные сервисы лишены API: результат расчёта нельзя автоматически передать в учётную систему МКО. Т.Я. Данелян и О.А. Козлова подчёркивают, что изолированные калькуляторы не встраиваются в цепочку автоматизации финансовых операций и потому неприменимы как основной инструмент организации [22].</w:t>
      </w:r>
    </w:p>
    <w:p>
      <w:pPr/>
      <w:r>
        <w:rPr>
          <w:rFonts w:ascii="Times New Roman" w:hAnsi="Times New Roman" w:cs="Times New Roman" w:eastAsia="Times New Roman"/>
          <w:b w:val="0"/>
          <w:sz w:val="28"/>
        </w:rPr>
        <w:t>Отдельно стоит упомянуть мобильные приложения. В Google Play и App Store доступны десятки калькуляторов compound interest, предлагающих ввод начальной суммы, ежемесячного взноса, ставки и срока с визуализацией результатов в виде графиков. Приложение «Compound Interest Calculator» от CodeXception, к примеру, поддерживает выбор частоты капитализации и отображает детализированный анализ. Тем не менее ни одно из проанализированных мобильных приложений не поддерживает переменных ставок, налоговых удержаний и API-интеграции, что делает их непригодными для корпоративного применения.</w:t>
      </w:r>
    </w:p>
    <w:p>
      <w:pPr/>
      <w:r>
        <w:rPr>
          <w:rFonts w:ascii="Times New Roman" w:hAnsi="Times New Roman" w:cs="Times New Roman" w:eastAsia="Times New Roman"/>
          <w:b w:val="0"/>
          <w:sz w:val="28"/>
        </w:rPr>
      </w:r>
      <w:r>
        <w:rPr>
          <w:rFonts w:ascii="Times New Roman" w:hAnsi="Times New Roman" w:cs="Times New Roman" w:eastAsia="Times New Roman"/>
          <w:b/>
          <w:sz w:val="28"/>
        </w:rPr>
        <w:t>Автоматизированные банковские системы.</w:t>
      </w:r>
      <w:r>
        <w:rPr>
          <w:rFonts w:ascii="Times New Roman" w:hAnsi="Times New Roman" w:cs="Times New Roman" w:eastAsia="Times New Roman"/>
          <w:b w:val="0"/>
          <w:sz w:val="28"/>
        </w:rPr>
        <w:t xml:space="preserve"> Крупные коммерческие банки эксплуатируют АБС промышленного класса — продукты компаний «1С» (модуль «1С:Предприятие — Управление кредитной организацией»), ЦФТ (Центр финансовых технологий) и «Диасофт» (линейка Diasoft FLEXTERA). Т.В. Полтева описывает архитектуру таких систем как комплекс взаимосвязанных модулей, покрывающих весь цикл банковских операций — от открытия счетов до формирования регуляторной отчётности [25]. Расчёт процентов по вкладам реализован в ядре АБС и обеспечивает высокую точность с погрешностью менее 0,001 %.</w:t>
      </w:r>
    </w:p>
    <w:p>
      <w:pPr/>
      <w:r>
        <w:rPr>
          <w:rFonts w:ascii="Times New Roman" w:hAnsi="Times New Roman" w:cs="Times New Roman" w:eastAsia="Times New Roman"/>
          <w:b w:val="0"/>
          <w:sz w:val="28"/>
        </w:rPr>
        <w:t>Функциональность АБС избыточна для микрокредитных организаций. Система ЦФТ рассчитана на банк с десятками тысяч клиентов и сотнями продуктовых линеек; её минимальная лицензия, по открытым данным, превышает 15 миллионов рублей (порядка 12 млн сомов), а стоимость внедрения сопоставима с годовым IT-бюджетом небольшой МКО. Diasoft FLEXTERA ориентирована на крупный корпоративный сегмент и требует выделенной инфраструктуры. «1С:Предприятие» обходится дешевле, однако модуль для кредитных организаций нуждается в глубокой настройке: типовая конфигурация рассчитана на российское законодательство и не учитывает нормативные требования НБКР [25].</w:t>
      </w:r>
    </w:p>
    <w:p>
      <w:pPr/>
      <w:r>
        <w:rPr>
          <w:rFonts w:ascii="Times New Roman" w:hAnsi="Times New Roman" w:cs="Times New Roman" w:eastAsia="Times New Roman"/>
          <w:b w:val="0"/>
          <w:sz w:val="28"/>
        </w:rPr>
        <w:t>Стоимость не единственная преграда. Закрытый исходный код АБС исключает доработку расчётного ядра силами небольшой IT-команды МКО. Модификация формулы начисления процентов или добавление нового параметра (например, плавающей ставки, привязанной к учётной ставке НБКР) возможна только через запрос к вендору, что увеличивает сроки и затраты. Для Doke.kg, где продуктовая линейка меняется чаще, чем в крупном банке, такая зависимость создаёт операционный риск. Время реакции вендора на запрос изменения конфигурации составляет от двух недель до нескольких месяцев, тогда как микрокредитная организация способна вывести новый продукт за дни.</w:t>
      </w:r>
    </w:p>
    <w:p>
      <w:pPr/>
      <w:r>
        <w:rPr>
          <w:rFonts w:ascii="Times New Roman" w:hAnsi="Times New Roman" w:cs="Times New Roman" w:eastAsia="Times New Roman"/>
          <w:b w:val="0"/>
          <w:sz w:val="28"/>
        </w:rPr>
      </w:r>
      <w:r>
        <w:rPr>
          <w:rFonts w:ascii="Times New Roman" w:hAnsi="Times New Roman" w:cs="Times New Roman" w:eastAsia="Times New Roman"/>
          <w:b/>
          <w:sz w:val="28"/>
        </w:rPr>
        <w:t>Табличные процессоры.</w:t>
      </w:r>
      <w:r>
        <w:rPr>
          <w:rFonts w:ascii="Times New Roman" w:hAnsi="Times New Roman" w:cs="Times New Roman" w:eastAsia="Times New Roman"/>
          <w:b w:val="0"/>
          <w:sz w:val="28"/>
        </w:rPr>
        <w:t xml:space="preserve"> Microsoft Excel и Google Sheets остаются самым распространённым инструментом финансовых расчётов в малых и средних организациях. S. Benninga посвятил отдельную монографию методам финансового моделирования в Excel и показал, что среда электронных таблиц позволяет строить модели произвольной сложности — от элементарного расчёта будущей стоимости до многостраничных имитационных моделей с макросами VBA [27]. Сотрудники Doke.kg до настоящего времени используют именно Excel для расчёта параметров вкладов, что отмечено во введении к работе.</w:t>
      </w:r>
    </w:p>
    <w:p>
      <w:pPr/>
      <w:r>
        <w:rPr>
          <w:rFonts w:ascii="Times New Roman" w:hAnsi="Times New Roman" w:cs="Times New Roman" w:eastAsia="Times New Roman"/>
          <w:b w:val="0"/>
          <w:sz w:val="28"/>
        </w:rPr>
        <w:t>Гибкость табличных процессоров неоспорима. Пользователь формирует модель самостоятельно, задаёт формулы, строит графики. Затраты на лицензию невелики: Microsoft 365 Business Basic стоит менее 600 сомов в месяц, а Google Sheets бесплатен. Тем не менее практическое применение Excel как корпоративного расчётного инструмента сопряжено с хорошо изученными проблемами.</w:t>
      </w:r>
    </w:p>
    <w:p>
      <w:pPr/>
      <w:r>
        <w:rPr>
          <w:rFonts w:ascii="Times New Roman" w:hAnsi="Times New Roman" w:cs="Times New Roman" w:eastAsia="Times New Roman"/>
          <w:b w:val="0"/>
          <w:sz w:val="28"/>
        </w:rPr>
        <w:t>Е.М. Четыркин указывает, что реализация финансовых формул в ячейках электронной таблицы требует глубокого понимания математического аппарата от каждого оператора; ошибка в одной ячейке распространяется по всей модели и не всегда обнаруживается визуально [18]. Аудиторская практика зафиксировала, что свыше 90 % крупных электронных таблиц содержат хотя бы одну существенную ошибку. Для Doke.kg проблема стоит ещё острее: расчётный файл копируется для каждого клиента вручную, оператор дублирует шаблон, вносит индивидуальные параметры и запускает пересчёт. При обработке нескольких десятков заявок в день вероятность ошибки возрастает кратно.</w:t>
      </w:r>
    </w:p>
    <w:p>
      <w:pPr/>
      <w:r>
        <w:rPr>
          <w:rFonts w:ascii="Times New Roman" w:hAnsi="Times New Roman" w:cs="Times New Roman" w:eastAsia="Times New Roman"/>
          <w:b w:val="0"/>
          <w:sz w:val="28"/>
        </w:rPr>
        <w:t>Отсутствие контроля версий порождает дополнительный риск. Два сотрудника могут работать с разными копиями файла, содержащими различные версии формул, и выявить расхождение удастся только при сверке результатов. Многопользовательский доступ в Google Sheets частично решает проблему, однако не обеспечивает полноценного аудиторского следа — записи о том, кто, когда и какой параметр изменил. Для организации, подотчётной НБКР, отсутствие аудиторского следа представляет регуляторный риск [39]. Помимо этого, электронные таблицы не имеют API, что делает невозможной автоматическую передачу результатов в CRM или бухгалтерскую систему компании.</w:t>
      </w:r>
    </w:p>
    <w:p>
      <w:pPr/>
      <w:r>
        <w:rPr>
          <w:rFonts w:ascii="Times New Roman" w:hAnsi="Times New Roman" w:cs="Times New Roman" w:eastAsia="Times New Roman"/>
          <w:b w:val="0"/>
          <w:sz w:val="28"/>
        </w:rPr>
        <w:t>Ещё одно ограничение связано с масштабируемостью. При 40–50 расчётах в день, выполняемых 28 операторами, централизованное хранение результатов в Excel невозможно без перехода к базе данных. Каждый оператор ведёт собственный файл, и агрегация данных для квартальной отчётности перед НБКР требует ручного сведения десятков документов. Процедура занимает от одного до двух рабочих дней и сопряжена с риском пропуска или дублирования записей.</w:t>
      </w:r>
    </w:p>
    <w:p>
      <w:pPr/>
      <w:r>
        <w:rPr>
          <w:rFonts w:ascii="Times New Roman" w:hAnsi="Times New Roman" w:cs="Times New Roman" w:eastAsia="Times New Roman"/>
          <w:b w:val="0"/>
          <w:sz w:val="28"/>
        </w:rPr>
      </w:r>
      <w:r>
        <w:rPr>
          <w:rFonts w:ascii="Times New Roman" w:hAnsi="Times New Roman" w:cs="Times New Roman" w:eastAsia="Times New Roman"/>
          <w:b/>
          <w:sz w:val="28"/>
        </w:rPr>
        <w:t>Специализированные финансовые пакеты.</w:t>
      </w:r>
      <w:r>
        <w:rPr>
          <w:rFonts w:ascii="Times New Roman" w:hAnsi="Times New Roman" w:cs="Times New Roman" w:eastAsia="Times New Roman"/>
          <w:b w:val="0"/>
          <w:sz w:val="28"/>
        </w:rPr>
        <w:t xml:space="preserve"> MATLAB Financial Toolbox, библиотека FinancialMath для языка R и экосистема NumPy/SciPy/QuantLib для Python позволяют выполнять финансовые расчёты с произвольной точностью. P. Wilmott применяет MATLAB для решения дифференциальных уравнений в моделях непрерывного начисления процентов, демонстрируя точность до 15 значащих цифр [36]. S. Benninga подробно описывает реализацию формул сложного процента как в Excel, так и в Python, отмечая, что программный код устраняет главный недостаток электронных таблиц — непрозрачность логики расчёта [27].</w:t>
      </w:r>
    </w:p>
    <w:p>
      <w:pPr/>
      <w:r>
        <w:rPr>
          <w:rFonts w:ascii="Times New Roman" w:hAnsi="Times New Roman" w:cs="Times New Roman" w:eastAsia="Times New Roman"/>
          <w:b w:val="0"/>
          <w:sz w:val="28"/>
        </w:rPr>
        <w:t>Точность пакетов подтверждена многочисленными исследованиями. Проблема заключена в другом. MATLAB Financial Toolbox требует лицензии стоимостью порядка 1 000 долларов за рабочее место, а корпоративная лицензия обходится кратно дороже. R и Python бесплатны, однако написание расчётной модели на этих языках предполагает наличие квалифицированного программиста. Оператор МКО, ежедневно обрабатывающий клиентские заявки, не владеет навыками программирования на R или Python и не способен самостоятельно запускать скрипты из командной строки.</w:t>
      </w:r>
    </w:p>
    <w:p>
      <w:pPr/>
      <w:r>
        <w:rPr>
          <w:rFonts w:ascii="Times New Roman" w:hAnsi="Times New Roman" w:cs="Times New Roman" w:eastAsia="Times New Roman"/>
          <w:b w:val="0"/>
          <w:sz w:val="28"/>
        </w:rPr>
        <w:t>GUI у этих пакетов отсутствует. Перечисленные инструменты лишены графического пользовательского интерфейса, пригодного для оператора кредитной организации. Результат вычислений возвращается в виде массива чисел или графика в консольном окне; для его преобразования в форму, понятную клиенту или руководителю, требуется дополнительная разработка. Ни один из пакетов не содержит встроенного механизма формирования отчётности в формате, предписанном НБКР. Адаптация под нормативы Кыргызской Республики потребовала бы создания полноценной надстройки, что по трудоёмкости сопоставимо с разработкой самостоятельного приложения.</w:t>
      </w:r>
    </w:p>
    <w:p>
      <w:pPr/>
      <w:r>
        <w:rPr>
          <w:rFonts w:ascii="Times New Roman" w:hAnsi="Times New Roman" w:cs="Times New Roman" w:eastAsia="Times New Roman"/>
          <w:b w:val="0"/>
          <w:sz w:val="28"/>
        </w:rPr>
        <w:t>Библиотека QuantLib заслуживает отдельного рассмотрения. Она реализует свыше 60 моделей ценообразования финансовых инструментов и содержит модуль расчёта денежных потоков по вкладам с фиксированной и плавающей ставкой. Однако QuantLib ориентирована на инвестиционные банки и хедж-фонды; её архитектура избыточна для расчёта стандартных депозитных продуктов МКО. Документация предполагает владение C++ на продвинутом уровне, а Python-обёртка (QuantLib-Python) ограничена в функциональности. Интеграция QuantLib в веб-приложение для Doke.kg потребовала бы написания промежуточного слоя, что нивелирует преимущество использования готовой библиотеки.</w:t>
      </w:r>
    </w:p>
    <w:p>
      <w:pPr/>
      <w:r>
        <w:rPr>
          <w:rFonts w:ascii="Times New Roman" w:hAnsi="Times New Roman" w:cs="Times New Roman" w:eastAsia="Times New Roman"/>
          <w:b w:val="0"/>
          <w:sz w:val="28"/>
        </w:rPr>
      </w:r>
      <w:r>
        <w:rPr>
          <w:rFonts w:ascii="Times New Roman" w:hAnsi="Times New Roman" w:cs="Times New Roman" w:eastAsia="Times New Roman"/>
          <w:b/>
          <w:sz w:val="28"/>
        </w:rPr>
        <w:t>Сводное сравнение.</w:t>
      </w:r>
      <w:r>
        <w:rPr>
          <w:rFonts w:ascii="Times New Roman" w:hAnsi="Times New Roman" w:cs="Times New Roman" w:eastAsia="Times New Roman"/>
          <w:b w:val="0"/>
          <w:sz w:val="28"/>
        </w:rPr>
        <w:t xml:space="preserve"> Проведённый анализ четырёх групп инструментов выявил характерную закономерность. Универсального решения не существует: каждая группа удовлетворяет лишь части сформулированных критериев. Онлайн-калькуляторы доступны и бесплатны, но функционально бедны — отсутствуют переменные ставки, пополнения, снятия, API. Банковские АБС обеспечивают полную автоматизацию и высокую точность, однако их стоимость и архитектурная избыточность не соответствуют масштабу МКО. Табличные процессоры гибки, но подвержены ошибкам ручного ввода и лишены контроля версий, аудиторского следа, программного интерфейса. Специализированные пакеты гарантируют точность расчётов, но не имеют GUI для оператора и требуют навыков программирования.</w:t>
      </w:r>
    </w:p>
    <w:p>
      <w:pPr/>
      <w:r>
        <w:rPr>
          <w:rFonts w:ascii="Times New Roman" w:hAnsi="Times New Roman" w:cs="Times New Roman" w:eastAsia="Times New Roman"/>
          <w:b w:val="0"/>
          <w:sz w:val="28"/>
        </w:rPr>
        <w:t>Совокупность выявленных ограничений приведена в таблице 1.4.1.</w:t>
      </w:r>
    </w:p>
    <w:p>
      <w:pPr>
        <w:spacing w:before="120" w:after="120"/>
        <w:ind w:firstLine="0"/>
        <w:jc w:val="center"/>
      </w:pPr>
      <w:r>
        <w:rPr>
          <w:rFonts w:ascii="Times New Roman" w:hAnsi="Times New Roman" w:cs="Times New Roman" w:eastAsia="Times New Roman"/>
          <w:b/>
          <w:sz w:val="24"/>
        </w:rPr>
        <w:t>Таблица 1.4.1 — Сравнительная характеристика программных решений для расчёта вкладов с капитализацией</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40" w:after="40" w:line="320" w:lineRule="exact"/>
              <w:ind w:firstLine="0"/>
            </w:pPr>
            <w:r/>
            <w:r>
              <w:rPr>
                <w:rFonts w:ascii="Times New Roman" w:hAnsi="Times New Roman" w:cs="Times New Roman" w:eastAsia="Times New Roman"/>
                <w:b/>
                <w:sz w:val="24"/>
              </w:rPr>
              <w:t>Критерий</w:t>
            </w:r>
          </w:p>
        </w:tc>
        <w:tc>
          <w:tcPr>
            <w:tcW w:type="dxa" w:w="1938"/>
          </w:tcPr>
          <w:p>
            <w:pPr>
              <w:spacing w:before="40" w:after="40" w:line="320" w:lineRule="exact"/>
              <w:ind w:firstLine="0"/>
            </w:pPr>
            <w:r/>
            <w:r>
              <w:rPr>
                <w:rFonts w:ascii="Times New Roman" w:hAnsi="Times New Roman" w:cs="Times New Roman" w:eastAsia="Times New Roman"/>
                <w:b/>
                <w:sz w:val="24"/>
              </w:rPr>
              <w:t>Онлайн-калькуляторы</w:t>
            </w:r>
          </w:p>
        </w:tc>
        <w:tc>
          <w:tcPr>
            <w:tcW w:type="dxa" w:w="1938"/>
          </w:tcPr>
          <w:p>
            <w:pPr>
              <w:spacing w:before="40" w:after="40" w:line="320" w:lineRule="exact"/>
              <w:ind w:firstLine="0"/>
            </w:pPr>
            <w:r/>
            <w:r>
              <w:rPr>
                <w:rFonts w:ascii="Times New Roman" w:hAnsi="Times New Roman" w:cs="Times New Roman" w:eastAsia="Times New Roman"/>
                <w:b/>
                <w:sz w:val="24"/>
              </w:rPr>
              <w:t>АБС (1С, ЦФТ, Diasoft)</w:t>
            </w:r>
          </w:p>
        </w:tc>
        <w:tc>
          <w:tcPr>
            <w:tcW w:type="dxa" w:w="1938"/>
          </w:tcPr>
          <w:p>
            <w:pPr>
              <w:spacing w:before="40" w:after="40" w:line="320" w:lineRule="exact"/>
              <w:ind w:firstLine="0"/>
            </w:pPr>
            <w:r/>
            <w:r>
              <w:rPr>
                <w:rFonts w:ascii="Times New Roman" w:hAnsi="Times New Roman" w:cs="Times New Roman" w:eastAsia="Times New Roman"/>
                <w:b/>
                <w:sz w:val="24"/>
              </w:rPr>
              <w:t>Excel / Google Sheets</w:t>
            </w:r>
          </w:p>
        </w:tc>
        <w:tc>
          <w:tcPr>
            <w:tcW w:type="dxa" w:w="1938"/>
          </w:tcPr>
          <w:p>
            <w:pPr>
              <w:spacing w:before="40" w:after="40" w:line="320" w:lineRule="exact"/>
              <w:ind w:firstLine="0"/>
            </w:pPr>
            <w:r/>
            <w:r>
              <w:rPr>
                <w:rFonts w:ascii="Times New Roman" w:hAnsi="Times New Roman" w:cs="Times New Roman" w:eastAsia="Times New Roman"/>
                <w:b/>
                <w:sz w:val="24"/>
              </w:rPr>
              <w:t>MATLAB / R / Python</w:t>
            </w:r>
          </w:p>
        </w:tc>
      </w:tr>
      <w:tr>
        <w:tc>
          <w:tcPr>
            <w:tcW w:type="dxa" w:w="1938"/>
          </w:tcPr>
          <w:p>
            <w:pPr>
              <w:spacing w:before="40" w:after="40" w:line="320" w:lineRule="exact"/>
              <w:ind w:firstLine="0"/>
            </w:pPr>
            <w:r/>
            <w:r>
              <w:rPr>
                <w:rFonts w:ascii="Times New Roman" w:hAnsi="Times New Roman" w:cs="Times New Roman" w:eastAsia="Times New Roman"/>
                <w:b w:val="0"/>
                <w:sz w:val="24"/>
              </w:rPr>
              <w:t>Точность расчётов</w:t>
            </w:r>
          </w:p>
        </w:tc>
        <w:tc>
          <w:tcPr>
            <w:tcW w:type="dxa" w:w="1938"/>
          </w:tcPr>
          <w:p>
            <w:pPr>
              <w:spacing w:before="40" w:after="40" w:line="320" w:lineRule="exact"/>
              <w:ind w:firstLine="0"/>
            </w:pPr>
            <w:r/>
            <w:r>
              <w:rPr>
                <w:rFonts w:ascii="Times New Roman" w:hAnsi="Times New Roman" w:cs="Times New Roman" w:eastAsia="Times New Roman"/>
                <w:b w:val="0"/>
                <w:sz w:val="24"/>
              </w:rPr>
              <w:t>Приемлемая (≤ 0,1 %)</w:t>
            </w:r>
          </w:p>
        </w:tc>
        <w:tc>
          <w:tcPr>
            <w:tcW w:type="dxa" w:w="1938"/>
          </w:tcPr>
          <w:p>
            <w:pPr>
              <w:spacing w:before="40" w:after="40" w:line="320" w:lineRule="exact"/>
              <w:ind w:firstLine="0"/>
            </w:pPr>
            <w:r/>
            <w:r>
              <w:rPr>
                <w:rFonts w:ascii="Times New Roman" w:hAnsi="Times New Roman" w:cs="Times New Roman" w:eastAsia="Times New Roman"/>
                <w:b w:val="0"/>
                <w:sz w:val="24"/>
              </w:rPr>
              <w:t>Высокая (≤ 0,001 %)</w:t>
            </w:r>
          </w:p>
        </w:tc>
        <w:tc>
          <w:tcPr>
            <w:tcW w:type="dxa" w:w="1938"/>
          </w:tcPr>
          <w:p>
            <w:pPr>
              <w:spacing w:before="40" w:after="40" w:line="320" w:lineRule="exact"/>
              <w:ind w:firstLine="0"/>
            </w:pPr>
            <w:r/>
            <w:r>
              <w:rPr>
                <w:rFonts w:ascii="Times New Roman" w:hAnsi="Times New Roman" w:cs="Times New Roman" w:eastAsia="Times New Roman"/>
                <w:b w:val="0"/>
                <w:sz w:val="24"/>
              </w:rPr>
              <w:t>Зависит от оператора</w:t>
            </w:r>
          </w:p>
        </w:tc>
        <w:tc>
          <w:tcPr>
            <w:tcW w:type="dxa" w:w="1938"/>
          </w:tcPr>
          <w:p>
            <w:pPr>
              <w:spacing w:before="40" w:after="40" w:line="320" w:lineRule="exact"/>
              <w:ind w:firstLine="0"/>
            </w:pPr>
            <w:r/>
            <w:r>
              <w:rPr>
                <w:rFonts w:ascii="Times New Roman" w:hAnsi="Times New Roman" w:cs="Times New Roman" w:eastAsia="Times New Roman"/>
                <w:b w:val="0"/>
                <w:sz w:val="24"/>
              </w:rPr>
              <w:t>Высокая (≤ 0,001 %)</w:t>
            </w:r>
          </w:p>
        </w:tc>
      </w:tr>
      <w:tr>
        <w:tc>
          <w:tcPr>
            <w:tcW w:type="dxa" w:w="1938"/>
          </w:tcPr>
          <w:p>
            <w:pPr>
              <w:spacing w:before="40" w:after="40" w:line="320" w:lineRule="exact"/>
              <w:ind w:firstLine="0"/>
            </w:pPr>
            <w:r/>
            <w:r>
              <w:rPr>
                <w:rFonts w:ascii="Times New Roman" w:hAnsi="Times New Roman" w:cs="Times New Roman" w:eastAsia="Times New Roman"/>
                <w:b w:val="0"/>
                <w:sz w:val="24"/>
              </w:rPr>
              <w:t>Переменные ставки</w:t>
            </w:r>
          </w:p>
        </w:tc>
        <w:tc>
          <w:tcPr>
            <w:tcW w:type="dxa" w:w="1938"/>
          </w:tcPr>
          <w:p>
            <w:pPr>
              <w:spacing w:before="40" w:after="40" w:line="320" w:lineRule="exact"/>
              <w:ind w:firstLine="0"/>
            </w:pPr>
            <w:r/>
            <w:r>
              <w:rPr>
                <w:rFonts w:ascii="Times New Roman" w:hAnsi="Times New Roman" w:cs="Times New Roman" w:eastAsia="Times New Roman"/>
                <w:b w:val="0"/>
                <w:sz w:val="24"/>
              </w:rPr>
              <w:t>Не поддерживается</w:t>
            </w:r>
          </w:p>
        </w:tc>
        <w:tc>
          <w:tcPr>
            <w:tcW w:type="dxa" w:w="1938"/>
          </w:tcPr>
          <w:p>
            <w:pPr>
              <w:spacing w:before="40" w:after="40" w:line="320" w:lineRule="exact"/>
              <w:ind w:firstLine="0"/>
            </w:pPr>
            <w:r/>
            <w:r>
              <w:rPr>
                <w:rFonts w:ascii="Times New Roman" w:hAnsi="Times New Roman" w:cs="Times New Roman" w:eastAsia="Times New Roman"/>
                <w:b w:val="0"/>
                <w:sz w:val="24"/>
              </w:rPr>
              <w:t>Поддерживается</w:t>
            </w:r>
          </w:p>
        </w:tc>
        <w:tc>
          <w:tcPr>
            <w:tcW w:type="dxa" w:w="1938"/>
          </w:tcPr>
          <w:p>
            <w:pPr>
              <w:spacing w:before="40" w:after="40" w:line="320" w:lineRule="exact"/>
              <w:ind w:firstLine="0"/>
            </w:pPr>
            <w:r/>
            <w:r>
              <w:rPr>
                <w:rFonts w:ascii="Times New Roman" w:hAnsi="Times New Roman" w:cs="Times New Roman" w:eastAsia="Times New Roman"/>
                <w:b w:val="0"/>
                <w:sz w:val="24"/>
              </w:rPr>
              <w:t>Реализуемо вручную</w:t>
            </w:r>
          </w:p>
        </w:tc>
        <w:tc>
          <w:tcPr>
            <w:tcW w:type="dxa" w:w="1938"/>
          </w:tcPr>
          <w:p>
            <w:pPr>
              <w:spacing w:before="40" w:after="40" w:line="320" w:lineRule="exact"/>
              <w:ind w:firstLine="0"/>
            </w:pPr>
            <w:r/>
            <w:r>
              <w:rPr>
                <w:rFonts w:ascii="Times New Roman" w:hAnsi="Times New Roman" w:cs="Times New Roman" w:eastAsia="Times New Roman"/>
                <w:b w:val="0"/>
                <w:sz w:val="24"/>
              </w:rPr>
              <w:t>Реализуемо программно</w:t>
            </w:r>
          </w:p>
        </w:tc>
      </w:tr>
      <w:tr>
        <w:tc>
          <w:tcPr>
            <w:tcW w:type="dxa" w:w="1938"/>
          </w:tcPr>
          <w:p>
            <w:pPr>
              <w:spacing w:before="40" w:after="40" w:line="320" w:lineRule="exact"/>
              <w:ind w:firstLine="0"/>
            </w:pPr>
            <w:r/>
            <w:r>
              <w:rPr>
                <w:rFonts w:ascii="Times New Roman" w:hAnsi="Times New Roman" w:cs="Times New Roman" w:eastAsia="Times New Roman"/>
                <w:b w:val="0"/>
                <w:sz w:val="24"/>
              </w:rPr>
              <w:t>Пополнение / снятие</w:t>
            </w:r>
          </w:p>
        </w:tc>
        <w:tc>
          <w:tcPr>
            <w:tcW w:type="dxa" w:w="1938"/>
          </w:tcPr>
          <w:p>
            <w:pPr>
              <w:spacing w:before="40" w:after="40" w:line="320" w:lineRule="exact"/>
              <w:ind w:firstLine="0"/>
            </w:pPr>
            <w:r/>
            <w:r>
              <w:rPr>
                <w:rFonts w:ascii="Times New Roman" w:hAnsi="Times New Roman" w:cs="Times New Roman" w:eastAsia="Times New Roman"/>
                <w:b w:val="0"/>
                <w:sz w:val="24"/>
              </w:rPr>
              <w:t>Частично (только пополнение)</w:t>
            </w:r>
          </w:p>
        </w:tc>
        <w:tc>
          <w:tcPr>
            <w:tcW w:type="dxa" w:w="1938"/>
          </w:tcPr>
          <w:p>
            <w:pPr>
              <w:spacing w:before="40" w:after="40" w:line="320" w:lineRule="exact"/>
              <w:ind w:firstLine="0"/>
            </w:pPr>
            <w:r/>
            <w:r>
              <w:rPr>
                <w:rFonts w:ascii="Times New Roman" w:hAnsi="Times New Roman" w:cs="Times New Roman" w:eastAsia="Times New Roman"/>
                <w:b w:val="0"/>
                <w:sz w:val="24"/>
              </w:rPr>
              <w:t>Поддерживается</w:t>
            </w:r>
          </w:p>
        </w:tc>
        <w:tc>
          <w:tcPr>
            <w:tcW w:type="dxa" w:w="1938"/>
          </w:tcPr>
          <w:p>
            <w:pPr>
              <w:spacing w:before="40" w:after="40" w:line="320" w:lineRule="exact"/>
              <w:ind w:firstLine="0"/>
            </w:pPr>
            <w:r/>
            <w:r>
              <w:rPr>
                <w:rFonts w:ascii="Times New Roman" w:hAnsi="Times New Roman" w:cs="Times New Roman" w:eastAsia="Times New Roman"/>
                <w:b w:val="0"/>
                <w:sz w:val="24"/>
              </w:rPr>
              <w:t>Реализуемо вручную</w:t>
            </w:r>
          </w:p>
        </w:tc>
        <w:tc>
          <w:tcPr>
            <w:tcW w:type="dxa" w:w="1938"/>
          </w:tcPr>
          <w:p>
            <w:pPr>
              <w:spacing w:before="40" w:after="40" w:line="320" w:lineRule="exact"/>
              <w:ind w:firstLine="0"/>
            </w:pPr>
            <w:r/>
            <w:r>
              <w:rPr>
                <w:rFonts w:ascii="Times New Roman" w:hAnsi="Times New Roman" w:cs="Times New Roman" w:eastAsia="Times New Roman"/>
                <w:b w:val="0"/>
                <w:sz w:val="24"/>
              </w:rPr>
              <w:t>Реализуемо программно</w:t>
            </w:r>
          </w:p>
        </w:tc>
      </w:tr>
      <w:tr>
        <w:tc>
          <w:tcPr>
            <w:tcW w:type="dxa" w:w="1938"/>
          </w:tcPr>
          <w:p>
            <w:pPr>
              <w:spacing w:before="40" w:after="40" w:line="320" w:lineRule="exact"/>
              <w:ind w:firstLine="0"/>
            </w:pPr>
            <w:r/>
            <w:r>
              <w:rPr>
                <w:rFonts w:ascii="Times New Roman" w:hAnsi="Times New Roman" w:cs="Times New Roman" w:eastAsia="Times New Roman"/>
                <w:b w:val="0"/>
                <w:sz w:val="24"/>
              </w:rPr>
              <w:t>Налоговые удержания КР</w:t>
            </w:r>
          </w:p>
        </w:tc>
        <w:tc>
          <w:tcPr>
            <w:tcW w:type="dxa" w:w="1938"/>
          </w:tcPr>
          <w:p>
            <w:pPr>
              <w:spacing w:before="40" w:after="40" w:line="320" w:lineRule="exact"/>
              <w:ind w:firstLine="0"/>
            </w:pPr>
            <w:r/>
            <w:r>
              <w:rPr>
                <w:rFonts w:ascii="Times New Roman" w:hAnsi="Times New Roman" w:cs="Times New Roman" w:eastAsia="Times New Roman"/>
                <w:b w:val="0"/>
                <w:sz w:val="24"/>
              </w:rPr>
              <w:t>Не поддерживается</w:t>
            </w:r>
          </w:p>
        </w:tc>
        <w:tc>
          <w:tcPr>
            <w:tcW w:type="dxa" w:w="1938"/>
          </w:tcPr>
          <w:p>
            <w:pPr>
              <w:spacing w:before="40" w:after="40" w:line="320" w:lineRule="exact"/>
              <w:ind w:firstLine="0"/>
            </w:pPr>
            <w:r/>
            <w:r>
              <w:rPr>
                <w:rFonts w:ascii="Times New Roman" w:hAnsi="Times New Roman" w:cs="Times New Roman" w:eastAsia="Times New Roman"/>
                <w:b w:val="0"/>
                <w:sz w:val="24"/>
              </w:rPr>
              <w:t>Не адаптировано к КР</w:t>
            </w:r>
          </w:p>
        </w:tc>
        <w:tc>
          <w:tcPr>
            <w:tcW w:type="dxa" w:w="1938"/>
          </w:tcPr>
          <w:p>
            <w:pPr>
              <w:spacing w:before="40" w:after="40" w:line="320" w:lineRule="exact"/>
              <w:ind w:firstLine="0"/>
            </w:pPr>
            <w:r/>
            <w:r>
              <w:rPr>
                <w:rFonts w:ascii="Times New Roman" w:hAnsi="Times New Roman" w:cs="Times New Roman" w:eastAsia="Times New Roman"/>
                <w:b w:val="0"/>
                <w:sz w:val="24"/>
              </w:rPr>
              <w:t>Реализуемо вручную</w:t>
            </w:r>
          </w:p>
        </w:tc>
        <w:tc>
          <w:tcPr>
            <w:tcW w:type="dxa" w:w="1938"/>
          </w:tcPr>
          <w:p>
            <w:pPr>
              <w:spacing w:before="40" w:after="40" w:line="320" w:lineRule="exact"/>
              <w:ind w:firstLine="0"/>
            </w:pPr>
            <w:r/>
            <w:r>
              <w:rPr>
                <w:rFonts w:ascii="Times New Roman" w:hAnsi="Times New Roman" w:cs="Times New Roman" w:eastAsia="Times New Roman"/>
                <w:b w:val="0"/>
                <w:sz w:val="24"/>
              </w:rPr>
              <w:t>Реализуемо программно</w:t>
            </w:r>
          </w:p>
        </w:tc>
      </w:tr>
      <w:tr>
        <w:tc>
          <w:tcPr>
            <w:tcW w:type="dxa" w:w="1938"/>
          </w:tcPr>
          <w:p>
            <w:pPr>
              <w:spacing w:before="40" w:after="40" w:line="320" w:lineRule="exact"/>
              <w:ind w:firstLine="0"/>
            </w:pPr>
            <w:r/>
            <w:r>
              <w:rPr>
                <w:rFonts w:ascii="Times New Roman" w:hAnsi="Times New Roman" w:cs="Times New Roman" w:eastAsia="Times New Roman"/>
                <w:b w:val="0"/>
                <w:sz w:val="24"/>
              </w:rPr>
              <w:t>GUI для оператора</w:t>
            </w:r>
          </w:p>
        </w:tc>
        <w:tc>
          <w:tcPr>
            <w:tcW w:type="dxa" w:w="1938"/>
          </w:tcPr>
          <w:p>
            <w:pPr>
              <w:spacing w:before="40" w:after="40" w:line="320" w:lineRule="exact"/>
              <w:ind w:firstLine="0"/>
            </w:pPr>
            <w:r/>
            <w:r>
              <w:rPr>
                <w:rFonts w:ascii="Times New Roman" w:hAnsi="Times New Roman" w:cs="Times New Roman" w:eastAsia="Times New Roman"/>
                <w:b w:val="0"/>
                <w:sz w:val="24"/>
              </w:rPr>
              <w:t>Веб-интерфейс</w:t>
            </w:r>
          </w:p>
        </w:tc>
        <w:tc>
          <w:tcPr>
            <w:tcW w:type="dxa" w:w="1938"/>
          </w:tcPr>
          <w:p>
            <w:pPr>
              <w:spacing w:before="40" w:after="40" w:line="320" w:lineRule="exact"/>
              <w:ind w:firstLine="0"/>
            </w:pPr>
            <w:r/>
            <w:r>
              <w:rPr>
                <w:rFonts w:ascii="Times New Roman" w:hAnsi="Times New Roman" w:cs="Times New Roman" w:eastAsia="Times New Roman"/>
                <w:b w:val="0"/>
                <w:sz w:val="24"/>
              </w:rPr>
              <w:t>Полноценный</w:t>
            </w:r>
          </w:p>
        </w:tc>
        <w:tc>
          <w:tcPr>
            <w:tcW w:type="dxa" w:w="1938"/>
          </w:tcPr>
          <w:p>
            <w:pPr>
              <w:spacing w:before="40" w:after="40" w:line="320" w:lineRule="exact"/>
              <w:ind w:firstLine="0"/>
            </w:pPr>
            <w:r/>
            <w:r>
              <w:rPr>
                <w:rFonts w:ascii="Times New Roman" w:hAnsi="Times New Roman" w:cs="Times New Roman" w:eastAsia="Times New Roman"/>
                <w:b w:val="0"/>
                <w:sz w:val="24"/>
              </w:rPr>
              <w:t>Интерфейс таблицы</w:t>
            </w:r>
          </w:p>
        </w:tc>
        <w:tc>
          <w:tcPr>
            <w:tcW w:type="dxa" w:w="1938"/>
          </w:tcPr>
          <w:p>
            <w:pPr>
              <w:spacing w:before="40" w:after="40" w:line="320" w:lineRule="exact"/>
              <w:ind w:firstLine="0"/>
            </w:pPr>
            <w:r/>
            <w:r>
              <w:rPr>
                <w:rFonts w:ascii="Times New Roman" w:hAnsi="Times New Roman" w:cs="Times New Roman" w:eastAsia="Times New Roman"/>
                <w:b w:val="0"/>
                <w:sz w:val="24"/>
              </w:rPr>
              <w:t>Отсутствует</w:t>
            </w:r>
          </w:p>
        </w:tc>
      </w:tr>
      <w:tr>
        <w:tc>
          <w:tcPr>
            <w:tcW w:type="dxa" w:w="1938"/>
          </w:tcPr>
          <w:p>
            <w:pPr>
              <w:spacing w:before="40" w:after="40" w:line="320" w:lineRule="exact"/>
              <w:ind w:firstLine="0"/>
            </w:pPr>
            <w:r/>
            <w:r>
              <w:rPr>
                <w:rFonts w:ascii="Times New Roman" w:hAnsi="Times New Roman" w:cs="Times New Roman" w:eastAsia="Times New Roman"/>
                <w:b w:val="0"/>
                <w:sz w:val="24"/>
              </w:rPr>
              <w:t>API для интеграции</w:t>
            </w:r>
          </w:p>
        </w:tc>
        <w:tc>
          <w:tcPr>
            <w:tcW w:type="dxa" w:w="1938"/>
          </w:tcPr>
          <w:p>
            <w:pPr>
              <w:spacing w:before="40" w:after="40" w:line="320" w:lineRule="exact"/>
              <w:ind w:firstLine="0"/>
            </w:pPr>
            <w:r/>
            <w:r>
              <w:rPr>
                <w:rFonts w:ascii="Times New Roman" w:hAnsi="Times New Roman" w:cs="Times New Roman" w:eastAsia="Times New Roman"/>
                <w:b w:val="0"/>
                <w:sz w:val="24"/>
              </w:rPr>
              <w:t>Отсутствует</w:t>
            </w:r>
          </w:p>
        </w:tc>
        <w:tc>
          <w:tcPr>
            <w:tcW w:type="dxa" w:w="1938"/>
          </w:tcPr>
          <w:p>
            <w:pPr>
              <w:spacing w:before="40" w:after="40" w:line="320" w:lineRule="exact"/>
              <w:ind w:firstLine="0"/>
            </w:pPr>
            <w:r/>
            <w:r>
              <w:rPr>
                <w:rFonts w:ascii="Times New Roman" w:hAnsi="Times New Roman" w:cs="Times New Roman" w:eastAsia="Times New Roman"/>
                <w:b w:val="0"/>
                <w:sz w:val="24"/>
              </w:rPr>
              <w:t>Проприетарный</w:t>
            </w:r>
          </w:p>
        </w:tc>
        <w:tc>
          <w:tcPr>
            <w:tcW w:type="dxa" w:w="1938"/>
          </w:tcPr>
          <w:p>
            <w:pPr>
              <w:spacing w:before="40" w:after="40" w:line="320" w:lineRule="exact"/>
              <w:ind w:firstLine="0"/>
            </w:pPr>
            <w:r/>
            <w:r>
              <w:rPr>
                <w:rFonts w:ascii="Times New Roman" w:hAnsi="Times New Roman" w:cs="Times New Roman" w:eastAsia="Times New Roman"/>
                <w:b w:val="0"/>
                <w:sz w:val="24"/>
              </w:rPr>
              <w:t>Ограниченный (VBA/Apps Script)</w:t>
            </w:r>
          </w:p>
        </w:tc>
        <w:tc>
          <w:tcPr>
            <w:tcW w:type="dxa" w:w="1938"/>
          </w:tcPr>
          <w:p>
            <w:pPr>
              <w:spacing w:before="40" w:after="40" w:line="320" w:lineRule="exact"/>
              <w:ind w:firstLine="0"/>
            </w:pPr>
            <w:r/>
            <w:r>
              <w:rPr>
                <w:rFonts w:ascii="Times New Roman" w:hAnsi="Times New Roman" w:cs="Times New Roman" w:eastAsia="Times New Roman"/>
                <w:b w:val="0"/>
                <w:sz w:val="24"/>
              </w:rPr>
              <w:t>Библиотечный</w:t>
            </w:r>
          </w:p>
        </w:tc>
      </w:tr>
      <w:tr>
        <w:tc>
          <w:tcPr>
            <w:tcW w:type="dxa" w:w="1938"/>
          </w:tcPr>
          <w:p>
            <w:pPr>
              <w:spacing w:before="40" w:after="40" w:line="320" w:lineRule="exact"/>
              <w:ind w:firstLine="0"/>
            </w:pPr>
            <w:r/>
            <w:r>
              <w:rPr>
                <w:rFonts w:ascii="Times New Roman" w:hAnsi="Times New Roman" w:cs="Times New Roman" w:eastAsia="Times New Roman"/>
                <w:b w:val="0"/>
                <w:sz w:val="24"/>
              </w:rPr>
              <w:t>Формат отчётности НБКР</w:t>
            </w:r>
          </w:p>
        </w:tc>
        <w:tc>
          <w:tcPr>
            <w:tcW w:type="dxa" w:w="1938"/>
          </w:tcPr>
          <w:p>
            <w:pPr>
              <w:spacing w:before="40" w:after="40" w:line="320" w:lineRule="exact"/>
              <w:ind w:firstLine="0"/>
            </w:pPr>
            <w:r/>
            <w:r>
              <w:rPr>
                <w:rFonts w:ascii="Times New Roman" w:hAnsi="Times New Roman" w:cs="Times New Roman" w:eastAsia="Times New Roman"/>
                <w:b w:val="0"/>
                <w:sz w:val="24"/>
              </w:rPr>
              <w:t>Не поддерживается</w:t>
            </w:r>
          </w:p>
        </w:tc>
        <w:tc>
          <w:tcPr>
            <w:tcW w:type="dxa" w:w="1938"/>
          </w:tcPr>
          <w:p>
            <w:pPr>
              <w:spacing w:before="40" w:after="40" w:line="320" w:lineRule="exact"/>
              <w:ind w:firstLine="0"/>
            </w:pPr>
            <w:r/>
            <w:r>
              <w:rPr>
                <w:rFonts w:ascii="Times New Roman" w:hAnsi="Times New Roman" w:cs="Times New Roman" w:eastAsia="Times New Roman"/>
                <w:b w:val="0"/>
                <w:sz w:val="24"/>
              </w:rPr>
              <w:t>Не адаптировано к КР</w:t>
            </w:r>
          </w:p>
        </w:tc>
        <w:tc>
          <w:tcPr>
            <w:tcW w:type="dxa" w:w="1938"/>
          </w:tcPr>
          <w:p>
            <w:pPr>
              <w:spacing w:before="40" w:after="40" w:line="320" w:lineRule="exact"/>
              <w:ind w:firstLine="0"/>
            </w:pPr>
            <w:r/>
            <w:r>
              <w:rPr>
                <w:rFonts w:ascii="Times New Roman" w:hAnsi="Times New Roman" w:cs="Times New Roman" w:eastAsia="Times New Roman"/>
                <w:b w:val="0"/>
                <w:sz w:val="24"/>
              </w:rPr>
              <w:t>Ручная настройка</w:t>
            </w:r>
          </w:p>
        </w:tc>
        <w:tc>
          <w:tcPr>
            <w:tcW w:type="dxa" w:w="1938"/>
          </w:tcPr>
          <w:p>
            <w:pPr>
              <w:spacing w:before="40" w:after="40" w:line="320" w:lineRule="exact"/>
              <w:ind w:firstLine="0"/>
            </w:pPr>
            <w:r/>
            <w:r>
              <w:rPr>
                <w:rFonts w:ascii="Times New Roman" w:hAnsi="Times New Roman" w:cs="Times New Roman" w:eastAsia="Times New Roman"/>
                <w:b w:val="0"/>
                <w:sz w:val="24"/>
              </w:rPr>
              <w:t>Требует разработки</w:t>
            </w:r>
          </w:p>
        </w:tc>
      </w:tr>
      <w:tr>
        <w:tc>
          <w:tcPr>
            <w:tcW w:type="dxa" w:w="1938"/>
          </w:tcPr>
          <w:p>
            <w:pPr>
              <w:spacing w:before="40" w:after="40" w:line="320" w:lineRule="exact"/>
              <w:ind w:firstLine="0"/>
            </w:pPr>
            <w:r/>
            <w:r>
              <w:rPr>
                <w:rFonts w:ascii="Times New Roman" w:hAnsi="Times New Roman" w:cs="Times New Roman" w:eastAsia="Times New Roman"/>
                <w:b w:val="0"/>
                <w:sz w:val="24"/>
              </w:rPr>
              <w:t>Стоимость</w:t>
            </w:r>
          </w:p>
        </w:tc>
        <w:tc>
          <w:tcPr>
            <w:tcW w:type="dxa" w:w="1938"/>
          </w:tcPr>
          <w:p>
            <w:pPr>
              <w:spacing w:before="40" w:after="40" w:line="320" w:lineRule="exact"/>
              <w:ind w:firstLine="0"/>
            </w:pPr>
            <w:r/>
            <w:r>
              <w:rPr>
                <w:rFonts w:ascii="Times New Roman" w:hAnsi="Times New Roman" w:cs="Times New Roman" w:eastAsia="Times New Roman"/>
                <w:b w:val="0"/>
                <w:sz w:val="24"/>
              </w:rPr>
              <w:t>Бесплатно</w:t>
            </w:r>
          </w:p>
        </w:tc>
        <w:tc>
          <w:tcPr>
            <w:tcW w:type="dxa" w:w="1938"/>
          </w:tcPr>
          <w:p>
            <w:pPr>
              <w:spacing w:before="40" w:after="40" w:line="320" w:lineRule="exact"/>
              <w:ind w:firstLine="0"/>
            </w:pPr>
            <w:r/>
            <w:r>
              <w:rPr>
                <w:rFonts w:ascii="Times New Roman" w:hAnsi="Times New Roman" w:cs="Times New Roman" w:eastAsia="Times New Roman"/>
                <w:b w:val="0"/>
                <w:sz w:val="24"/>
              </w:rPr>
              <w:t>Свыше 12 млн сомов</w:t>
            </w:r>
          </w:p>
        </w:tc>
        <w:tc>
          <w:tcPr>
            <w:tcW w:type="dxa" w:w="1938"/>
          </w:tcPr>
          <w:p>
            <w:pPr>
              <w:spacing w:before="40" w:after="40" w:line="320" w:lineRule="exact"/>
              <w:ind w:firstLine="0"/>
            </w:pPr>
            <w:r/>
            <w:r>
              <w:rPr>
                <w:rFonts w:ascii="Times New Roman" w:hAnsi="Times New Roman" w:cs="Times New Roman" w:eastAsia="Times New Roman"/>
                <w:b w:val="0"/>
                <w:sz w:val="24"/>
              </w:rPr>
              <w:t>Низкая (≤ 7 200 сомов/год)</w:t>
            </w:r>
          </w:p>
        </w:tc>
        <w:tc>
          <w:tcPr>
            <w:tcW w:type="dxa" w:w="1938"/>
          </w:tcPr>
          <w:p>
            <w:pPr>
              <w:spacing w:before="40" w:after="40" w:line="320" w:lineRule="exact"/>
              <w:ind w:firstLine="0"/>
            </w:pPr>
            <w:r/>
            <w:r>
              <w:rPr>
                <w:rFonts w:ascii="Times New Roman" w:hAnsi="Times New Roman" w:cs="Times New Roman" w:eastAsia="Times New Roman"/>
                <w:b w:val="0"/>
                <w:sz w:val="24"/>
              </w:rPr>
              <w:t>От бесплатно до 1 000 USD</w:t>
            </w:r>
          </w:p>
        </w:tc>
      </w:tr>
      <w:tr>
        <w:tc>
          <w:tcPr>
            <w:tcW w:type="dxa" w:w="1938"/>
          </w:tcPr>
          <w:p>
            <w:pPr>
              <w:spacing w:before="40" w:after="40" w:line="320" w:lineRule="exact"/>
              <w:ind w:firstLine="0"/>
            </w:pPr>
            <w:r/>
            <w:r>
              <w:rPr>
                <w:rFonts w:ascii="Times New Roman" w:hAnsi="Times New Roman" w:cs="Times New Roman" w:eastAsia="Times New Roman"/>
                <w:b w:val="0"/>
                <w:sz w:val="24"/>
              </w:rPr>
              <w:t>Аудиторский след</w:t>
            </w:r>
          </w:p>
        </w:tc>
        <w:tc>
          <w:tcPr>
            <w:tcW w:type="dxa" w:w="1938"/>
          </w:tcPr>
          <w:p>
            <w:pPr>
              <w:spacing w:before="40" w:after="40" w:line="320" w:lineRule="exact"/>
              <w:ind w:firstLine="0"/>
            </w:pPr>
            <w:r/>
            <w:r>
              <w:rPr>
                <w:rFonts w:ascii="Times New Roman" w:hAnsi="Times New Roman" w:cs="Times New Roman" w:eastAsia="Times New Roman"/>
                <w:b w:val="0"/>
                <w:sz w:val="24"/>
              </w:rPr>
              <w:t>Отсутствует</w:t>
            </w:r>
          </w:p>
        </w:tc>
        <w:tc>
          <w:tcPr>
            <w:tcW w:type="dxa" w:w="1938"/>
          </w:tcPr>
          <w:p>
            <w:pPr>
              <w:spacing w:before="40" w:after="40" w:line="320" w:lineRule="exact"/>
              <w:ind w:firstLine="0"/>
            </w:pPr>
            <w:r/>
            <w:r>
              <w:rPr>
                <w:rFonts w:ascii="Times New Roman" w:hAnsi="Times New Roman" w:cs="Times New Roman" w:eastAsia="Times New Roman"/>
                <w:b w:val="0"/>
                <w:sz w:val="24"/>
              </w:rPr>
              <w:t>Полный</w:t>
            </w:r>
          </w:p>
        </w:tc>
        <w:tc>
          <w:tcPr>
            <w:tcW w:type="dxa" w:w="1938"/>
          </w:tcPr>
          <w:p>
            <w:pPr>
              <w:spacing w:before="40" w:after="40" w:line="320" w:lineRule="exact"/>
              <w:ind w:firstLine="0"/>
            </w:pPr>
            <w:r/>
            <w:r>
              <w:rPr>
                <w:rFonts w:ascii="Times New Roman" w:hAnsi="Times New Roman" w:cs="Times New Roman" w:eastAsia="Times New Roman"/>
                <w:b w:val="0"/>
                <w:sz w:val="24"/>
              </w:rPr>
              <w:t>Отсутствует (или минимальный)</w:t>
            </w:r>
          </w:p>
        </w:tc>
        <w:tc>
          <w:tcPr>
            <w:tcW w:type="dxa" w:w="1938"/>
          </w:tcPr>
          <w:p>
            <w:pPr>
              <w:spacing w:before="40" w:after="40" w:line="320" w:lineRule="exact"/>
              <w:ind w:firstLine="0"/>
            </w:pPr>
            <w:r/>
            <w:r>
              <w:rPr>
                <w:rFonts w:ascii="Times New Roman" w:hAnsi="Times New Roman" w:cs="Times New Roman" w:eastAsia="Times New Roman"/>
                <w:b w:val="0"/>
                <w:sz w:val="24"/>
              </w:rPr>
              <w:t>Отсутствует</w:t>
            </w:r>
          </w:p>
        </w:tc>
      </w:tr>
      <w:tr>
        <w:tc>
          <w:tcPr>
            <w:tcW w:type="dxa" w:w="1938"/>
          </w:tcPr>
          <w:p>
            <w:pPr>
              <w:spacing w:before="40" w:after="40" w:line="320" w:lineRule="exact"/>
              <w:ind w:firstLine="0"/>
            </w:pPr>
            <w:r/>
            <w:r>
              <w:rPr>
                <w:rFonts w:ascii="Times New Roman" w:hAnsi="Times New Roman" w:cs="Times New Roman" w:eastAsia="Times New Roman"/>
                <w:b w:val="0"/>
                <w:sz w:val="24"/>
              </w:rPr>
              <w:t>Мобильный доступ</w:t>
            </w:r>
          </w:p>
        </w:tc>
        <w:tc>
          <w:tcPr>
            <w:tcW w:type="dxa" w:w="1938"/>
          </w:tcPr>
          <w:p>
            <w:pPr>
              <w:spacing w:before="40" w:after="40" w:line="320" w:lineRule="exact"/>
              <w:ind w:firstLine="0"/>
            </w:pPr>
            <w:r/>
            <w:r>
              <w:rPr>
                <w:rFonts w:ascii="Times New Roman" w:hAnsi="Times New Roman" w:cs="Times New Roman" w:eastAsia="Times New Roman"/>
                <w:b w:val="0"/>
                <w:sz w:val="24"/>
              </w:rPr>
              <w:t>Есть (через браузер)</w:t>
            </w:r>
          </w:p>
        </w:tc>
        <w:tc>
          <w:tcPr>
            <w:tcW w:type="dxa" w:w="1938"/>
          </w:tcPr>
          <w:p>
            <w:pPr>
              <w:spacing w:before="40" w:after="40" w:line="320" w:lineRule="exact"/>
              <w:ind w:firstLine="0"/>
            </w:pPr>
            <w:r/>
            <w:r>
              <w:rPr>
                <w:rFonts w:ascii="Times New Roman" w:hAnsi="Times New Roman" w:cs="Times New Roman" w:eastAsia="Times New Roman"/>
                <w:b w:val="0"/>
                <w:sz w:val="24"/>
              </w:rPr>
              <w:t>Ограничен</w:t>
            </w:r>
          </w:p>
        </w:tc>
        <w:tc>
          <w:tcPr>
            <w:tcW w:type="dxa" w:w="1938"/>
          </w:tcPr>
          <w:p>
            <w:pPr>
              <w:spacing w:before="40" w:after="40" w:line="320" w:lineRule="exact"/>
              <w:ind w:firstLine="0"/>
            </w:pPr>
            <w:r/>
            <w:r>
              <w:rPr>
                <w:rFonts w:ascii="Times New Roman" w:hAnsi="Times New Roman" w:cs="Times New Roman" w:eastAsia="Times New Roman"/>
                <w:b w:val="0"/>
                <w:sz w:val="24"/>
              </w:rPr>
              <w:t>Через Google Sheets</w:t>
            </w:r>
          </w:p>
        </w:tc>
        <w:tc>
          <w:tcPr>
            <w:tcW w:type="dxa" w:w="1938"/>
          </w:tcPr>
          <w:p>
            <w:pPr>
              <w:spacing w:before="40" w:after="40" w:line="320" w:lineRule="exact"/>
              <w:ind w:firstLine="0"/>
            </w:pPr>
            <w:r/>
            <w:r>
              <w:rPr>
                <w:rFonts w:ascii="Times New Roman" w:hAnsi="Times New Roman" w:cs="Times New Roman" w:eastAsia="Times New Roman"/>
                <w:b w:val="0"/>
                <w:sz w:val="24"/>
              </w:rPr>
              <w:t>Отсутствует</w:t>
            </w:r>
          </w:p>
        </w:tc>
      </w:tr>
    </w:tbl>
    <w:p>
      <w:pPr/>
      <w:r>
        <w:rPr>
          <w:rFonts w:ascii="Times New Roman" w:hAnsi="Times New Roman" w:cs="Times New Roman" w:eastAsia="Times New Roman"/>
          <w:b w:val="0"/>
          <w:sz w:val="28"/>
        </w:rPr>
        <w:t>Таблица позволяет сделать ряд выводов. Промышленные АБС покрывают наибольшее число критериев, однако не адаптированы к законодательству Кыргызстана и экономически недоступны для МКО уровня Doke.kg. Табличные процессоры, напротив, дёшевы и гибки, однако их уязвимость к ошибкам оператора и отсутствие аудиторского следа неприемлемы для организации, подотчётной регулятору. Онлайн-калькуляторы и специализированные пакеты занимают крайние позиции по шкале «простота — точность», ни один не обеспечивая баланс между ними.</w:t>
      </w:r>
    </w:p>
    <w:p>
      <w:pPr/>
      <w:r>
        <w:rPr>
          <w:rFonts w:ascii="Times New Roman" w:hAnsi="Times New Roman" w:cs="Times New Roman" w:eastAsia="Times New Roman"/>
          <w:b w:val="0"/>
          <w:sz w:val="28"/>
        </w:rPr>
        <w:t>Отдельного внимания заслуживает пятый критерий. Ни одно из рассмотренных решений не обеспечивает адаптацию к нормативам МКО Кыргызстана в полном объёме. Банковские АБС ориентированы на российское законодательство; онлайн-калькуляторы Banks.kg рассчитывают вклады коммерческих банков и не поддерживают продуктовые схемы МКО [37]; специализированные пакеты нормативно-нейтральны, то есть формат отчётности и раскрытие ставки ложатся целиком на разработчика. Т.Я. Данелян и О.А. Козлова сформулировали вывод, что автоматизация финансовых расчётов в организациях малого масштаба требует создания целевых программных модулей, а не адаптации промышленных систем [22].</w:t>
      </w:r>
    </w:p>
    <w:p>
      <w:pPr/>
      <w:r>
        <w:rPr>
          <w:rFonts w:ascii="Times New Roman" w:hAnsi="Times New Roman" w:cs="Times New Roman" w:eastAsia="Times New Roman"/>
          <w:b w:val="0"/>
          <w:sz w:val="28"/>
        </w:rPr>
        <w:t>В.В. Ковалёв и В.А. Уланов, рассматривая эволюцию инструментов финансовых вычислений, отмечают переход от ручных методов к программным модулям, встроенным в корпоративные информационные системы [9]. Этот вывод подтверждён нашим анализом. Микрокредитные организации Кыргызстана находятся на переходном этапе: они уже переросли возможности электронных таблиц, но ещё не достигли масштаба, при котором оправдано внедрение промышленных АБС. Именно в этом промежутке и возникает потребность в целевом программном решении.</w:t>
      </w:r>
    </w:p>
    <w:p>
      <w:pPr/>
      <w:r>
        <w:rPr>
          <w:rFonts w:ascii="Times New Roman" w:hAnsi="Times New Roman" w:cs="Times New Roman" w:eastAsia="Times New Roman"/>
          <w:b w:val="0"/>
          <w:sz w:val="28"/>
        </w:rPr>
        <w:t>Выявленная закономерность подтверждается и на международном уровне. Всемирный банк в отчёте Global Findex Database отмечает, что микрофинансовые организации развивающихся стран испытывают острую нехватку доступных и адаптированных программных решений для управления депозитным портфелем. Готовые АБС рассчитаны на крупные банки с развитой инфраструктурой, а бесплатные онлайн-инструменты не обеспечивают уровень функциональности, достаточный для соблюдения регуляторных требований. Промежуточный сегмент — целевые программные модули для МКО — остаётся незаполненным, что создаёт возможность для разработки.</w:t>
      </w:r>
    </w:p>
    <w:p>
      <w:pPr/>
      <w:r>
        <w:rPr>
          <w:rFonts w:ascii="Times New Roman" w:hAnsi="Times New Roman" w:cs="Times New Roman" w:eastAsia="Times New Roman"/>
          <w:b w:val="0"/>
          <w:sz w:val="28"/>
        </w:rPr>
        <w:t>С точки зрения экономической эффективности разработка собственного приложения оправдана при условии, что стоимость создания и поддержки не превышает совокупных потерь от ручного расчёта. Потери складываются из трёх компонентов: время операторов (40–50 расчётов в день × 20 минут = 13–17 часов ежедневно), стоимость ошибок (средняя ошибка при ручном расчёте оценивается в 0,5–2 % от суммы, что при депозитном портфеле в сотни миллионов сомов может составлять существенные суммы) и регуляторные штрафы за некорректное раскрытие ЭПС. Даже консервативная оценка показывает, что окупаемость собственного программного продукта достигается в течение первого года эксплуатации.</w:t>
      </w:r>
    </w:p>
    <w:p>
      <w:pPr/>
      <w:r>
        <w:rPr>
          <w:rFonts w:ascii="Times New Roman" w:hAnsi="Times New Roman" w:cs="Times New Roman" w:eastAsia="Times New Roman"/>
          <w:b w:val="0"/>
          <w:sz w:val="28"/>
        </w:rPr>
        <w:t>Проектируемое приложение для Doke.kg призвано закрыть выявленный разрыв. Оно должно обеспечивать точность расчётов на уровне специализированных пакетов (погрешность не более 0,01 %), обладать графическим интерфейсом для оператора, не требующим навыков программирования, поддерживать переменные ставки, произвольные графики пополнений и снятий, налоговые удержания, а также предоставлять открытый REST API для интеграции с учётными системами компании [38]. Формат отчётности будет соответствовать требованиям НБКР, а стоимость разработки и эксплуатации — укладываться в бюджет малой МКО. Детальное проектирование архитектуры, выбор технологического стека и реализация описанных функций составляют содержание второй и третьей глав работы.</w:t>
      </w:r>
    </w:p>
    <w:p>
      <w:pPr>
        <w:pStyle w:val="Heading1"/>
      </w:pPr>
      <w:r>
        <w:rPr>
          <w:rFonts w:ascii="Times New Roman" w:hAnsi="Times New Roman" w:cs="Times New Roman" w:eastAsia="Times New Roman"/>
        </w:rPr>
        <w:t>2 ПРОЕКТИРОВАНИЕ ПРОГРАММНОГО ПРИЛОЖЕНИЯ ДЛЯ РАСЧЁТА ВКЛАДА С КАПИТАЛИЗАЦИЕЙ</w:t>
      </w:r>
    </w:p>
    <w:p>
      <w:pPr>
        <w:pStyle w:val="Heading2"/>
      </w:pPr>
      <w:r>
        <w:rPr>
          <w:rFonts w:ascii="Times New Roman" w:hAnsi="Times New Roman" w:cs="Times New Roman" w:eastAsia="Times New Roman"/>
        </w:rPr>
        <w:t>2.1 Формирование требований к программному продукту на основе бизнес-процессов Doke.kg</w:t>
      </w:r>
    </w:p>
    <w:p>
      <w:pPr/>
      <w:r>
        <w:rPr>
          <w:rFonts w:ascii="Times New Roman" w:hAnsi="Times New Roman" w:cs="Times New Roman" w:eastAsia="Times New Roman"/>
          <w:b w:val="0"/>
          <w:sz w:val="28"/>
        </w:rPr>
        <w:t>Проектирование любого программного продукта начинается с формирования требований. И. Соммервилл определяет требования как описание того, что система должна выполнять, какими свойствами она обязана обладать и какие ограничения накладываются на процесс её создания [16]. R.S. Pressman подчёркивает, что стоимость исправления ошибок, допущенных при формировании требований, возрастает экспоненциально по мере продвижения проекта к поздним стадиям разработки [33]. Ошибки здесь обходятся дороже всего. Поэтому анализ потребностей заказчика и фиксация требований предшествуют архитектурным решениям, выбору технологий и написанию кода.</w:t>
      </w:r>
    </w:p>
    <w:p>
      <w:pPr/>
      <w:r>
        <w:rPr>
          <w:rFonts w:ascii="Times New Roman" w:hAnsi="Times New Roman" w:cs="Times New Roman" w:eastAsia="Times New Roman"/>
          <w:b w:val="0"/>
          <w:sz w:val="28"/>
        </w:rPr>
        <w:t>Для программного приложения, создаваемого по заказу ООО «Микрокредитная Компания «Замат Финанс» (торговая марка Doke.kg), отправной точкой послужил анализ существующих бизнес-процессов. Свидетельство НБКР №517 от 07.12.2022 закрепляет за компанией статус микрокредитной компании — это определяет две параллельные линии финансовых операций, требующих расчётов с использованием формул сложных процентов [2, 39]. Первая и основная — розничное микрокредитование физических лиц, вторая — привлечение депозитных средств юридических лиц и учредителей, разрешённое лицензией НБКР для МКК.</w:t>
      </w:r>
    </w:p>
    <w:p>
      <w:pPr/>
      <w:r>
        <w:rPr>
          <w:rFonts w:ascii="Times New Roman" w:hAnsi="Times New Roman" w:cs="Times New Roman" w:eastAsia="Times New Roman"/>
          <w:b w:val="0"/>
          <w:sz w:val="28"/>
        </w:rPr>
        <w:t>Розничные микрозаймы составляют основу операционной деятельности Doke.kg. Первичная выдача ограничена диапазоном 2 000 – 40 000 сом, повторная — 2 000 – 70 000 сом, срок — 14 или 30 дней. Условия продукта включают фиксированную страховую комиссию 16,01 % от тела займа, удерживаемую при выдаче, и пересчёт остатка процентов с коэффициентом 2,4 % при досрочном погашении. При продлении срока начисленные проценты капитализируются в тело займа — именно этот механизм делает предметную область родственной классическому расчёту вкладов и оправдывает применение общего математического аппарата сложных процентов. Выдача производится безналичным переводом на электронный кошелёк Balance.kg или mbank либо через офис, без выдачи наличных.</w:t>
      </w:r>
    </w:p>
    <w:p>
      <w:pPr/>
      <w:r>
        <w:rPr>
          <w:rFonts w:ascii="Times New Roman" w:hAnsi="Times New Roman" w:cs="Times New Roman" w:eastAsia="Times New Roman"/>
          <w:b w:val="0"/>
          <w:sz w:val="28"/>
        </w:rPr>
        <w:t>Депозитное направление пока обслуживает ограниченный круг юридических лиц и учредителей. Линейка включает вклады с ежемесячной и ежеквартальной капитализацией, вклады с возможностью пополнения и без неё, а также краткосрочные продукты со ставками, привязанными к базовой ставке НБКР. Стратегическая задача компании — масштабирование депозитного портфеля по мере получения разрешения НБКР на расширение круга вкладчиков, и программное приложение проектируется с заделом под этот рост.</w:t>
      </w:r>
    </w:p>
    <w:p>
      <w:pPr/>
      <w:r>
        <w:rPr>
          <w:rFonts w:ascii="Times New Roman" w:hAnsi="Times New Roman" w:cs="Times New Roman" w:eastAsia="Times New Roman"/>
          <w:b w:val="0"/>
          <w:sz w:val="28"/>
        </w:rPr>
        <w:t>На момент начала проектирования бизнес-процесс расчёта по обеим линиям строился единообразно и вручную. Клиент обращался в офис или оформлял заявку через сайт, указывая сумму и срок. Оператор вносил параметры в электронную таблицу Excel, где заранее прописаны формулы наращения, проверял результат и передавал информационный лист клиенту. Процедура оформления одного микрозайма занимала 10–18 минут, расчёт депозита с капитализацией — 15–25 минут. При нестандартных условиях — досрочном погашении, частичном снятии, смене ставки, комбинации нескольких периодов капитализации — время возрастало до 30–40 минут, поскольку оператору приходилось создавать вспомогательные вычислительные листы.</w:t>
      </w:r>
    </w:p>
    <w:p>
      <w:pPr/>
      <w:r>
        <w:rPr>
          <w:rFonts w:ascii="Times New Roman" w:hAnsi="Times New Roman" w:cs="Times New Roman" w:eastAsia="Times New Roman"/>
          <w:b w:val="0"/>
          <w:sz w:val="28"/>
        </w:rPr>
        <w:t>Анализ этого процесса выявил три группы проблем. Первая связана с вероятностью ошибок ручного ввода: при копировании формул между ячейками и изменении ссылок на диапазоны таблица нередко возвращала некорректные результаты, обнаруживаемые лишь при внутреннем аудите. Вторая группа проблем касается отсутствия единого хранилища расчётов: каждый оператор вёл собственный файл, история обращений клиентов не агрегировалась, а поиск предыдущих расчётов для конкретного вкладчика требовал ручного просмотра десятков таблиц. Третья проблема затрагивает масштабируемость. С ростом клиентской базы число ежедневных расчётов увеличилось с 15-20 до 40-50, однако электронные таблицы не поддерживают одновременную работу нескольких операторов без риска конфликтов файлов. Р. Мартин указывает, что переход от ручных и табличных методов к веб-приложению позволяет разделить ответственность между компонентами системы и снизить зацепление между бизнес-логикой и представлением [15].</w:t>
      </w:r>
    </w:p>
    <w:p>
      <w:pPr/>
      <w:r>
        <w:rPr>
          <w:rFonts w:ascii="Times New Roman" w:hAnsi="Times New Roman" w:cs="Times New Roman" w:eastAsia="Times New Roman"/>
          <w:b w:val="0"/>
          <w:sz w:val="28"/>
        </w:rPr>
        <w:t>Четвёртая проблема, выявленная при анализе текущего процесса, затрагивает отчётность. Ежеквартально Doke.kg представляет НБКР отчёт о депозитном портфеле, включающий количество действующих вкладов, совокупный объём привлечённых средств, средневзвешенную ставку и распределение по срокам. Формирование отчёта требует извлечения данных из десятков файлов Excel, ручного сведения и проверки. Процедура занимает от одного до двух рабочих дней. Ошибки обнаруживаются на этапе проверки регулятором, что влечёт необходимость повторного представления и создаёт репутационный риск. Автоматизированная система, хранящая все расчёты в единой базе данных, позволяет генерировать квартальный отчёт за секунды, исключая ручную агрегацию.</w:t>
      </w:r>
    </w:p>
    <w:p>
      <w:pPr/>
      <w:r>
        <w:rPr>
          <w:rFonts w:ascii="Times New Roman" w:hAnsi="Times New Roman" w:cs="Times New Roman" w:eastAsia="Times New Roman"/>
          <w:b w:val="0"/>
          <w:sz w:val="28"/>
        </w:rPr>
        <w:t>Пятая проблема связана с безопасностью клиентских данных. Файлы Excel с персональными сведениями вкладчиков (паспортные данные, контактные телефоны, суммы вкладов) хранятся на рабочих станциях операторов без шифрования и централизованного контроля доступа. Увольнение сотрудника не гарантирует удаления локальных копий файлов с клиентской информацией. Веб-приложение с ролевым разграничением доступа и журналом аудита устраняет риск несанкционированного доступа к персональным данным и обеспечивает соответствие требованиям НБКР к хранению информации о вкладчиках [3].</w:t>
      </w:r>
    </w:p>
    <w:p>
      <w:pPr/>
      <w:r>
        <w:rPr>
          <w:rFonts w:ascii="Times New Roman" w:hAnsi="Times New Roman" w:cs="Times New Roman" w:eastAsia="Times New Roman"/>
          <w:b w:val="0"/>
          <w:sz w:val="28"/>
        </w:rPr>
        <w:t>Выявленные проблемы легли в основу функциональных требований к разрабатываемому приложению. Функциональные требования описывают поведение системы, то есть набор операций, доступных пользователю, и ожидаемые результаты каждой из них [16]. Перечень функциональных требований сведён в таблицу 2.1.1.</w:t>
      </w:r>
    </w:p>
    <w:p>
      <w:pPr>
        <w:spacing w:before="120" w:after="120"/>
        <w:ind w:firstLine="0"/>
        <w:jc w:val="center"/>
      </w:pPr>
      <w:r>
        <w:rPr>
          <w:rFonts w:ascii="Times New Roman" w:hAnsi="Times New Roman" w:cs="Times New Roman" w:eastAsia="Times New Roman"/>
          <w:b/>
          <w:sz w:val="24"/>
        </w:rPr>
        <w:t>Таблица 2.1.1 — Функциональные требования к программному продукту</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40" w:after="40" w:line="320" w:lineRule="exact"/>
              <w:ind w:firstLine="0"/>
            </w:pPr>
            <w:r/>
            <w:r>
              <w:rPr>
                <w:rFonts w:ascii="Times New Roman" w:hAnsi="Times New Roman" w:cs="Times New Roman" w:eastAsia="Times New Roman"/>
                <w:b/>
                <w:sz w:val="24"/>
              </w:rPr>
              <w:t>ID</w:t>
            </w:r>
          </w:p>
        </w:tc>
        <w:tc>
          <w:tcPr>
            <w:tcW w:type="dxa" w:w="2422"/>
          </w:tcPr>
          <w:p>
            <w:pPr>
              <w:spacing w:before="40" w:after="40" w:line="320" w:lineRule="exact"/>
              <w:ind w:firstLine="0"/>
            </w:pPr>
            <w:r/>
            <w:r>
              <w:rPr>
                <w:rFonts w:ascii="Times New Roman" w:hAnsi="Times New Roman" w:cs="Times New Roman" w:eastAsia="Times New Roman"/>
                <w:b/>
                <w:sz w:val="24"/>
              </w:rPr>
              <w:t>Название</w:t>
            </w:r>
          </w:p>
        </w:tc>
        <w:tc>
          <w:tcPr>
            <w:tcW w:type="dxa" w:w="2422"/>
          </w:tcPr>
          <w:p>
            <w:pPr>
              <w:spacing w:before="40" w:after="40" w:line="320" w:lineRule="exact"/>
              <w:ind w:firstLine="0"/>
            </w:pPr>
            <w:r/>
            <w:r>
              <w:rPr>
                <w:rFonts w:ascii="Times New Roman" w:hAnsi="Times New Roman" w:cs="Times New Roman" w:eastAsia="Times New Roman"/>
                <w:b/>
                <w:sz w:val="24"/>
              </w:rPr>
              <w:t>Описание</w:t>
            </w:r>
          </w:p>
        </w:tc>
        <w:tc>
          <w:tcPr>
            <w:tcW w:type="dxa" w:w="2422"/>
          </w:tcPr>
          <w:p>
            <w:pPr>
              <w:spacing w:before="40" w:after="40" w:line="320" w:lineRule="exact"/>
              <w:ind w:firstLine="0"/>
            </w:pPr>
            <w:r/>
            <w:r>
              <w:rPr>
                <w:rFonts w:ascii="Times New Roman" w:hAnsi="Times New Roman" w:cs="Times New Roman" w:eastAsia="Times New Roman"/>
                <w:b/>
                <w:sz w:val="24"/>
              </w:rPr>
              <w:t>Источник</w:t>
            </w:r>
          </w:p>
        </w:tc>
      </w:tr>
      <w:tr>
        <w:tc>
          <w:tcPr>
            <w:tcW w:type="dxa" w:w="2422"/>
          </w:tcPr>
          <w:p>
            <w:pPr>
              <w:spacing w:before="40" w:after="40" w:line="320" w:lineRule="exact"/>
              <w:ind w:firstLine="0"/>
            </w:pPr>
            <w:r/>
            <w:r>
              <w:rPr>
                <w:rFonts w:ascii="Times New Roman" w:hAnsi="Times New Roman" w:cs="Times New Roman" w:eastAsia="Times New Roman"/>
                <w:b w:val="0"/>
                <w:sz w:val="24"/>
              </w:rPr>
              <w:t>FR-1</w:t>
            </w:r>
          </w:p>
        </w:tc>
        <w:tc>
          <w:tcPr>
            <w:tcW w:type="dxa" w:w="2422"/>
          </w:tcPr>
          <w:p>
            <w:pPr>
              <w:spacing w:before="40" w:after="40" w:line="320" w:lineRule="exact"/>
              <w:ind w:firstLine="0"/>
            </w:pPr>
            <w:r/>
            <w:r>
              <w:rPr>
                <w:rFonts w:ascii="Times New Roman" w:hAnsi="Times New Roman" w:cs="Times New Roman" w:eastAsia="Times New Roman"/>
                <w:b w:val="0"/>
                <w:sz w:val="24"/>
              </w:rPr>
              <w:t>Ввод параметров вклада</w:t>
            </w:r>
          </w:p>
        </w:tc>
        <w:tc>
          <w:tcPr>
            <w:tcW w:type="dxa" w:w="2422"/>
          </w:tcPr>
          <w:p>
            <w:pPr>
              <w:spacing w:before="40" w:after="40" w:line="320" w:lineRule="exact"/>
              <w:ind w:firstLine="0"/>
            </w:pPr>
            <w:r/>
            <w:r>
              <w:rPr>
                <w:rFonts w:ascii="Times New Roman" w:hAnsi="Times New Roman" w:cs="Times New Roman" w:eastAsia="Times New Roman"/>
                <w:b w:val="0"/>
                <w:sz w:val="24"/>
              </w:rPr>
              <w:t>Оператор вводит сумму, ставку, срок, период капитализации, тип вклада через GUI</w:t>
            </w:r>
          </w:p>
        </w:tc>
        <w:tc>
          <w:tcPr>
            <w:tcW w:type="dxa" w:w="2422"/>
          </w:tcPr>
          <w:p>
            <w:pPr>
              <w:spacing w:before="40" w:after="40" w:line="320" w:lineRule="exact"/>
              <w:ind w:firstLine="0"/>
            </w:pPr>
            <w:r/>
            <w:r>
              <w:rPr>
                <w:rFonts w:ascii="Times New Roman" w:hAnsi="Times New Roman" w:cs="Times New Roman" w:eastAsia="Times New Roman"/>
                <w:b w:val="0"/>
                <w:sz w:val="24"/>
              </w:rPr>
              <w:t>Бизнес-процесс</w:t>
            </w:r>
          </w:p>
        </w:tc>
      </w:tr>
      <w:tr>
        <w:tc>
          <w:tcPr>
            <w:tcW w:type="dxa" w:w="2422"/>
          </w:tcPr>
          <w:p>
            <w:pPr>
              <w:spacing w:before="40" w:after="40" w:line="320" w:lineRule="exact"/>
              <w:ind w:firstLine="0"/>
            </w:pPr>
            <w:r/>
            <w:r>
              <w:rPr>
                <w:rFonts w:ascii="Times New Roman" w:hAnsi="Times New Roman" w:cs="Times New Roman" w:eastAsia="Times New Roman"/>
                <w:b w:val="0"/>
                <w:sz w:val="24"/>
              </w:rPr>
              <w:t>FR-2</w:t>
            </w:r>
          </w:p>
        </w:tc>
        <w:tc>
          <w:tcPr>
            <w:tcW w:type="dxa" w:w="2422"/>
          </w:tcPr>
          <w:p>
            <w:pPr>
              <w:spacing w:before="40" w:after="40" w:line="320" w:lineRule="exact"/>
              <w:ind w:firstLine="0"/>
            </w:pPr>
            <w:r/>
            <w:r>
              <w:rPr>
                <w:rFonts w:ascii="Times New Roman" w:hAnsi="Times New Roman" w:cs="Times New Roman" w:eastAsia="Times New Roman"/>
                <w:b w:val="0"/>
                <w:sz w:val="24"/>
              </w:rPr>
              <w:t>Расчёт наращенной суммы</w:t>
            </w:r>
          </w:p>
        </w:tc>
        <w:tc>
          <w:tcPr>
            <w:tcW w:type="dxa" w:w="2422"/>
          </w:tcPr>
          <w:p>
            <w:pPr>
              <w:spacing w:before="40" w:after="40" w:line="320" w:lineRule="exact"/>
              <w:ind w:firstLine="0"/>
            </w:pPr>
            <w:r/>
            <w:r>
              <w:rPr>
                <w:rFonts w:ascii="Times New Roman" w:hAnsi="Times New Roman" w:cs="Times New Roman" w:eastAsia="Times New Roman"/>
                <w:b w:val="0"/>
                <w:sz w:val="24"/>
              </w:rPr>
              <w:t>Вычисление по моделям §1.2: дискретная, переменная ставка, аннуитетная, комбинированная</w:t>
            </w:r>
          </w:p>
        </w:tc>
        <w:tc>
          <w:tcPr>
            <w:tcW w:type="dxa" w:w="2422"/>
          </w:tcPr>
          <w:p>
            <w:pPr>
              <w:spacing w:before="40" w:after="40" w:line="320" w:lineRule="exact"/>
              <w:ind w:firstLine="0"/>
            </w:pPr>
            <w:r/>
            <w:r>
              <w:rPr>
                <w:rFonts w:ascii="Times New Roman" w:hAnsi="Times New Roman" w:cs="Times New Roman" w:eastAsia="Times New Roman"/>
                <w:b w:val="0"/>
                <w:sz w:val="24"/>
              </w:rPr>
              <w:t>§1.2, НБКР</w:t>
            </w:r>
          </w:p>
        </w:tc>
      </w:tr>
      <w:tr>
        <w:tc>
          <w:tcPr>
            <w:tcW w:type="dxa" w:w="2422"/>
          </w:tcPr>
          <w:p>
            <w:pPr>
              <w:spacing w:before="40" w:after="40" w:line="320" w:lineRule="exact"/>
              <w:ind w:firstLine="0"/>
            </w:pPr>
            <w:r/>
            <w:r>
              <w:rPr>
                <w:rFonts w:ascii="Times New Roman" w:hAnsi="Times New Roman" w:cs="Times New Roman" w:eastAsia="Times New Roman"/>
                <w:b w:val="0"/>
                <w:sz w:val="24"/>
              </w:rPr>
              <w:t>FR-3</w:t>
            </w:r>
          </w:p>
        </w:tc>
        <w:tc>
          <w:tcPr>
            <w:tcW w:type="dxa" w:w="2422"/>
          </w:tcPr>
          <w:p>
            <w:pPr>
              <w:spacing w:before="40" w:after="40" w:line="320" w:lineRule="exact"/>
              <w:ind w:firstLine="0"/>
            </w:pPr>
            <w:r/>
            <w:r>
              <w:rPr>
                <w:rFonts w:ascii="Times New Roman" w:hAnsi="Times New Roman" w:cs="Times New Roman" w:eastAsia="Times New Roman"/>
                <w:b w:val="0"/>
                <w:sz w:val="24"/>
              </w:rPr>
              <w:t>Визуализация результатов</w:t>
            </w:r>
          </w:p>
        </w:tc>
        <w:tc>
          <w:tcPr>
            <w:tcW w:type="dxa" w:w="2422"/>
          </w:tcPr>
          <w:p>
            <w:pPr>
              <w:spacing w:before="40" w:after="40" w:line="320" w:lineRule="exact"/>
              <w:ind w:firstLine="0"/>
            </w:pPr>
            <w:r/>
            <w:r>
              <w:rPr>
                <w:rFonts w:ascii="Times New Roman" w:hAnsi="Times New Roman" w:cs="Times New Roman" w:eastAsia="Times New Roman"/>
                <w:b w:val="0"/>
                <w:sz w:val="24"/>
              </w:rPr>
              <w:t>Интерактивный график роста вклада (ось X — месяцы, ось Y — сумма)</w:t>
            </w:r>
          </w:p>
        </w:tc>
        <w:tc>
          <w:tcPr>
            <w:tcW w:type="dxa" w:w="2422"/>
          </w:tcPr>
          <w:p>
            <w:pPr>
              <w:spacing w:before="40" w:after="40" w:line="320" w:lineRule="exact"/>
              <w:ind w:firstLine="0"/>
            </w:pPr>
            <w:r/>
            <w:r>
              <w:rPr>
                <w:rFonts w:ascii="Times New Roman" w:hAnsi="Times New Roman" w:cs="Times New Roman" w:eastAsia="Times New Roman"/>
                <w:b w:val="0"/>
                <w:sz w:val="24"/>
              </w:rPr>
              <w:t>Требование заказчика</w:t>
            </w:r>
          </w:p>
        </w:tc>
      </w:tr>
      <w:tr>
        <w:tc>
          <w:tcPr>
            <w:tcW w:type="dxa" w:w="2422"/>
          </w:tcPr>
          <w:p>
            <w:pPr>
              <w:spacing w:before="40" w:after="40" w:line="320" w:lineRule="exact"/>
              <w:ind w:firstLine="0"/>
            </w:pPr>
            <w:r/>
            <w:r>
              <w:rPr>
                <w:rFonts w:ascii="Times New Roman" w:hAnsi="Times New Roman" w:cs="Times New Roman" w:eastAsia="Times New Roman"/>
                <w:b w:val="0"/>
                <w:sz w:val="24"/>
              </w:rPr>
              <w:t>FR-4</w:t>
            </w:r>
          </w:p>
        </w:tc>
        <w:tc>
          <w:tcPr>
            <w:tcW w:type="dxa" w:w="2422"/>
          </w:tcPr>
          <w:p>
            <w:pPr>
              <w:spacing w:before="40" w:after="40" w:line="320" w:lineRule="exact"/>
              <w:ind w:firstLine="0"/>
            </w:pPr>
            <w:r/>
            <w:r>
              <w:rPr>
                <w:rFonts w:ascii="Times New Roman" w:hAnsi="Times New Roman" w:cs="Times New Roman" w:eastAsia="Times New Roman"/>
                <w:b w:val="0"/>
                <w:sz w:val="24"/>
              </w:rPr>
              <w:t>Экспорт отчётов</w:t>
            </w:r>
          </w:p>
        </w:tc>
        <w:tc>
          <w:tcPr>
            <w:tcW w:type="dxa" w:w="2422"/>
          </w:tcPr>
          <w:p>
            <w:pPr>
              <w:spacing w:before="40" w:after="40" w:line="320" w:lineRule="exact"/>
              <w:ind w:firstLine="0"/>
            </w:pPr>
            <w:r/>
            <w:r>
              <w:rPr>
                <w:rFonts w:ascii="Times New Roman" w:hAnsi="Times New Roman" w:cs="Times New Roman" w:eastAsia="Times New Roman"/>
                <w:b w:val="0"/>
                <w:sz w:val="24"/>
              </w:rPr>
              <w:t>Генерация PDF с логотипом и реквизитами; выгрузка в Excel</w:t>
            </w:r>
          </w:p>
        </w:tc>
        <w:tc>
          <w:tcPr>
            <w:tcW w:type="dxa" w:w="2422"/>
          </w:tcPr>
          <w:p>
            <w:pPr>
              <w:spacing w:before="40" w:after="40" w:line="320" w:lineRule="exact"/>
              <w:ind w:firstLine="0"/>
            </w:pPr>
            <w:r/>
            <w:r>
              <w:rPr>
                <w:rFonts w:ascii="Times New Roman" w:hAnsi="Times New Roman" w:cs="Times New Roman" w:eastAsia="Times New Roman"/>
                <w:b w:val="0"/>
                <w:sz w:val="24"/>
              </w:rPr>
              <w:t>МСФО (IFRS) 9</w:t>
            </w:r>
          </w:p>
        </w:tc>
      </w:tr>
      <w:tr>
        <w:tc>
          <w:tcPr>
            <w:tcW w:type="dxa" w:w="2422"/>
          </w:tcPr>
          <w:p>
            <w:pPr>
              <w:spacing w:before="40" w:after="40" w:line="320" w:lineRule="exact"/>
              <w:ind w:firstLine="0"/>
            </w:pPr>
            <w:r/>
            <w:r>
              <w:rPr>
                <w:rFonts w:ascii="Times New Roman" w:hAnsi="Times New Roman" w:cs="Times New Roman" w:eastAsia="Times New Roman"/>
                <w:b w:val="0"/>
                <w:sz w:val="24"/>
              </w:rPr>
              <w:t>FR-5</w:t>
            </w:r>
          </w:p>
        </w:tc>
        <w:tc>
          <w:tcPr>
            <w:tcW w:type="dxa" w:w="2422"/>
          </w:tcPr>
          <w:p>
            <w:pPr>
              <w:spacing w:before="40" w:after="40" w:line="320" w:lineRule="exact"/>
              <w:ind w:firstLine="0"/>
            </w:pPr>
            <w:r/>
            <w:r>
              <w:rPr>
                <w:rFonts w:ascii="Times New Roman" w:hAnsi="Times New Roman" w:cs="Times New Roman" w:eastAsia="Times New Roman"/>
                <w:b w:val="0"/>
                <w:sz w:val="24"/>
              </w:rPr>
              <w:t>Хранение истории</w:t>
            </w:r>
          </w:p>
        </w:tc>
        <w:tc>
          <w:tcPr>
            <w:tcW w:type="dxa" w:w="2422"/>
          </w:tcPr>
          <w:p>
            <w:pPr>
              <w:spacing w:before="40" w:after="40" w:line="320" w:lineRule="exact"/>
              <w:ind w:firstLine="0"/>
            </w:pPr>
            <w:r/>
            <w:r>
              <w:rPr>
                <w:rFonts w:ascii="Times New Roman" w:hAnsi="Times New Roman" w:cs="Times New Roman" w:eastAsia="Times New Roman"/>
                <w:b w:val="0"/>
                <w:sz w:val="24"/>
              </w:rPr>
              <w:t>Сохранение каждого расчёта с привязкой к оператору, клиенту и дате</w:t>
            </w:r>
          </w:p>
        </w:tc>
        <w:tc>
          <w:tcPr>
            <w:tcW w:type="dxa" w:w="2422"/>
          </w:tcPr>
          <w:p>
            <w:pPr>
              <w:spacing w:before="40" w:after="40" w:line="320" w:lineRule="exact"/>
              <w:ind w:firstLine="0"/>
            </w:pPr>
            <w:r/>
            <w:r>
              <w:rPr>
                <w:rFonts w:ascii="Times New Roman" w:hAnsi="Times New Roman" w:cs="Times New Roman" w:eastAsia="Times New Roman"/>
                <w:b w:val="0"/>
                <w:sz w:val="24"/>
              </w:rPr>
              <w:t>НБКР (аудит)</w:t>
            </w:r>
          </w:p>
        </w:tc>
      </w:tr>
      <w:tr>
        <w:tc>
          <w:tcPr>
            <w:tcW w:type="dxa" w:w="2422"/>
          </w:tcPr>
          <w:p>
            <w:pPr>
              <w:spacing w:before="40" w:after="40" w:line="320" w:lineRule="exact"/>
              <w:ind w:firstLine="0"/>
            </w:pPr>
            <w:r/>
            <w:r>
              <w:rPr>
                <w:rFonts w:ascii="Times New Roman" w:hAnsi="Times New Roman" w:cs="Times New Roman" w:eastAsia="Times New Roman"/>
                <w:b w:val="0"/>
                <w:sz w:val="24"/>
              </w:rPr>
              <w:t>FR-6</w:t>
            </w:r>
          </w:p>
        </w:tc>
        <w:tc>
          <w:tcPr>
            <w:tcW w:type="dxa" w:w="2422"/>
          </w:tcPr>
          <w:p>
            <w:pPr>
              <w:spacing w:before="40" w:after="40" w:line="320" w:lineRule="exact"/>
              <w:ind w:firstLine="0"/>
            </w:pPr>
            <w:r/>
            <w:r>
              <w:rPr>
                <w:rFonts w:ascii="Times New Roman" w:hAnsi="Times New Roman" w:cs="Times New Roman" w:eastAsia="Times New Roman"/>
                <w:b w:val="0"/>
                <w:sz w:val="24"/>
              </w:rPr>
              <w:t>Управление клиентами</w:t>
            </w:r>
          </w:p>
        </w:tc>
        <w:tc>
          <w:tcPr>
            <w:tcW w:type="dxa" w:w="2422"/>
          </w:tcPr>
          <w:p>
            <w:pPr>
              <w:spacing w:before="40" w:after="40" w:line="320" w:lineRule="exact"/>
              <w:ind w:firstLine="0"/>
            </w:pPr>
            <w:r/>
            <w:r>
              <w:rPr>
                <w:rFonts w:ascii="Times New Roman" w:hAnsi="Times New Roman" w:cs="Times New Roman" w:eastAsia="Times New Roman"/>
                <w:b w:val="0"/>
                <w:sz w:val="24"/>
              </w:rPr>
              <w:t>CRUD карточек клиентов: ФИО, дата рождения, паспорт, телефон, email</w:t>
            </w:r>
          </w:p>
        </w:tc>
        <w:tc>
          <w:tcPr>
            <w:tcW w:type="dxa" w:w="2422"/>
          </w:tcPr>
          <w:p>
            <w:pPr>
              <w:spacing w:before="40" w:after="40" w:line="320" w:lineRule="exact"/>
              <w:ind w:firstLine="0"/>
            </w:pPr>
            <w:r/>
            <w:r>
              <w:rPr>
                <w:rFonts w:ascii="Times New Roman" w:hAnsi="Times New Roman" w:cs="Times New Roman" w:eastAsia="Times New Roman"/>
                <w:b w:val="0"/>
                <w:sz w:val="24"/>
              </w:rPr>
              <w:t>Закон «О МФО»</w:t>
            </w:r>
          </w:p>
        </w:tc>
      </w:tr>
      <w:tr>
        <w:tc>
          <w:tcPr>
            <w:tcW w:type="dxa" w:w="2422"/>
          </w:tcPr>
          <w:p>
            <w:pPr>
              <w:spacing w:before="40" w:after="40" w:line="320" w:lineRule="exact"/>
              <w:ind w:firstLine="0"/>
            </w:pPr>
            <w:r/>
            <w:r>
              <w:rPr>
                <w:rFonts w:ascii="Times New Roman" w:hAnsi="Times New Roman" w:cs="Times New Roman" w:eastAsia="Times New Roman"/>
                <w:b w:val="0"/>
                <w:sz w:val="24"/>
              </w:rPr>
              <w:t>FR-7</w:t>
            </w:r>
          </w:p>
        </w:tc>
        <w:tc>
          <w:tcPr>
            <w:tcW w:type="dxa" w:w="2422"/>
          </w:tcPr>
          <w:p>
            <w:pPr>
              <w:spacing w:before="40" w:after="40" w:line="320" w:lineRule="exact"/>
              <w:ind w:firstLine="0"/>
            </w:pPr>
            <w:r/>
            <w:r>
              <w:rPr>
                <w:rFonts w:ascii="Times New Roman" w:hAnsi="Times New Roman" w:cs="Times New Roman" w:eastAsia="Times New Roman"/>
                <w:b w:val="0"/>
                <w:sz w:val="24"/>
              </w:rPr>
              <w:t>Расчёт микрозайма</w:t>
            </w:r>
          </w:p>
        </w:tc>
        <w:tc>
          <w:tcPr>
            <w:tcW w:type="dxa" w:w="2422"/>
          </w:tcPr>
          <w:p>
            <w:pPr>
              <w:spacing w:before="40" w:after="40" w:line="320" w:lineRule="exact"/>
              <w:ind w:firstLine="0"/>
            </w:pPr>
            <w:r/>
            <w:r>
              <w:rPr>
                <w:rFonts w:ascii="Times New Roman" w:hAnsi="Times New Roman" w:cs="Times New Roman" w:eastAsia="Times New Roman"/>
                <w:b w:val="0"/>
                <w:sz w:val="24"/>
              </w:rPr>
              <w:t>Расчёт тела долга, страховки 16,01 %, процентов, досрочки 2,4 % и продления с капитализацией</w:t>
            </w:r>
          </w:p>
        </w:tc>
        <w:tc>
          <w:tcPr>
            <w:tcW w:type="dxa" w:w="2422"/>
          </w:tcPr>
          <w:p>
            <w:pPr>
              <w:spacing w:before="40" w:after="40" w:line="320" w:lineRule="exact"/>
              <w:ind w:firstLine="0"/>
            </w:pPr>
            <w:r/>
            <w:r>
              <w:rPr>
                <w:rFonts w:ascii="Times New Roman" w:hAnsi="Times New Roman" w:cs="Times New Roman" w:eastAsia="Times New Roman"/>
                <w:b w:val="0"/>
                <w:sz w:val="24"/>
              </w:rPr>
              <w:t>Продуктовая линейка Doke.kg</w:t>
            </w:r>
          </w:p>
        </w:tc>
      </w:tr>
    </w:tbl>
    <w:p>
      <w:pPr/>
      <w:r>
        <w:rPr>
          <w:rFonts w:ascii="Times New Roman" w:hAnsi="Times New Roman" w:cs="Times New Roman" w:eastAsia="Times New Roman"/>
          <w:b w:val="0"/>
          <w:sz w:val="28"/>
        </w:rPr>
        <w:t>Ввод параметров вклада через графический интерфейс закреплён в первом функциональном требовании (FR-1). Оператор указывает начальную сумму, годовую процентную ставку, срок размещения в месяцах, период капитализации (ежемесячный, ежеквартальный, полугодовой, ежегодный) и тип вклада с возможностью пополнения или без неё. Для вкладов с пополнением дополнительно вводятся сумма и периодичность регулярных взносов. Интерфейс обеспечивает валидацию: сумма вклада не может быть отрицательной, ставка ограничена диапазоном от 0,01 до 99,99 % годовых, а срок составляет от 1 до 120 месяцев.</w:t>
      </w:r>
    </w:p>
    <w:p>
      <w:pPr/>
      <w:r>
        <w:rPr>
          <w:rFonts w:ascii="Times New Roman" w:hAnsi="Times New Roman" w:cs="Times New Roman" w:eastAsia="Times New Roman"/>
          <w:b w:val="0"/>
          <w:sz w:val="28"/>
        </w:rPr>
        <w:t>Расчёт наращенной суммы по математическим моделям, описанным в параграфе 1.2 настоящей работы, составляет содержание второго требования (FR-2). Приложение реализует формулу дискретной капитализации FV = PV * (1 + r/n)^(n*t) для стандартных вкладов, модель с регулярными пополнениями на основе аннуитетного ряда, а также расчёт с учётом переменной ставки, меняющейся в заданные моменты времени. Результаты вычислений включают итоговую наращенную сумму, сумму начисленных процентов, эффективную процентную ставку и помесячную детализацию прироста.</w:t>
      </w:r>
    </w:p>
    <w:p>
      <w:pPr/>
      <w:r>
        <w:rPr>
          <w:rFonts w:ascii="Times New Roman" w:hAnsi="Times New Roman" w:cs="Times New Roman" w:eastAsia="Times New Roman"/>
          <w:b w:val="0"/>
          <w:sz w:val="28"/>
        </w:rPr>
        <w:t>Визуализация результатов зафиксирована в третьем требовании (FR-3). Система формирует интерактивный график роста вклада, на котором по оси абсцисс откладываются месяцы, а по оси ординат — накопленная сумма. График отражает динамику капитализации и позволяет клиенту визуально оценить эффект реинвестирования процентов. По мнению М. Фаулера, представление результатов расчёта в графической форме повышает доверие пользователя к системе и сокращает время принятия решения [17].</w:t>
      </w:r>
    </w:p>
    <w:p>
      <w:pPr/>
      <w:r>
        <w:rPr>
          <w:rFonts w:ascii="Times New Roman" w:hAnsi="Times New Roman" w:cs="Times New Roman" w:eastAsia="Times New Roman"/>
          <w:b w:val="0"/>
          <w:sz w:val="28"/>
        </w:rPr>
        <w:t>Экспорт результатов регламентирован четвёртым требованием (FR-4). Оператор получает возможность сформировать отчёт в формате PDF с логотипом компании, реквизитами вклада и графиком роста, а также выгрузить детализированную таблицу в формате Excel. МСФО (IFRS) 9 предписывает раскрытие метода расчёта эффективной процентной ставки [4], поэтому экспортируемый документ содержит итоговые цифры вместе с пояснением использованной модели расчёта.</w:t>
      </w:r>
    </w:p>
    <w:p>
      <w:pPr/>
      <w:r>
        <w:rPr>
          <w:rFonts w:ascii="Times New Roman" w:hAnsi="Times New Roman" w:cs="Times New Roman" w:eastAsia="Times New Roman"/>
          <w:b w:val="0"/>
          <w:sz w:val="28"/>
        </w:rPr>
        <w:t>Хранение истории расчётов закреплено пятым требованием (FR-5). Каждый выполненный расчёт сохраняется в базе с привязкой к оператору, клиенту и дате. Система обеспечивает поиск, фильтрацию и сортировку записей. Это устраняет проблему отсутствия единого хранилища, зафиксированную при анализе текущего бизнес-процесса.</w:t>
      </w:r>
    </w:p>
    <w:p>
      <w:pPr/>
      <w:r>
        <w:rPr>
          <w:rFonts w:ascii="Times New Roman" w:hAnsi="Times New Roman" w:cs="Times New Roman" w:eastAsia="Times New Roman"/>
          <w:b w:val="0"/>
          <w:sz w:val="28"/>
        </w:rPr>
        <w:t>Управление клиентской базой охвачено шестым требованием (FR-6). Приложение позволяет создавать, редактировать и деактивировать карточки клиентов с полями: ФИО, дата рождения, паспортные сведения, контактный телефон, электронная почта. Законодательство Кыргызской Республики обязывает МКО идентифицировать вкладчиков и заёмщиков [2], и хранение этих сведений в структурированном виде обеспечивает выполнение регуляторных требований.</w:t>
      </w:r>
    </w:p>
    <w:p>
      <w:pPr/>
      <w:r>
        <w:rPr>
          <w:rFonts w:ascii="Times New Roman" w:hAnsi="Times New Roman" w:cs="Times New Roman" w:eastAsia="Times New Roman"/>
          <w:b w:val="0"/>
          <w:sz w:val="28"/>
        </w:rPr>
        <w:t>Седьмое функциональное требование (FR-7) отражает основной бизнес Doke.kg — расчёт микрозайма. Оператор вводит тип выдачи (первичная или повторная), сумму в пределах продуктовых лимитов, срок 14 или 30 дней, дневную процентную ставку и страховой тариф. Система рассчитывает страховую премию (по умолчанию 16,01 % от тела займа), начисленные проценты, сумму к возврату и эффективную годовую ставку. Для сценария досрочного погашения в день K рассчитывается пересчёт остатка процентов с коэффициентом 2,4 %, для сценария продления срока — капитализация процентов предыдущего цикла в тело займа с последующим начислением ставки на увеличенную базу. Такой механизм продления связывает микрокредитные операции с классической теорией сложных процентов и обеспечивает единство математического аппарата для обеих продуктовых линий.</w:t>
      </w:r>
    </w:p>
    <w:p>
      <w:pPr/>
      <w:r>
        <w:rPr>
          <w:rFonts w:ascii="Times New Roman" w:hAnsi="Times New Roman" w:cs="Times New Roman" w:eastAsia="Times New Roman"/>
          <w:b w:val="0"/>
          <w:sz w:val="28"/>
        </w:rPr>
        <w:t>Нефункциональные требования определяют качественные характеристики системы, не связанные напрямую с конкретными операциями пользователя. И. Соммервилл выделяет среди них требования к производительности, надёжности, безопасности и переносимости [16]. Перечень нефункциональных требований приведён в таблице 2.1.2.</w:t>
      </w:r>
    </w:p>
    <w:p>
      <w:pPr>
        <w:spacing w:before="120" w:after="120"/>
        <w:ind w:firstLine="0"/>
        <w:jc w:val="center"/>
      </w:pPr>
      <w:r>
        <w:rPr>
          <w:rFonts w:ascii="Times New Roman" w:hAnsi="Times New Roman" w:cs="Times New Roman" w:eastAsia="Times New Roman"/>
          <w:b/>
          <w:sz w:val="24"/>
        </w:rPr>
        <w:t>Таблица 2.1.2 — Нефункциональные требования к программному продукту</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40" w:after="40" w:line="320" w:lineRule="exact"/>
              <w:ind w:firstLine="0"/>
            </w:pPr>
            <w:r/>
            <w:r>
              <w:rPr>
                <w:rFonts w:ascii="Times New Roman" w:hAnsi="Times New Roman" w:cs="Times New Roman" w:eastAsia="Times New Roman"/>
                <w:b/>
                <w:sz w:val="24"/>
              </w:rPr>
              <w:t>ID</w:t>
            </w:r>
          </w:p>
        </w:tc>
        <w:tc>
          <w:tcPr>
            <w:tcW w:type="dxa" w:w="2422"/>
          </w:tcPr>
          <w:p>
            <w:pPr>
              <w:spacing w:before="40" w:after="40" w:line="320" w:lineRule="exact"/>
              <w:ind w:firstLine="0"/>
            </w:pPr>
            <w:r/>
            <w:r>
              <w:rPr>
                <w:rFonts w:ascii="Times New Roman" w:hAnsi="Times New Roman" w:cs="Times New Roman" w:eastAsia="Times New Roman"/>
                <w:b/>
                <w:sz w:val="24"/>
              </w:rPr>
              <w:t>Категория</w:t>
            </w:r>
          </w:p>
        </w:tc>
        <w:tc>
          <w:tcPr>
            <w:tcW w:type="dxa" w:w="2422"/>
          </w:tcPr>
          <w:p>
            <w:pPr>
              <w:spacing w:before="40" w:after="40" w:line="320" w:lineRule="exact"/>
              <w:ind w:firstLine="0"/>
            </w:pPr>
            <w:r/>
            <w:r>
              <w:rPr>
                <w:rFonts w:ascii="Times New Roman" w:hAnsi="Times New Roman" w:cs="Times New Roman" w:eastAsia="Times New Roman"/>
                <w:b/>
                <w:sz w:val="24"/>
              </w:rPr>
              <w:t>Требование</w:t>
            </w:r>
          </w:p>
        </w:tc>
        <w:tc>
          <w:tcPr>
            <w:tcW w:type="dxa" w:w="2422"/>
          </w:tcPr>
          <w:p>
            <w:pPr>
              <w:spacing w:before="40" w:after="40" w:line="320" w:lineRule="exact"/>
              <w:ind w:firstLine="0"/>
            </w:pPr>
            <w:r/>
            <w:r>
              <w:rPr>
                <w:rFonts w:ascii="Times New Roman" w:hAnsi="Times New Roman" w:cs="Times New Roman" w:eastAsia="Times New Roman"/>
                <w:b/>
                <w:sz w:val="24"/>
              </w:rPr>
              <w:t>Метрика</w:t>
            </w:r>
          </w:p>
        </w:tc>
      </w:tr>
      <w:tr>
        <w:tc>
          <w:tcPr>
            <w:tcW w:type="dxa" w:w="2422"/>
          </w:tcPr>
          <w:p>
            <w:pPr>
              <w:spacing w:before="40" w:after="40" w:line="320" w:lineRule="exact"/>
              <w:ind w:firstLine="0"/>
            </w:pPr>
            <w:r/>
            <w:r>
              <w:rPr>
                <w:rFonts w:ascii="Times New Roman" w:hAnsi="Times New Roman" w:cs="Times New Roman" w:eastAsia="Times New Roman"/>
                <w:b w:val="0"/>
                <w:sz w:val="24"/>
              </w:rPr>
              <w:t>NFR-1</w:t>
            </w:r>
          </w:p>
        </w:tc>
        <w:tc>
          <w:tcPr>
            <w:tcW w:type="dxa" w:w="2422"/>
          </w:tcPr>
          <w:p>
            <w:pPr>
              <w:spacing w:before="40" w:after="40" w:line="320" w:lineRule="exact"/>
              <w:ind w:firstLine="0"/>
            </w:pPr>
            <w:r/>
            <w:r>
              <w:rPr>
                <w:rFonts w:ascii="Times New Roman" w:hAnsi="Times New Roman" w:cs="Times New Roman" w:eastAsia="Times New Roman"/>
                <w:b w:val="0"/>
                <w:sz w:val="24"/>
              </w:rPr>
              <w:t>Точность</w:t>
            </w:r>
          </w:p>
        </w:tc>
        <w:tc>
          <w:tcPr>
            <w:tcW w:type="dxa" w:w="2422"/>
          </w:tcPr>
          <w:p>
            <w:pPr>
              <w:spacing w:before="40" w:after="40" w:line="320" w:lineRule="exact"/>
              <w:ind w:firstLine="0"/>
            </w:pPr>
            <w:r/>
            <w:r>
              <w:rPr>
                <w:rFonts w:ascii="Times New Roman" w:hAnsi="Times New Roman" w:cs="Times New Roman" w:eastAsia="Times New Roman"/>
                <w:b w:val="0"/>
                <w:sz w:val="24"/>
              </w:rPr>
              <w:t>Погрешность расчёта ≤ 0,01 %</w:t>
            </w:r>
          </w:p>
        </w:tc>
        <w:tc>
          <w:tcPr>
            <w:tcW w:type="dxa" w:w="2422"/>
          </w:tcPr>
          <w:p>
            <w:pPr>
              <w:spacing w:before="40" w:after="40" w:line="320" w:lineRule="exact"/>
              <w:ind w:firstLine="0"/>
            </w:pPr>
            <w:r/>
            <w:r>
              <w:rPr>
                <w:rFonts w:ascii="Times New Roman" w:hAnsi="Times New Roman" w:cs="Times New Roman" w:eastAsia="Times New Roman"/>
                <w:b w:val="0"/>
                <w:sz w:val="24"/>
              </w:rPr>
              <w:t>Сравнение с Decimal-арифметикой</w:t>
            </w:r>
          </w:p>
        </w:tc>
      </w:tr>
      <w:tr>
        <w:tc>
          <w:tcPr>
            <w:tcW w:type="dxa" w:w="2422"/>
          </w:tcPr>
          <w:p>
            <w:pPr>
              <w:spacing w:before="40" w:after="40" w:line="320" w:lineRule="exact"/>
              <w:ind w:firstLine="0"/>
            </w:pPr>
            <w:r/>
            <w:r>
              <w:rPr>
                <w:rFonts w:ascii="Times New Roman" w:hAnsi="Times New Roman" w:cs="Times New Roman" w:eastAsia="Times New Roman"/>
                <w:b w:val="0"/>
                <w:sz w:val="24"/>
              </w:rPr>
              <w:t>NFR-2</w:t>
            </w:r>
          </w:p>
        </w:tc>
        <w:tc>
          <w:tcPr>
            <w:tcW w:type="dxa" w:w="2422"/>
          </w:tcPr>
          <w:p>
            <w:pPr>
              <w:spacing w:before="40" w:after="40" w:line="320" w:lineRule="exact"/>
              <w:ind w:firstLine="0"/>
            </w:pPr>
            <w:r/>
            <w:r>
              <w:rPr>
                <w:rFonts w:ascii="Times New Roman" w:hAnsi="Times New Roman" w:cs="Times New Roman" w:eastAsia="Times New Roman"/>
                <w:b w:val="0"/>
                <w:sz w:val="24"/>
              </w:rPr>
              <w:t>Производительность</w:t>
            </w:r>
          </w:p>
        </w:tc>
        <w:tc>
          <w:tcPr>
            <w:tcW w:type="dxa" w:w="2422"/>
          </w:tcPr>
          <w:p>
            <w:pPr>
              <w:spacing w:before="40" w:after="40" w:line="320" w:lineRule="exact"/>
              <w:ind w:firstLine="0"/>
            </w:pPr>
            <w:r/>
            <w:r>
              <w:rPr>
                <w:rFonts w:ascii="Times New Roman" w:hAnsi="Times New Roman" w:cs="Times New Roman" w:eastAsia="Times New Roman"/>
                <w:b w:val="0"/>
                <w:sz w:val="24"/>
              </w:rPr>
              <w:t>Время отклика ≤ 2 сек (стандартный), ≤ 5 сек (сложный)</w:t>
            </w:r>
          </w:p>
        </w:tc>
        <w:tc>
          <w:tcPr>
            <w:tcW w:type="dxa" w:w="2422"/>
          </w:tcPr>
          <w:p>
            <w:pPr>
              <w:spacing w:before="40" w:after="40" w:line="320" w:lineRule="exact"/>
              <w:ind w:firstLine="0"/>
            </w:pPr>
            <w:r/>
            <w:r>
              <w:rPr>
                <w:rFonts w:ascii="Times New Roman" w:hAnsi="Times New Roman" w:cs="Times New Roman" w:eastAsia="Times New Roman"/>
                <w:b w:val="0"/>
                <w:sz w:val="24"/>
              </w:rPr>
              <w:t>Время от запроса до рендеринга</w:t>
            </w:r>
          </w:p>
        </w:tc>
      </w:tr>
      <w:tr>
        <w:tc>
          <w:tcPr>
            <w:tcW w:type="dxa" w:w="2422"/>
          </w:tcPr>
          <w:p>
            <w:pPr>
              <w:spacing w:before="40" w:after="40" w:line="320" w:lineRule="exact"/>
              <w:ind w:firstLine="0"/>
            </w:pPr>
            <w:r/>
            <w:r>
              <w:rPr>
                <w:rFonts w:ascii="Times New Roman" w:hAnsi="Times New Roman" w:cs="Times New Roman" w:eastAsia="Times New Roman"/>
                <w:b w:val="0"/>
                <w:sz w:val="24"/>
              </w:rPr>
              <w:t>NFR-3</w:t>
            </w:r>
          </w:p>
        </w:tc>
        <w:tc>
          <w:tcPr>
            <w:tcW w:type="dxa" w:w="2422"/>
          </w:tcPr>
          <w:p>
            <w:pPr>
              <w:spacing w:before="40" w:after="40" w:line="320" w:lineRule="exact"/>
              <w:ind w:firstLine="0"/>
            </w:pPr>
            <w:r/>
            <w:r>
              <w:rPr>
                <w:rFonts w:ascii="Times New Roman" w:hAnsi="Times New Roman" w:cs="Times New Roman" w:eastAsia="Times New Roman"/>
                <w:b w:val="0"/>
                <w:sz w:val="24"/>
              </w:rPr>
              <w:t>Масштабируемость</w:t>
            </w:r>
          </w:p>
        </w:tc>
        <w:tc>
          <w:tcPr>
            <w:tcW w:type="dxa" w:w="2422"/>
          </w:tcPr>
          <w:p>
            <w:pPr>
              <w:spacing w:before="40" w:after="40" w:line="320" w:lineRule="exact"/>
              <w:ind w:firstLine="0"/>
            </w:pPr>
            <w:r/>
            <w:r>
              <w:rPr>
                <w:rFonts w:ascii="Times New Roman" w:hAnsi="Times New Roman" w:cs="Times New Roman" w:eastAsia="Times New Roman"/>
                <w:b w:val="0"/>
                <w:sz w:val="24"/>
              </w:rPr>
              <w:t>Одновременная работа ≥ 50 пользователей</w:t>
            </w:r>
          </w:p>
        </w:tc>
        <w:tc>
          <w:tcPr>
            <w:tcW w:type="dxa" w:w="2422"/>
          </w:tcPr>
          <w:p>
            <w:pPr>
              <w:spacing w:before="40" w:after="40" w:line="320" w:lineRule="exact"/>
              <w:ind w:firstLine="0"/>
            </w:pPr>
            <w:r/>
            <w:r>
              <w:rPr>
                <w:rFonts w:ascii="Times New Roman" w:hAnsi="Times New Roman" w:cs="Times New Roman" w:eastAsia="Times New Roman"/>
                <w:b w:val="0"/>
                <w:sz w:val="24"/>
              </w:rPr>
              <w:t>Нагрузочное тестирование</w:t>
            </w:r>
          </w:p>
        </w:tc>
      </w:tr>
      <w:tr>
        <w:tc>
          <w:tcPr>
            <w:tcW w:type="dxa" w:w="2422"/>
          </w:tcPr>
          <w:p>
            <w:pPr>
              <w:spacing w:before="40" w:after="40" w:line="320" w:lineRule="exact"/>
              <w:ind w:firstLine="0"/>
            </w:pPr>
            <w:r/>
            <w:r>
              <w:rPr>
                <w:rFonts w:ascii="Times New Roman" w:hAnsi="Times New Roman" w:cs="Times New Roman" w:eastAsia="Times New Roman"/>
                <w:b w:val="0"/>
                <w:sz w:val="24"/>
              </w:rPr>
              <w:t>NFR-4</w:t>
            </w:r>
          </w:p>
        </w:tc>
        <w:tc>
          <w:tcPr>
            <w:tcW w:type="dxa" w:w="2422"/>
          </w:tcPr>
          <w:p>
            <w:pPr>
              <w:spacing w:before="40" w:after="40" w:line="320" w:lineRule="exact"/>
              <w:ind w:firstLine="0"/>
            </w:pPr>
            <w:r/>
            <w:r>
              <w:rPr>
                <w:rFonts w:ascii="Times New Roman" w:hAnsi="Times New Roman" w:cs="Times New Roman" w:eastAsia="Times New Roman"/>
                <w:b w:val="0"/>
                <w:sz w:val="24"/>
              </w:rPr>
              <w:t>Безопасность</w:t>
            </w:r>
          </w:p>
        </w:tc>
        <w:tc>
          <w:tcPr>
            <w:tcW w:type="dxa" w:w="2422"/>
          </w:tcPr>
          <w:p>
            <w:pPr>
              <w:spacing w:before="40" w:after="40" w:line="320" w:lineRule="exact"/>
              <w:ind w:firstLine="0"/>
            </w:pPr>
            <w:r/>
            <w:r>
              <w:rPr>
                <w:rFonts w:ascii="Times New Roman" w:hAnsi="Times New Roman" w:cs="Times New Roman" w:eastAsia="Times New Roman"/>
                <w:b w:val="0"/>
                <w:sz w:val="24"/>
              </w:rPr>
              <w:t>JWT-аутентификация, bcrypt, HTTPS, журнал аудита</w:t>
            </w:r>
          </w:p>
        </w:tc>
        <w:tc>
          <w:tcPr>
            <w:tcW w:type="dxa" w:w="2422"/>
          </w:tcPr>
          <w:p>
            <w:pPr>
              <w:spacing w:before="40" w:after="40" w:line="320" w:lineRule="exact"/>
              <w:ind w:firstLine="0"/>
            </w:pPr>
            <w:r/>
            <w:r>
              <w:rPr>
                <w:rFonts w:ascii="Times New Roman" w:hAnsi="Times New Roman" w:cs="Times New Roman" w:eastAsia="Times New Roman"/>
                <w:b w:val="0"/>
                <w:sz w:val="24"/>
              </w:rPr>
              <w:t>Тест на проникновение</w:t>
            </w:r>
          </w:p>
        </w:tc>
      </w:tr>
      <w:tr>
        <w:tc>
          <w:tcPr>
            <w:tcW w:type="dxa" w:w="2422"/>
          </w:tcPr>
          <w:p>
            <w:pPr>
              <w:spacing w:before="40" w:after="40" w:line="320" w:lineRule="exact"/>
              <w:ind w:firstLine="0"/>
            </w:pPr>
            <w:r/>
            <w:r>
              <w:rPr>
                <w:rFonts w:ascii="Times New Roman" w:hAnsi="Times New Roman" w:cs="Times New Roman" w:eastAsia="Times New Roman"/>
                <w:b w:val="0"/>
                <w:sz w:val="24"/>
              </w:rPr>
              <w:t>NFR-5</w:t>
            </w:r>
          </w:p>
        </w:tc>
        <w:tc>
          <w:tcPr>
            <w:tcW w:type="dxa" w:w="2422"/>
          </w:tcPr>
          <w:p>
            <w:pPr>
              <w:spacing w:before="40" w:after="40" w:line="320" w:lineRule="exact"/>
              <w:ind w:firstLine="0"/>
            </w:pPr>
            <w:r/>
            <w:r>
              <w:rPr>
                <w:rFonts w:ascii="Times New Roman" w:hAnsi="Times New Roman" w:cs="Times New Roman" w:eastAsia="Times New Roman"/>
                <w:b w:val="0"/>
                <w:sz w:val="24"/>
              </w:rPr>
              <w:t>Переносимость</w:t>
            </w:r>
          </w:p>
        </w:tc>
        <w:tc>
          <w:tcPr>
            <w:tcW w:type="dxa" w:w="2422"/>
          </w:tcPr>
          <w:p>
            <w:pPr>
              <w:spacing w:before="40" w:after="40" w:line="320" w:lineRule="exact"/>
              <w:ind w:firstLine="0"/>
            </w:pPr>
            <w:r/>
            <w:r>
              <w:rPr>
                <w:rFonts w:ascii="Times New Roman" w:hAnsi="Times New Roman" w:cs="Times New Roman" w:eastAsia="Times New Roman"/>
                <w:b w:val="0"/>
                <w:sz w:val="24"/>
              </w:rPr>
              <w:t>Работа на Linux, Windows, macOS без модификации кода</w:t>
            </w:r>
          </w:p>
        </w:tc>
        <w:tc>
          <w:tcPr>
            <w:tcW w:type="dxa" w:w="2422"/>
          </w:tcPr>
          <w:p>
            <w:pPr>
              <w:spacing w:before="40" w:after="40" w:line="320" w:lineRule="exact"/>
              <w:ind w:firstLine="0"/>
            </w:pPr>
            <w:r/>
            <w:r>
              <w:rPr>
                <w:rFonts w:ascii="Times New Roman" w:hAnsi="Times New Roman" w:cs="Times New Roman" w:eastAsia="Times New Roman"/>
                <w:b w:val="0"/>
                <w:sz w:val="24"/>
              </w:rPr>
              <w:t>Docker-контейнеризация</w:t>
            </w:r>
          </w:p>
        </w:tc>
      </w:tr>
    </w:tbl>
    <w:p>
      <w:pPr/>
      <w:r>
        <w:rPr>
          <w:rFonts w:ascii="Times New Roman" w:hAnsi="Times New Roman" w:cs="Times New Roman" w:eastAsia="Times New Roman"/>
          <w:b w:val="0"/>
          <w:sz w:val="28"/>
        </w:rPr>
        <w:t>Точность вычислений регулируется требованием NFR-1. Относительная погрешность расчёта наращенной суммы не превышает 0,01 % при сравнении с результатом, полученным по формулам из параграфа 1.2 при использовании арифметики произвольной точности. Е.М. Четыркин акцентирует внимание на том, что округление промежуточных результатов при многократном начислении процентов способно привести к существенному накоплению погрешности [18], поэтому вычислительный модуль оперирует типом данных Decimal с фиксированной точностью не менее 10 знаков после запятой.</w:t>
      </w:r>
    </w:p>
    <w:p>
      <w:pPr/>
      <w:r>
        <w:rPr>
          <w:rFonts w:ascii="Times New Roman" w:hAnsi="Times New Roman" w:cs="Times New Roman" w:eastAsia="Times New Roman"/>
          <w:b w:val="0"/>
          <w:sz w:val="28"/>
        </w:rPr>
        <w:t>Время отклика зафиксировано в требовании NFR-2. Расчёт стандартного вклада (без пополнений, с постоянной ставкой) выполняется за время, не превышающее 2 секунд, включая рендеринг результата на экране. Расчёт с пополнениями и переменными ставками укладывается в 5 секунд. Превышение указанного порога сигнализирует о необходимости оптимизации.</w:t>
      </w:r>
    </w:p>
    <w:p>
      <w:pPr/>
      <w:r>
        <w:rPr>
          <w:rFonts w:ascii="Times New Roman" w:hAnsi="Times New Roman" w:cs="Times New Roman" w:eastAsia="Times New Roman"/>
          <w:b w:val="0"/>
          <w:sz w:val="28"/>
        </w:rPr>
        <w:t>Пропускная способность определена требованием NFR-3. Система поддерживает одновременную работу не менее 50 пользователей при сохранении заявленного времени отклика. Выбор порога продиктован численностью сотрудников компании и прогнозом роста: по состоянию на март 2026 года в Doke.kg работают 28 операторов в двух офисах, а планируемое расширение предполагает увеличение штата до 45 человек в течение двух лет.</w:t>
      </w:r>
    </w:p>
    <w:p>
      <w:pPr/>
      <w:r>
        <w:rPr>
          <w:rFonts w:ascii="Times New Roman" w:hAnsi="Times New Roman" w:cs="Times New Roman" w:eastAsia="Times New Roman"/>
          <w:b w:val="0"/>
          <w:sz w:val="28"/>
        </w:rPr>
        <w:t>Защита персональных сведений клиентов оговорена в требовании NFR-4. Агентство по защите депозитов КР и НБКР предъявляют строгие требования к хранению информации о вкладчиках [3, 40]. Приложение обеспечивает аутентификацию пользователей с использованием JWT-токенов, ролевое разграничение доступа (оператор, администратор), шифрование паролей алгоритмом bcrypt и передачу трафика по протоколу HTTPS. Журнал действий фиксирует все операции с клиентскими карточками и расчётами, обеспечивая возможность аудита.</w:t>
      </w:r>
    </w:p>
    <w:p>
      <w:pPr/>
      <w:r>
        <w:rPr>
          <w:rFonts w:ascii="Times New Roman" w:hAnsi="Times New Roman" w:cs="Times New Roman" w:eastAsia="Times New Roman"/>
          <w:b w:val="0"/>
          <w:sz w:val="28"/>
        </w:rPr>
        <w:t>Кросс-платформенность описана в требовании NFR-5. Серверная часть функционирует под управлением ОС Linux, Windows и macOS без модификации исходного кода. Клиентская часть доступна через веб-браузер (Chrome, Firefox, Safari, Edge последних двух мажорных версий), что исключает привязку к конкретной операционной системе рабочего места оператора. Г. Буч подчёркивает, что переносимость снижает стоимость владения программным продуктом и упрощает его внедрение в гетерогенных инфраструктурах [5].</w:t>
      </w:r>
    </w:p>
    <w:p>
      <w:pPr/>
      <w:r>
        <w:rPr>
          <w:rFonts w:ascii="Times New Roman" w:hAnsi="Times New Roman" w:cs="Times New Roman" w:eastAsia="Times New Roman"/>
          <w:b w:val="0"/>
          <w:sz w:val="28"/>
        </w:rPr>
        <w:t>Совокупность перечисленных требований образует основу для построения модели вариантов использования (Use Case). Э. Гамма и соавторы обращают внимание на то, что диаграмма вариантов использования фиксирует функциональные границы системы и определяет, какие действия доступны каждому типу пользователя [6]. R.S. Pressman рассматривает эту диаграмму как инструмент согласования ожиданий заказчика и разработчика на ранних этапах проекта [33].</w:t>
      </w:r>
    </w:p>
    <w:p>
      <w:pPr/>
      <w:r>
        <w:rPr>
          <w:rFonts w:ascii="Times New Roman" w:hAnsi="Times New Roman" w:cs="Times New Roman" w:eastAsia="Times New Roman"/>
          <w:b w:val="0"/>
          <w:sz w:val="28"/>
        </w:rPr>
        <w:t>Модель вариантов использования проектируемого приложения включает трёх актёров. Роль первого актёра выполняет Оператор, сотрудник Doke.kg, ежедневно обрабатывающий расчёты для клиентов. Оператор получает доступ к вариантам использования «Рассчитать вклад», «Просмотреть историю расчётов», «Экспортировать отчёт» и «Управлять клиентами» (просмотр и редактирование карточек). Вторым актёром выступает Администратор, ответственный за настройку системы. Помимо всех возможностей Оператора, Администратор выполняет варианты использования «Настроить параметры системы» (процентные ставки по умолчанию, диапазоны валидации, шаблоны отчётов) и «Управлять учётными записями пользователей». Третьим актёром выделен Клиент, взаимодействующий с системой через публичный веб-интерфейс. Клиент выполняет единственный вариант использования «Предварительный расчёт вклада», представляющий упрощённую версию основного расчёта без сохранения результата в базе и без доступа к клиентским карточкам.</w:t>
      </w:r>
    </w:p>
    <w:p>
      <w:pPr/>
      <w:r>
        <w:rPr>
          <w:rFonts w:ascii="Times New Roman" w:hAnsi="Times New Roman" w:cs="Times New Roman" w:eastAsia="Times New Roman"/>
          <w:b w:val="0"/>
          <w:sz w:val="28"/>
        </w:rPr>
        <w:t>Между вариантами использования установлены отношения включения и расширения. Вариант «Рассчитать вклад» включает (include) подвариант «Валидировать параметры ввода», выполняемый при каждом обращении к расчётному модулю. Вариант «Экспортировать отчёт» расширяет (extend) вариант «Рассчитать вклад»: экспорт доступен после успешного завершения расчёта, однако не обязателен. Вариант «Просмотреть историю расчётов» включает подвариант «Фильтровать по дате, клиенту, оператору», обеспечивающий выборку записей.</w:t>
      </w:r>
    </w:p>
    <w:p>
      <w:pPr/>
      <w:r>
        <w:rPr>
          <w:rFonts w:ascii="Times New Roman" w:hAnsi="Times New Roman" w:cs="Times New Roman" w:eastAsia="Times New Roman"/>
          <w:b w:val="0"/>
          <w:sz w:val="28"/>
        </w:rPr>
        <w:t>На рисунке 2.1 представлена диаграмма вариантов использования в нотации UML. Диаграмма фиксирует границы системы прямоугольником, внутри которого расположены варианты использования в виде эллипсов. Три актёра (Оператор, Администратор, Клиент) размещены за пределами границ и соединены линиями с доступными им вариантами. Администратор связан с Оператором отношением обобщения (generalization), что означает наследование всех прав Оператора. Отношения include и extend показаны пунктирными стрелками с соответствующими стереотипами.</w:t>
      </w:r>
    </w:p>
    <w:p>
      <w:pPr/>
      <w:r>
        <w:rPr>
          <w:rFonts w:ascii="Times New Roman" w:hAnsi="Times New Roman" w:cs="Times New Roman" w:eastAsia="Times New Roman"/>
          <w:b w:val="0"/>
          <w:sz w:val="28"/>
        </w:rPr>
        <w:t>Для детализации поведения системы рассмотрим два основных сценария.</w:t>
      </w:r>
    </w:p>
    <w:p>
      <w:pPr/>
      <w:r>
        <w:rPr>
          <w:rFonts w:ascii="Times New Roman" w:hAnsi="Times New Roman" w:cs="Times New Roman" w:eastAsia="Times New Roman"/>
          <w:b w:val="0"/>
          <w:sz w:val="28"/>
        </w:rPr>
        <w:t>Сценарий «Рассчитать вклад» выполняется актёром Оператор и описывает типичное обращение за расчётом. Предусловие: Оператор авторизован в системе. Оператор открывает форму расчёта, вводит параметры вклада (FR-1), нажимает кнопку «Рассчитать». Система проверяет корректность введённых значений. Если обнаружена ошибка, отображается сообщение с указанием поля и характера нарушения. При успешной валидации вычислительный модуль выполняет расчёт по соответствующей формуле (FR-2). Система отображает результат: наращенную сумму, сумму процентов, эффективную ставку и график роста (FR-3). Оператор по желанию сохраняет расчёт (FR-5) или экспортирует отчёт (FR-4). Постусловие: результат расчёта отображён на экране, при сохранении — зафиксирован в базе. Альтернативный поток предусматривает выбор расчёта с переменной ставкой: система запрашивает массив пар «месяц — ставка» и применяет пошаговую модель наращения.</w:t>
      </w:r>
    </w:p>
    <w:p>
      <w:pPr/>
      <w:r>
        <w:rPr>
          <w:rFonts w:ascii="Times New Roman" w:hAnsi="Times New Roman" w:cs="Times New Roman" w:eastAsia="Times New Roman"/>
          <w:b w:val="0"/>
          <w:sz w:val="28"/>
        </w:rPr>
        <w:t>Работа с клиентской базой раскрыта в сценарии «Управлять клиентами», выполняемом актёром Оператор. Предусловие: Оператор авторизован. Оператор переходит в раздел клиентской базы, использует строку поиска для нахождения нужной карточки по ФИО или номеру телефона. Система отображает список совпадений. Оператор открывает карточку, редактирует контактные сведения и сохраняет изменения. Система фиксирует изменение в журнале аудита (NFR-4). При создании нового клиента Оператор заполняет обязательные поля — ФИО, дату рождения, паспортные сведения, телефон — и подтверждает создание (FR-6). Постусловие: карточка клиента обновлена или создана.</w:t>
      </w:r>
    </w:p>
    <w:p>
      <w:pPr/>
      <w:r>
        <w:rPr>
          <w:rFonts w:ascii="Times New Roman" w:hAnsi="Times New Roman" w:cs="Times New Roman" w:eastAsia="Times New Roman"/>
          <w:b w:val="0"/>
          <w:sz w:val="28"/>
        </w:rPr>
        <w:t>Третий сценарий затрагивает администрирование системы. Актёр Администратор переходит в панель управления, где получает доступ к настройкам процентных ставок по умолчанию, диапазонов валидации и шаблонов экспорта. При изменении базовой ставки НБКР администратор обновляет параметр «ставка по умолчанию», после чего новые расчёты автоматически подставляют актуальное значение. Администратор также управляет учётными записями операторов: создаёт новые, блокирует неактивные и сбрасывает пароли. Все действия фиксируются в журнале аудита.</w:t>
      </w:r>
    </w:p>
    <w:p>
      <w:pPr/>
      <w:r>
        <w:rPr>
          <w:rFonts w:ascii="Times New Roman" w:hAnsi="Times New Roman" w:cs="Times New Roman" w:eastAsia="Times New Roman"/>
          <w:b w:val="0"/>
          <w:sz w:val="28"/>
        </w:rPr>
        <w:t>Помимо вариантов использования, целесообразно определить границы системы — функции, которые приложение намеренно не реализует. Проектируемый продукт не заменяет бухгалтерскую систему МКО: он не формирует проводки, не ведёт главную книгу и не рассчитывает налоговые декларации. Расчёт вклада и формирование отчёта — его единственная ответственность. Интеграция с бухгалтерской системой осуществляется через REST API: внешняя система запрашивает результат расчёта и самостоятельно формирует проводку. Чёткое разграничение ответственности соответствует принципу единственной ответственности, описанному Р. Мартином [15], и снижает риск того, что ошибка в одном модуле повлияет на работу смежных процессов.</w:t>
      </w:r>
    </w:p>
    <w:p>
      <w:pPr/>
      <w:r>
        <w:rPr>
          <w:rFonts w:ascii="Times New Roman" w:hAnsi="Times New Roman" w:cs="Times New Roman" w:eastAsia="Times New Roman"/>
          <w:b w:val="0"/>
          <w:sz w:val="28"/>
        </w:rPr>
        <w:t>Соммервилл подчёркивает, что трассируемость требований — возможность проследить связь каждого требования с его источником и с элементами реализации — критична для верификации системы [16]. Каждое функциональное требование (FR-1 — FR-6) прослеживается до конкретной проблемы бизнес-процесса или нормативного акта, что зафиксировано в столбце «Источник» таблицы 2.1.1. Каждое нефункциональное требование (NFR-1 — NFR-5) сопровождается измеримой метрикой приёмки, указанной в столбце «Метрика» таблицы 2.1.2. Трассируемость обеспечивает возможность объективной проверки соответствия финального продукта спецификации.</w:t>
      </w:r>
    </w:p>
    <w:p>
      <w:pPr/>
      <w:r>
        <w:rPr>
          <w:rFonts w:ascii="Times New Roman" w:hAnsi="Times New Roman" w:cs="Times New Roman" w:eastAsia="Times New Roman"/>
          <w:b w:val="0"/>
          <w:sz w:val="28"/>
        </w:rPr>
        <w:t>Шесть функциональных и пять нефункциональных требований, зафиксированных в настоящем параграфе, охватывают потребности конечных пользователей и регуляторные ограничения, продиктованные законодательством КР и стандартами МСФО. Таблицы 2.1.1 и 2.1.2 систематизируют требования и устанавливают измеримые критерии приёмки. Модель вариантов использования определяет границы проектируемой системы и роли трёх категорий пользователей. Полученные требования служат входом для следующих этапов: выбора технологий (параграф 2.2) и проектирования архитектуры приложения (параграф 2.3).</w:t>
      </w:r>
    </w:p>
    <w:p>
      <w:pPr>
        <w:pStyle w:val="Heading2"/>
      </w:pPr>
      <w:r>
        <w:rPr>
          <w:rFonts w:ascii="Times New Roman" w:hAnsi="Times New Roman" w:cs="Times New Roman" w:eastAsia="Times New Roman"/>
        </w:rPr>
        <w:t>2.2 Выбор технологий и инструментальных средств разработки</w:t>
      </w:r>
    </w:p>
    <w:p>
      <w:pPr/>
      <w:r>
        <w:rPr>
          <w:rFonts w:ascii="Times New Roman" w:hAnsi="Times New Roman" w:cs="Times New Roman" w:eastAsia="Times New Roman"/>
          <w:b w:val="0"/>
          <w:sz w:val="28"/>
        </w:rPr>
        <w:t>Требования, зафиксированные в предыдущем параграфе, задают критерии отбора технологий. И. Соммервилл выделяет пять факторов, определяющих выбор инструментальной платформы: соответствие функциональным задачам проекта, квалификация команды, доступность документации и сообщества, стоимость лицензирования и перспективы долгосрочной поддержки [16]. R.S. Pressman дополняет перечень требованием переносимости: технология не должна привязывать продукт к единственной операционной системе или аппаратной платформе [33]. Оба фактора напрямую соотносятся с требованием NFR-5, предписывающим кросс-платформенность серверной и клиентской частей приложения. Ниже последовательно обоснован выбор каждого компонента программного стека.</w:t>
      </w:r>
    </w:p>
    <w:p>
      <w:pPr/>
      <w:r>
        <w:rPr>
          <w:rFonts w:ascii="Times New Roman" w:hAnsi="Times New Roman" w:cs="Times New Roman" w:eastAsia="Times New Roman"/>
          <w:b w:val="0"/>
          <w:sz w:val="28"/>
        </w:rPr>
        <w:t>Для серверной части приложения выбран язык программирования Python версии 3.12. Выбор продиктован двумя обстоятельствами. Первое затрагивает точность вычислений. Встроенный модуль decimal стандартной библиотеки Python реализует арифметику произвольной точности в соответствии со стандартом IEEE 854. Е.М. Четыркин подчёркивает, что при многократном начислении процентов округление промежуточных результатов приводит к накоплению погрешности [18]. S. Benninga рекомендует использовать типы повышенной точности при финансовых вычислениях, чтобы исключить дрейф значений [27]. Модуль decimal позволяет задать контекст с точностью до 28 и более значащих цифр, что гарантирует выполнение требования NFR-1: погрешность расчёта наращенной суммы не превышает 0,01 %. Второе обстоятельство связано с экосистемой. Библиотеки NumPy и SciPy предоставляют оптимизированные функции для работы с числовыми массивами, а QuantLib реализует модели стохастического процента, которые могут потребоваться при расширении продуктовой линейки Doke.kg. Совокупность встроенной точной арифметики и развитой экосистемы делает Python оптимальным выбором для вычислительного ядра приложения.</w:t>
      </w:r>
    </w:p>
    <w:p>
      <w:pPr/>
      <w:r>
        <w:rPr>
          <w:rFonts w:ascii="Times New Roman" w:hAnsi="Times New Roman" w:cs="Times New Roman" w:eastAsia="Times New Roman"/>
          <w:b w:val="0"/>
          <w:sz w:val="28"/>
        </w:rPr>
        <w:t>Индекс TIOBE на апрель 2026 года позиционирует Python как наиболее популярный язык программирования с долей 16,12 %. Популярность напрямую влияет на доступность специалистов, объём документации и скорость обнаружения уязвимостей сообществом. Для малой IT-команды Doke.kg возможность найти разработчика со знанием Python проще, чем специалиста по Haskell или Scala.</w:t>
      </w:r>
    </w:p>
    <w:p>
      <w:pPr/>
      <w:r>
        <w:rPr>
          <w:rFonts w:ascii="Times New Roman" w:hAnsi="Times New Roman" w:cs="Times New Roman" w:eastAsia="Times New Roman"/>
          <w:b w:val="0"/>
          <w:sz w:val="28"/>
        </w:rPr>
        <w:t>B. Lubanovic определяет FastAPI как асинхронный веб-фреймворк для Python, построенный поверх спецификации ASGI и сервера Starlette [32]. Его архитектура опирается на аннотации типов Python и библиотеку валидации Pydantic. Связь с финансовым приложением прямая. Pydantic-модель принимает параметры max_digits и decimal_places, ограничивающие общее число цифр и количество знаков после запятой соответственно. Каждый запрос к API проходит проверку до попадания в бизнес-логику, что исключает передачу некорректных значений в вычислительный модуль. FastAPI автоматически порождает интерактивную документацию OpenAPI (Swagger UI) по аннотациям маршрутов и моделей [32]. Сотрудники Doke.kg получают возможность тестировать API из браузера без написания клиентского кода. Требование FR-4 включает раскрытие метода расчёта эффективной ставки по МСФО (IFRS) 9 [4], и автодокументация упрощает аудит расчётной логики внешними проверяющими.</w:t>
      </w:r>
    </w:p>
    <w:p>
      <w:pPr/>
      <w:r>
        <w:rPr>
          <w:rFonts w:ascii="Times New Roman" w:hAnsi="Times New Roman" w:cs="Times New Roman" w:eastAsia="Times New Roman"/>
          <w:b w:val="0"/>
          <w:sz w:val="28"/>
        </w:rPr>
        <w:t>Производительность FastAPI подтверждена независимыми бенчмарками TechEmpower. Фреймворк обрабатывает свыше 20 000 запросов в секунду на стандартном серверном оборудовании, уступая лишь Go-фреймворкам и Node.js-решениям, но превосходя Django и Flask в 3–5 раз при обработке JSON-запросов. Для приложения, обслуживающего 50 одновременных пользователей (NFR-3), запас производительности составляет три порядка величины.</w:t>
      </w:r>
    </w:p>
    <w:p>
      <w:pPr/>
      <w:r>
        <w:rPr>
          <w:rFonts w:ascii="Times New Roman" w:hAnsi="Times New Roman" w:cs="Times New Roman" w:eastAsia="Times New Roman"/>
          <w:b w:val="0"/>
          <w:sz w:val="28"/>
        </w:rPr>
        <w:t>Серверную часть можно было реализовать и на альтернативных фреймворках. Рассмотрены три варианта. Django предлагает полнофункциональную экосистему с ORM, административной панелью и системой миграций. Flask минималистичен и оставляет разработчику свободу выбора компонентов. Spring Boot (Java) обеспечивает корпоративный уровень надёжности. Однако ни один из них не покрывает набор требований проекта так точно, как FastAPI. Django навязывает монолитную архитектуру и собственную ORM, тогда как вычислительный модуль оперирует типом Decimal напрямую, без реляционного маппинга. Flask лишён встроенной валидации и автогенерации документации — оба компонента потребовалось бы подключать отдельно. Spring Boot решает обе задачи, но требует среды исполнения JVM и повышает порог входа для команды, работающей на Python. Р. Мартин формулирует принцип единственной ответственности: каждый модуль должен иметь одну причину для изменения [15]. FastAPI следует этому принципу, разделяя маршрутизацию, валидацию и бизнес-логику через Pydantic-схемы.</w:t>
      </w:r>
    </w:p>
    <w:p>
      <w:pPr/>
      <w:r>
        <w:rPr>
          <w:rFonts w:ascii="Times New Roman" w:hAnsi="Times New Roman" w:cs="Times New Roman" w:eastAsia="Times New Roman"/>
          <w:b w:val="0"/>
          <w:sz w:val="28"/>
        </w:rPr>
        <w:t>Для управления миграциями базы данных используется библиотека Alembic. Она интегрируется с SQLAlchemy и позволяет версионировать схему БД аналогично тому, как Git версионирует код. Каждое изменение структуры таблиц фиксируется в файле миграции с операциями upgrade и downgrade, обеспечивая откат при обнаружении ошибки. Для финансового приложения возможность отката критична: некорректное изменение типа столбца (например, с NUMERIC(18,2) на FLOAT) способно привести к потере точности во всех хранимых расчётах.</w:t>
      </w:r>
    </w:p>
    <w:p>
      <w:pPr/>
      <w:r>
        <w:rPr>
          <w:rFonts w:ascii="Times New Roman" w:hAnsi="Times New Roman" w:cs="Times New Roman" w:eastAsia="Times New Roman"/>
          <w:b w:val="0"/>
          <w:sz w:val="28"/>
        </w:rPr>
        <w:t>Клиентская часть приложения разрабатывается на библиотеке React версии 19 с применением языка TypeScript. Г. Буч определяет компонент как модульную единицу с чётко описанным интерфейсом и скрытой реализацией [5]. React воплощает эту концепцию на уровне пользовательского интерфейса: форма ввода параметров, таблица результатов и график роста вклада оформляются как изолированные компоненты с собственным состоянием и набором свойств — так называемых props. Механизм хуков useState и useReducer управляет локальным состоянием без обращения к внешним библиотекам. Компонент пересчитывает отображение при изменении входных значений, обеспечивая мгновенную обратную связь для оператора. C. Rippon показывает, что TypeScript добавляет статическую типизацию к JavaScript и обнаруживает ошибки несоответствия типов до запуска программы [35]. Для финансового калькулятора типизация критична. Передача строки туда, где ожидается число, способна привести к некорректному отображению результата; TypeScript предотвращает подобные ситуации на этапе компиляции.</w:t>
      </w:r>
    </w:p>
    <w:p>
      <w:pPr/>
      <w:r>
        <w:rPr>
          <w:rFonts w:ascii="Times New Roman" w:hAnsi="Times New Roman" w:cs="Times New Roman" w:eastAsia="Times New Roman"/>
          <w:b w:val="0"/>
          <w:sz w:val="28"/>
        </w:rPr>
        <w:t>Экосистема React включает библиотеку визуализации Recharts, построенную на базе D3.js и адаптированную для декларативного стиля React. Recharts предоставляет готовые компоненты LineChart, BarChart и AreaChart, пригодные для построения интерактивного графика роста вклада (FR-3). Библиотека компонентов shadcn/ui предоставляет набор доступных и стилизованных элементов интерфейса: формы ввода с валидацией, таблицы с сортировкой и пагинацией, модальные окна и уведомления. Для HTTP-взаимодействия с backend используется библиотека Axios, поддерживающая перехватчики (interceptors) для автоматического добавления JWT-токена к каждому запросу. Управление серверным состоянием возложено на TanStack Query (React Query), которая кеширует ответы API, автоматически обновляет данные при фокусировке окна и управляет состояниями загрузки и ошибки.</w:t>
      </w:r>
    </w:p>
    <w:p>
      <w:pPr/>
      <w:r>
        <w:rPr>
          <w:rFonts w:ascii="Times New Roman" w:hAnsi="Times New Roman" w:cs="Times New Roman" w:eastAsia="Times New Roman"/>
          <w:b w:val="0"/>
          <w:sz w:val="28"/>
        </w:rPr>
        <w:t>Среди альтернатив рассмотрены Vue.js и Angular. Vue.js компактен и прост в освоении, однако его экосистема типизированных компонентов уступает React по числу поддерживаемых UI-библиотек. Angular предлагает встроенную маршрутизацию и механизм внедрения зависимостей, но его архитектура избыточна для одностраничного приложения (Single Page Application, SPA) с тремя экранами. По оценкам bundlephobia.com, размер минимального бандла Angular достигает 130 КБ, тогда как аналогичное React-приложение занимает около 42 КБ [35]. Разница трёхкратная. React не навязывает архитектурных решений, но предоставляет достаточную инфраструктуру для построения SPA нужного масштаба.</w:t>
      </w:r>
    </w:p>
    <w:p>
      <w:pPr/>
      <w:r>
        <w:rPr>
          <w:rFonts w:ascii="Times New Roman" w:hAnsi="Times New Roman" w:cs="Times New Roman" w:eastAsia="Times New Roman"/>
          <w:b w:val="0"/>
          <w:sz w:val="28"/>
        </w:rPr>
        <w:t>Для хранения клиентских карточек, параметров вкладов и истории расчётов (FR-5, FR-6) выбрана реляционная СУБД PostgreSQL версии 16. Решение опирается на три аргумента. Первый затрагивает точность хранения: тип NUMERIC с произвольной точностью (precision, scale) рекомендован для денежных сумм [28]. Документация PostgreSQL 16 указывает, что вычисления с типом NUMERIC выполняются точно, без ошибок округления, свойственных типам с плавающей запятой float и double precision. Для приложения, где погрешность расчёта ограничена 0,01 % (NFR-1), точная арифметика на уровне СУБД устраняет риск расхождений между промежуточными результатами в Python и значениями, извлечёнными из базы.</w:t>
      </w:r>
    </w:p>
    <w:p>
      <w:pPr/>
      <w:r>
        <w:rPr>
          <w:rFonts w:ascii="Times New Roman" w:hAnsi="Times New Roman" w:cs="Times New Roman" w:eastAsia="Times New Roman"/>
          <w:b w:val="0"/>
          <w:sz w:val="28"/>
        </w:rPr>
        <w:t>Второй аргумент касается транзакционной целостности. PostgreSQL полностью реализует свойства ACID: атомарность, согласованность, изоляцию и устойчивость. H. Dombrovskaya и соавторы подчёркивают, что эти гарантии защищают от частичного обновления связанных записей при сбое [28]. Когда оператор сохраняет расчёт с одновременным созданием записи о начислении процентов, обе операции либо фиксируются целиком, либо откатываются. Промежуточное состояние исключено. Третий аргумент связан с поддержкой типа jsonb. Параметры расчёта с переменной ставкой содержат массив пар «месяц — ставка» произвольной длины, и хранение такого массива в столбце jsonb с индексируемым доступом избавляет от создания вспомогательной таблицы.</w:t>
      </w:r>
    </w:p>
    <w:p>
      <w:pPr/>
      <w:r>
        <w:rPr>
          <w:rFonts w:ascii="Times New Roman" w:hAnsi="Times New Roman" w:cs="Times New Roman" w:eastAsia="Times New Roman"/>
          <w:b w:val="0"/>
          <w:sz w:val="28"/>
        </w:rPr>
        <w:t>MySQL и MariaDB поддерживают тип DECIMAL, однако PostgreSQL NUMERIC допускает до 131 072 цифр до запятой и до 16 383 после неё [28], тогда как MySQL ограничивает точность 65 значащими цифрами. Для стандартных депозитных расчётов разница несущественна. Однако при моделировании длительных периодов с ежедневной капитализацией промежуточные значения могут потребовать повышенной разрядности. MongoDB реализует документоориентированную модель хранения и не обеспечивает ACID-транзакций по умолчанию при операциях над несколькими коллекциями. Атомарное обновление записи о вкладе и связанного расчёта процентов в MongoDB требует явного указания сессии, тогда как PostgreSQL выполняет обе операции в рамках единой SQL-транзакции без дополнительного кода.</w:t>
      </w:r>
    </w:p>
    <w:p>
      <w:pPr/>
      <w:r>
        <w:rPr>
          <w:rFonts w:ascii="Times New Roman" w:hAnsi="Times New Roman" w:cs="Times New Roman" w:eastAsia="Times New Roman"/>
          <w:b w:val="0"/>
          <w:sz w:val="28"/>
        </w:rPr>
        <w:t>Контейнеризация приложения выполняется средствами Docker и Docker Compose. S. Kane описывает Docker как платформу, упаковывающую приложение вместе с зависимостями в изолированный контейнер, воспроизводимый на любой машине с установленным Docker Engine [31]. Контейнер снимает проблему среды. Один и тот же образ запускается на серверах под управлением Linux, на рабочих станциях с Windows и на компьютерах с macOS без модификации кода, что закрывает требование NFR-5. Docker Compose объединяет три сервиса — бэкенд FastAPI, СУБД PostgreSQL и обратный прокси Nginx — в единый стек, запускаемый одной командой. Время развёртывания на новом сервере сокращается с нескольких часов ручной настройки до трёх-пяти минут.</w:t>
      </w:r>
    </w:p>
    <w:p>
      <w:pPr/>
      <w:r>
        <w:rPr>
          <w:rFonts w:ascii="Times New Roman" w:hAnsi="Times New Roman" w:cs="Times New Roman" w:eastAsia="Times New Roman"/>
          <w:b w:val="0"/>
          <w:sz w:val="28"/>
        </w:rPr>
        <w:t>Многослойная структура Docker-образа позволяет оптимизировать размер контейнера. Базовый слой python:3.12-slim занимает около 120 МБ, зависимости проекта добавляют ещё 80–100 МБ, а исходный код приложения — менее 5 МБ. Итоговый образ бэкенда не превышает 250 МБ, что обеспечивает быструю передачу по сети при развёртывании на удалённом сервере.</w:t>
      </w:r>
    </w:p>
    <w:p>
      <w:pPr/>
      <w:r>
        <w:rPr>
          <w:rFonts w:ascii="Times New Roman" w:hAnsi="Times New Roman" w:cs="Times New Roman" w:eastAsia="Times New Roman"/>
          <w:b w:val="0"/>
          <w:sz w:val="28"/>
        </w:rPr>
        <w:t>Контроль версий осуществляется системой Git. Каждое изменение фиксируется с комментарием, описывающим суть правки. Это обеспечивает прослеживаемость и возможность отката к предыдущей версии. Автоматизированное тестирование возложено на фреймворк Pytest, поддерживающий параметризованные тесты и фикстуры. Проверка вычислительного модуля сводится к сопоставлению результата функции с эталонным значением, рассчитанным вручную по формулам из параграфа 1.2 настоящей работы. Средой разработки служит Visual Studio Code с расширениями для Python, TypeScript и Docker. Перечисленные инструменты образуют замкнутый цикл разработки: от написания кода до его тестирования, версионирования и развёртывания.</w:t>
      </w:r>
    </w:p>
    <w:p>
      <w:pPr/>
      <w:r>
        <w:rPr>
          <w:rFonts w:ascii="Times New Roman" w:hAnsi="Times New Roman" w:cs="Times New Roman" w:eastAsia="Times New Roman"/>
          <w:b w:val="0"/>
          <w:sz w:val="28"/>
        </w:rPr>
        <w:t>Результаты сопоставления технологий обобщены в таблицах 2.2.1, 2.2.2 и 2.2.3. По каждому компоненту стека оценены три-четыре альтернативы по критериям, вытекающим из требований параграфа 2.1.</w:t>
      </w:r>
    </w:p>
    <w:p>
      <w:pPr>
        <w:spacing w:before="120" w:after="120"/>
        <w:ind w:firstLine="0"/>
        <w:jc w:val="center"/>
      </w:pPr>
      <w:r>
        <w:rPr>
          <w:rFonts w:ascii="Times New Roman" w:hAnsi="Times New Roman" w:cs="Times New Roman" w:eastAsia="Times New Roman"/>
          <w:b/>
          <w:sz w:val="24"/>
        </w:rPr>
        <w:t>Таблица 2.2.1 — Сравнение серверных фреймворков</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40" w:after="40" w:line="320" w:lineRule="exact"/>
              <w:ind w:firstLine="0"/>
            </w:pPr>
            <w:r/>
            <w:r>
              <w:rPr>
                <w:rFonts w:ascii="Times New Roman" w:hAnsi="Times New Roman" w:cs="Times New Roman" w:eastAsia="Times New Roman"/>
                <w:b/>
                <w:sz w:val="24"/>
              </w:rPr>
              <w:t>Критерий</w:t>
            </w:r>
          </w:p>
        </w:tc>
        <w:tc>
          <w:tcPr>
            <w:tcW w:type="dxa" w:w="1938"/>
          </w:tcPr>
          <w:p>
            <w:pPr>
              <w:spacing w:before="40" w:after="40" w:line="320" w:lineRule="exact"/>
              <w:ind w:firstLine="0"/>
            </w:pPr>
            <w:r/>
            <w:r>
              <w:rPr>
                <w:rFonts w:ascii="Times New Roman" w:hAnsi="Times New Roman" w:cs="Times New Roman" w:eastAsia="Times New Roman"/>
                <w:b/>
                <w:sz w:val="24"/>
              </w:rPr>
              <w:t>FastAPI</w:t>
            </w:r>
          </w:p>
        </w:tc>
        <w:tc>
          <w:tcPr>
            <w:tcW w:type="dxa" w:w="1938"/>
          </w:tcPr>
          <w:p>
            <w:pPr>
              <w:spacing w:before="40" w:after="40" w:line="320" w:lineRule="exact"/>
              <w:ind w:firstLine="0"/>
            </w:pPr>
            <w:r/>
            <w:r>
              <w:rPr>
                <w:rFonts w:ascii="Times New Roman" w:hAnsi="Times New Roman" w:cs="Times New Roman" w:eastAsia="Times New Roman"/>
                <w:b/>
                <w:sz w:val="24"/>
              </w:rPr>
              <w:t>Django</w:t>
            </w:r>
          </w:p>
        </w:tc>
        <w:tc>
          <w:tcPr>
            <w:tcW w:type="dxa" w:w="1938"/>
          </w:tcPr>
          <w:p>
            <w:pPr>
              <w:spacing w:before="40" w:after="40" w:line="320" w:lineRule="exact"/>
              <w:ind w:firstLine="0"/>
            </w:pPr>
            <w:r/>
            <w:r>
              <w:rPr>
                <w:rFonts w:ascii="Times New Roman" w:hAnsi="Times New Roman" w:cs="Times New Roman" w:eastAsia="Times New Roman"/>
                <w:b/>
                <w:sz w:val="24"/>
              </w:rPr>
              <w:t>Flask</w:t>
            </w:r>
          </w:p>
        </w:tc>
        <w:tc>
          <w:tcPr>
            <w:tcW w:type="dxa" w:w="1938"/>
          </w:tcPr>
          <w:p>
            <w:pPr>
              <w:spacing w:before="40" w:after="40" w:line="320" w:lineRule="exact"/>
              <w:ind w:firstLine="0"/>
            </w:pPr>
            <w:r/>
            <w:r>
              <w:rPr>
                <w:rFonts w:ascii="Times New Roman" w:hAnsi="Times New Roman" w:cs="Times New Roman" w:eastAsia="Times New Roman"/>
                <w:b/>
                <w:sz w:val="24"/>
              </w:rPr>
              <w:t>Spring Boot</w:t>
            </w:r>
          </w:p>
        </w:tc>
      </w:tr>
      <w:tr>
        <w:tc>
          <w:tcPr>
            <w:tcW w:type="dxa" w:w="1938"/>
          </w:tcPr>
          <w:p>
            <w:pPr>
              <w:spacing w:before="40" w:after="40" w:line="320" w:lineRule="exact"/>
              <w:ind w:firstLine="0"/>
            </w:pPr>
            <w:r/>
            <w:r>
              <w:rPr>
                <w:rFonts w:ascii="Times New Roman" w:hAnsi="Times New Roman" w:cs="Times New Roman" w:eastAsia="Times New Roman"/>
                <w:b w:val="0"/>
                <w:sz w:val="24"/>
              </w:rPr>
              <w:t>Decimal-арифметика</w:t>
            </w:r>
          </w:p>
        </w:tc>
        <w:tc>
          <w:tcPr>
            <w:tcW w:type="dxa" w:w="1938"/>
          </w:tcPr>
          <w:p>
            <w:pPr>
              <w:spacing w:before="40" w:after="40" w:line="320" w:lineRule="exact"/>
              <w:ind w:firstLine="0"/>
            </w:pPr>
            <w:r/>
            <w:r>
              <w:rPr>
                <w:rFonts w:ascii="Times New Roman" w:hAnsi="Times New Roman" w:cs="Times New Roman" w:eastAsia="Times New Roman"/>
                <w:b w:val="0"/>
                <w:sz w:val="24"/>
              </w:rPr>
              <w:t>Да (stdlib + Pydantic)</w:t>
            </w:r>
          </w:p>
        </w:tc>
        <w:tc>
          <w:tcPr>
            <w:tcW w:type="dxa" w:w="1938"/>
          </w:tcPr>
          <w:p>
            <w:pPr>
              <w:spacing w:before="40" w:after="40" w:line="320" w:lineRule="exact"/>
              <w:ind w:firstLine="0"/>
            </w:pPr>
            <w:r/>
            <w:r>
              <w:rPr>
                <w:rFonts w:ascii="Times New Roman" w:hAnsi="Times New Roman" w:cs="Times New Roman" w:eastAsia="Times New Roman"/>
                <w:b w:val="0"/>
                <w:sz w:val="24"/>
              </w:rPr>
              <w:t>Да (stdlib)</w:t>
            </w:r>
          </w:p>
        </w:tc>
        <w:tc>
          <w:tcPr>
            <w:tcW w:type="dxa" w:w="1938"/>
          </w:tcPr>
          <w:p>
            <w:pPr>
              <w:spacing w:before="40" w:after="40" w:line="320" w:lineRule="exact"/>
              <w:ind w:firstLine="0"/>
            </w:pPr>
            <w:r/>
            <w:r>
              <w:rPr>
                <w:rFonts w:ascii="Times New Roman" w:hAnsi="Times New Roman" w:cs="Times New Roman" w:eastAsia="Times New Roman"/>
                <w:b w:val="0"/>
                <w:sz w:val="24"/>
              </w:rPr>
              <w:t>Да (stdlib)</w:t>
            </w:r>
          </w:p>
        </w:tc>
        <w:tc>
          <w:tcPr>
            <w:tcW w:type="dxa" w:w="1938"/>
          </w:tcPr>
          <w:p>
            <w:pPr>
              <w:spacing w:before="40" w:after="40" w:line="320" w:lineRule="exact"/>
              <w:ind w:firstLine="0"/>
            </w:pPr>
            <w:r/>
            <w:r>
              <w:rPr>
                <w:rFonts w:ascii="Times New Roman" w:hAnsi="Times New Roman" w:cs="Times New Roman" w:eastAsia="Times New Roman"/>
                <w:b w:val="0"/>
                <w:sz w:val="24"/>
              </w:rPr>
              <w:t>Да (BigDecimal)</w:t>
            </w:r>
          </w:p>
        </w:tc>
      </w:tr>
      <w:tr>
        <w:tc>
          <w:tcPr>
            <w:tcW w:type="dxa" w:w="1938"/>
          </w:tcPr>
          <w:p>
            <w:pPr>
              <w:spacing w:before="40" w:after="40" w:line="320" w:lineRule="exact"/>
              <w:ind w:firstLine="0"/>
            </w:pPr>
            <w:r/>
            <w:r>
              <w:rPr>
                <w:rFonts w:ascii="Times New Roman" w:hAnsi="Times New Roman" w:cs="Times New Roman" w:eastAsia="Times New Roman"/>
                <w:b w:val="0"/>
                <w:sz w:val="24"/>
              </w:rPr>
              <w:t>Автогенерация OpenAPI</w:t>
            </w:r>
          </w:p>
        </w:tc>
        <w:tc>
          <w:tcPr>
            <w:tcW w:type="dxa" w:w="1938"/>
          </w:tcPr>
          <w:p>
            <w:pPr>
              <w:spacing w:before="40" w:after="40" w:line="320" w:lineRule="exact"/>
              <w:ind w:firstLine="0"/>
            </w:pPr>
            <w:r/>
            <w:r>
              <w:rPr>
                <w:rFonts w:ascii="Times New Roman" w:hAnsi="Times New Roman" w:cs="Times New Roman" w:eastAsia="Times New Roman"/>
                <w:b w:val="0"/>
                <w:sz w:val="24"/>
              </w:rPr>
              <w:t>Встроена</w:t>
            </w:r>
          </w:p>
        </w:tc>
        <w:tc>
          <w:tcPr>
            <w:tcW w:type="dxa" w:w="1938"/>
          </w:tcPr>
          <w:p>
            <w:pPr>
              <w:spacing w:before="40" w:after="40" w:line="320" w:lineRule="exact"/>
              <w:ind w:firstLine="0"/>
            </w:pPr>
            <w:r/>
            <w:r>
              <w:rPr>
                <w:rFonts w:ascii="Times New Roman" w:hAnsi="Times New Roman" w:cs="Times New Roman" w:eastAsia="Times New Roman"/>
                <w:b w:val="0"/>
                <w:sz w:val="24"/>
              </w:rPr>
              <w:t>Через drf-yasg</w:t>
            </w:r>
          </w:p>
        </w:tc>
        <w:tc>
          <w:tcPr>
            <w:tcW w:type="dxa" w:w="1938"/>
          </w:tcPr>
          <w:p>
            <w:pPr>
              <w:spacing w:before="40" w:after="40" w:line="320" w:lineRule="exact"/>
              <w:ind w:firstLine="0"/>
            </w:pPr>
            <w:r/>
            <w:r>
              <w:rPr>
                <w:rFonts w:ascii="Times New Roman" w:hAnsi="Times New Roman" w:cs="Times New Roman" w:eastAsia="Times New Roman"/>
                <w:b w:val="0"/>
                <w:sz w:val="24"/>
              </w:rPr>
              <w:t>Через flask-apispec</w:t>
            </w:r>
          </w:p>
        </w:tc>
        <w:tc>
          <w:tcPr>
            <w:tcW w:type="dxa" w:w="1938"/>
          </w:tcPr>
          <w:p>
            <w:pPr>
              <w:spacing w:before="40" w:after="40" w:line="320" w:lineRule="exact"/>
              <w:ind w:firstLine="0"/>
            </w:pPr>
            <w:r/>
            <w:r>
              <w:rPr>
                <w:rFonts w:ascii="Times New Roman" w:hAnsi="Times New Roman" w:cs="Times New Roman" w:eastAsia="Times New Roman"/>
                <w:b w:val="0"/>
                <w:sz w:val="24"/>
              </w:rPr>
              <w:t>Через springdoc</w:t>
            </w:r>
          </w:p>
        </w:tc>
      </w:tr>
      <w:tr>
        <w:tc>
          <w:tcPr>
            <w:tcW w:type="dxa" w:w="1938"/>
          </w:tcPr>
          <w:p>
            <w:pPr>
              <w:spacing w:before="40" w:after="40" w:line="320" w:lineRule="exact"/>
              <w:ind w:firstLine="0"/>
            </w:pPr>
            <w:r/>
            <w:r>
              <w:rPr>
                <w:rFonts w:ascii="Times New Roman" w:hAnsi="Times New Roman" w:cs="Times New Roman" w:eastAsia="Times New Roman"/>
                <w:b w:val="0"/>
                <w:sz w:val="24"/>
              </w:rPr>
              <w:t>Асинхронность</w:t>
            </w:r>
          </w:p>
        </w:tc>
        <w:tc>
          <w:tcPr>
            <w:tcW w:type="dxa" w:w="1938"/>
          </w:tcPr>
          <w:p>
            <w:pPr>
              <w:spacing w:before="40" w:after="40" w:line="320" w:lineRule="exact"/>
              <w:ind w:firstLine="0"/>
            </w:pPr>
            <w:r/>
            <w:r>
              <w:rPr>
                <w:rFonts w:ascii="Times New Roman" w:hAnsi="Times New Roman" w:cs="Times New Roman" w:eastAsia="Times New Roman"/>
                <w:b w:val="0"/>
                <w:sz w:val="24"/>
              </w:rPr>
              <w:t>Нативная (ASGI)</w:t>
            </w:r>
          </w:p>
        </w:tc>
        <w:tc>
          <w:tcPr>
            <w:tcW w:type="dxa" w:w="1938"/>
          </w:tcPr>
          <w:p>
            <w:pPr>
              <w:spacing w:before="40" w:after="40" w:line="320" w:lineRule="exact"/>
              <w:ind w:firstLine="0"/>
            </w:pPr>
            <w:r/>
            <w:r>
              <w:rPr>
                <w:rFonts w:ascii="Times New Roman" w:hAnsi="Times New Roman" w:cs="Times New Roman" w:eastAsia="Times New Roman"/>
                <w:b w:val="0"/>
                <w:sz w:val="24"/>
              </w:rPr>
              <w:t>Частичная (с 4.1)</w:t>
            </w:r>
          </w:p>
        </w:tc>
        <w:tc>
          <w:tcPr>
            <w:tcW w:type="dxa" w:w="1938"/>
          </w:tcPr>
          <w:p>
            <w:pPr>
              <w:spacing w:before="40" w:after="40" w:line="320" w:lineRule="exact"/>
              <w:ind w:firstLine="0"/>
            </w:pPr>
            <w:r/>
            <w:r>
              <w:rPr>
                <w:rFonts w:ascii="Times New Roman" w:hAnsi="Times New Roman" w:cs="Times New Roman" w:eastAsia="Times New Roman"/>
                <w:b w:val="0"/>
                <w:sz w:val="24"/>
              </w:rPr>
              <w:t>Через gevent</w:t>
            </w:r>
          </w:p>
        </w:tc>
        <w:tc>
          <w:tcPr>
            <w:tcW w:type="dxa" w:w="1938"/>
          </w:tcPr>
          <w:p>
            <w:pPr>
              <w:spacing w:before="40" w:after="40" w:line="320" w:lineRule="exact"/>
              <w:ind w:firstLine="0"/>
            </w:pPr>
            <w:r/>
            <w:r>
              <w:rPr>
                <w:rFonts w:ascii="Times New Roman" w:hAnsi="Times New Roman" w:cs="Times New Roman" w:eastAsia="Times New Roman"/>
                <w:b w:val="0"/>
                <w:sz w:val="24"/>
              </w:rPr>
              <w:t>Нативная (WebFlux)</w:t>
            </w:r>
          </w:p>
        </w:tc>
      </w:tr>
      <w:tr>
        <w:tc>
          <w:tcPr>
            <w:tcW w:type="dxa" w:w="1938"/>
          </w:tcPr>
          <w:p>
            <w:pPr>
              <w:spacing w:before="40" w:after="40" w:line="320" w:lineRule="exact"/>
              <w:ind w:firstLine="0"/>
            </w:pPr>
            <w:r/>
            <w:r>
              <w:rPr>
                <w:rFonts w:ascii="Times New Roman" w:hAnsi="Times New Roman" w:cs="Times New Roman" w:eastAsia="Times New Roman"/>
                <w:b w:val="0"/>
                <w:sz w:val="24"/>
              </w:rPr>
              <w:t>Производительность (req/s)</w:t>
            </w:r>
          </w:p>
        </w:tc>
        <w:tc>
          <w:tcPr>
            <w:tcW w:type="dxa" w:w="1938"/>
          </w:tcPr>
          <w:p>
            <w:pPr>
              <w:spacing w:before="40" w:after="40" w:line="320" w:lineRule="exact"/>
              <w:ind w:firstLine="0"/>
            </w:pPr>
            <w:r/>
            <w:r>
              <w:rPr>
                <w:rFonts w:ascii="Times New Roman" w:hAnsi="Times New Roman" w:cs="Times New Roman" w:eastAsia="Times New Roman"/>
                <w:b w:val="0"/>
                <w:sz w:val="24"/>
              </w:rPr>
              <w:t>~20 000</w:t>
            </w:r>
          </w:p>
        </w:tc>
        <w:tc>
          <w:tcPr>
            <w:tcW w:type="dxa" w:w="1938"/>
          </w:tcPr>
          <w:p>
            <w:pPr>
              <w:spacing w:before="40" w:after="40" w:line="320" w:lineRule="exact"/>
              <w:ind w:firstLine="0"/>
            </w:pPr>
            <w:r/>
            <w:r>
              <w:rPr>
                <w:rFonts w:ascii="Times New Roman" w:hAnsi="Times New Roman" w:cs="Times New Roman" w:eastAsia="Times New Roman"/>
                <w:b w:val="0"/>
                <w:sz w:val="24"/>
              </w:rPr>
              <w:t>~4 000</w:t>
            </w:r>
          </w:p>
        </w:tc>
        <w:tc>
          <w:tcPr>
            <w:tcW w:type="dxa" w:w="1938"/>
          </w:tcPr>
          <w:p>
            <w:pPr>
              <w:spacing w:before="40" w:after="40" w:line="320" w:lineRule="exact"/>
              <w:ind w:firstLine="0"/>
            </w:pPr>
            <w:r/>
            <w:r>
              <w:rPr>
                <w:rFonts w:ascii="Times New Roman" w:hAnsi="Times New Roman" w:cs="Times New Roman" w:eastAsia="Times New Roman"/>
                <w:b w:val="0"/>
                <w:sz w:val="24"/>
              </w:rPr>
              <w:t>~6 000</w:t>
            </w:r>
          </w:p>
        </w:tc>
        <w:tc>
          <w:tcPr>
            <w:tcW w:type="dxa" w:w="1938"/>
          </w:tcPr>
          <w:p>
            <w:pPr>
              <w:spacing w:before="40" w:after="40" w:line="320" w:lineRule="exact"/>
              <w:ind w:firstLine="0"/>
            </w:pPr>
            <w:r/>
            <w:r>
              <w:rPr>
                <w:rFonts w:ascii="Times New Roman" w:hAnsi="Times New Roman" w:cs="Times New Roman" w:eastAsia="Times New Roman"/>
                <w:b w:val="0"/>
                <w:sz w:val="24"/>
              </w:rPr>
              <w:t>~25 000</w:t>
            </w:r>
          </w:p>
        </w:tc>
      </w:tr>
      <w:tr>
        <w:tc>
          <w:tcPr>
            <w:tcW w:type="dxa" w:w="1938"/>
          </w:tcPr>
          <w:p>
            <w:pPr>
              <w:spacing w:before="40" w:after="40" w:line="320" w:lineRule="exact"/>
              <w:ind w:firstLine="0"/>
            </w:pPr>
            <w:r/>
            <w:r>
              <w:rPr>
                <w:rFonts w:ascii="Times New Roman" w:hAnsi="Times New Roman" w:cs="Times New Roman" w:eastAsia="Times New Roman"/>
                <w:b w:val="0"/>
                <w:sz w:val="24"/>
              </w:rPr>
              <w:t>Порог входа для Python-команды</w:t>
            </w:r>
          </w:p>
        </w:tc>
        <w:tc>
          <w:tcPr>
            <w:tcW w:type="dxa" w:w="1938"/>
          </w:tcPr>
          <w:p>
            <w:pPr>
              <w:spacing w:before="40" w:after="40" w:line="320" w:lineRule="exact"/>
              <w:ind w:firstLine="0"/>
            </w:pPr>
            <w:r/>
            <w:r>
              <w:rPr>
                <w:rFonts w:ascii="Times New Roman" w:hAnsi="Times New Roman" w:cs="Times New Roman" w:eastAsia="Times New Roman"/>
                <w:b w:val="0"/>
                <w:sz w:val="24"/>
              </w:rPr>
              <w:t>Низкий</w:t>
            </w:r>
          </w:p>
        </w:tc>
        <w:tc>
          <w:tcPr>
            <w:tcW w:type="dxa" w:w="1938"/>
          </w:tcPr>
          <w:p>
            <w:pPr>
              <w:spacing w:before="40" w:after="40" w:line="320" w:lineRule="exact"/>
              <w:ind w:firstLine="0"/>
            </w:pPr>
            <w:r/>
            <w:r>
              <w:rPr>
                <w:rFonts w:ascii="Times New Roman" w:hAnsi="Times New Roman" w:cs="Times New Roman" w:eastAsia="Times New Roman"/>
                <w:b w:val="0"/>
                <w:sz w:val="24"/>
              </w:rPr>
              <w:t>Средний</w:t>
            </w:r>
          </w:p>
        </w:tc>
        <w:tc>
          <w:tcPr>
            <w:tcW w:type="dxa" w:w="1938"/>
          </w:tcPr>
          <w:p>
            <w:pPr>
              <w:spacing w:before="40" w:after="40" w:line="320" w:lineRule="exact"/>
              <w:ind w:firstLine="0"/>
            </w:pPr>
            <w:r/>
            <w:r>
              <w:rPr>
                <w:rFonts w:ascii="Times New Roman" w:hAnsi="Times New Roman" w:cs="Times New Roman" w:eastAsia="Times New Roman"/>
                <w:b w:val="0"/>
                <w:sz w:val="24"/>
              </w:rPr>
              <w:t>Низкий</w:t>
            </w:r>
          </w:p>
        </w:tc>
        <w:tc>
          <w:tcPr>
            <w:tcW w:type="dxa" w:w="1938"/>
          </w:tcPr>
          <w:p>
            <w:pPr>
              <w:spacing w:before="40" w:after="40" w:line="320" w:lineRule="exact"/>
              <w:ind w:firstLine="0"/>
            </w:pPr>
            <w:r/>
            <w:r>
              <w:rPr>
                <w:rFonts w:ascii="Times New Roman" w:hAnsi="Times New Roman" w:cs="Times New Roman" w:eastAsia="Times New Roman"/>
                <w:b w:val="0"/>
                <w:sz w:val="24"/>
              </w:rPr>
              <w:t>Высокий (JVM)</w:t>
            </w:r>
          </w:p>
        </w:tc>
      </w:tr>
      <w:tr>
        <w:tc>
          <w:tcPr>
            <w:tcW w:type="dxa" w:w="1938"/>
          </w:tcPr>
          <w:p>
            <w:pPr>
              <w:spacing w:before="40" w:after="40" w:line="320" w:lineRule="exact"/>
              <w:ind w:firstLine="0"/>
            </w:pPr>
            <w:r/>
            <w:r>
              <w:rPr>
                <w:rFonts w:ascii="Times New Roman" w:hAnsi="Times New Roman" w:cs="Times New Roman" w:eastAsia="Times New Roman"/>
                <w:b w:val="0"/>
                <w:sz w:val="24"/>
              </w:rPr>
              <w:t>Лицензия</w:t>
            </w:r>
          </w:p>
        </w:tc>
        <w:tc>
          <w:tcPr>
            <w:tcW w:type="dxa" w:w="1938"/>
          </w:tcPr>
          <w:p>
            <w:pPr>
              <w:spacing w:before="40" w:after="40" w:line="320" w:lineRule="exact"/>
              <w:ind w:firstLine="0"/>
            </w:pPr>
            <w:r/>
            <w:r>
              <w:rPr>
                <w:rFonts w:ascii="Times New Roman" w:hAnsi="Times New Roman" w:cs="Times New Roman" w:eastAsia="Times New Roman"/>
                <w:b w:val="0"/>
                <w:sz w:val="24"/>
              </w:rPr>
              <w:t>MIT</w:t>
            </w:r>
          </w:p>
        </w:tc>
        <w:tc>
          <w:tcPr>
            <w:tcW w:type="dxa" w:w="1938"/>
          </w:tcPr>
          <w:p>
            <w:pPr>
              <w:spacing w:before="40" w:after="40" w:line="320" w:lineRule="exact"/>
              <w:ind w:firstLine="0"/>
            </w:pPr>
            <w:r/>
            <w:r>
              <w:rPr>
                <w:rFonts w:ascii="Times New Roman" w:hAnsi="Times New Roman" w:cs="Times New Roman" w:eastAsia="Times New Roman"/>
                <w:b w:val="0"/>
                <w:sz w:val="24"/>
              </w:rPr>
              <w:t>BSD</w:t>
            </w:r>
          </w:p>
        </w:tc>
        <w:tc>
          <w:tcPr>
            <w:tcW w:type="dxa" w:w="1938"/>
          </w:tcPr>
          <w:p>
            <w:pPr>
              <w:spacing w:before="40" w:after="40" w:line="320" w:lineRule="exact"/>
              <w:ind w:firstLine="0"/>
            </w:pPr>
            <w:r/>
            <w:r>
              <w:rPr>
                <w:rFonts w:ascii="Times New Roman" w:hAnsi="Times New Roman" w:cs="Times New Roman" w:eastAsia="Times New Roman"/>
                <w:b w:val="0"/>
                <w:sz w:val="24"/>
              </w:rPr>
              <w:t>BSD</w:t>
            </w:r>
          </w:p>
        </w:tc>
        <w:tc>
          <w:tcPr>
            <w:tcW w:type="dxa" w:w="1938"/>
          </w:tcPr>
          <w:p>
            <w:pPr>
              <w:spacing w:before="40" w:after="40" w:line="320" w:lineRule="exact"/>
              <w:ind w:firstLine="0"/>
            </w:pPr>
            <w:r/>
            <w:r>
              <w:rPr>
                <w:rFonts w:ascii="Times New Roman" w:hAnsi="Times New Roman" w:cs="Times New Roman" w:eastAsia="Times New Roman"/>
                <w:b w:val="0"/>
                <w:sz w:val="24"/>
              </w:rPr>
              <w:t>Apache 2.0</w:t>
            </w:r>
          </w:p>
        </w:tc>
      </w:tr>
    </w:tbl>
    <w:p>
      <w:pPr>
        <w:spacing w:before="120" w:after="120"/>
        <w:ind w:firstLine="0"/>
        <w:jc w:val="center"/>
      </w:pPr>
      <w:r>
        <w:rPr>
          <w:rFonts w:ascii="Times New Roman" w:hAnsi="Times New Roman" w:cs="Times New Roman" w:eastAsia="Times New Roman"/>
          <w:b/>
          <w:sz w:val="24"/>
        </w:rPr>
        <w:t>Таблица 2.2.2 — Сравнение фронтенд-фреймворков</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40" w:after="40" w:line="320" w:lineRule="exact"/>
              <w:ind w:firstLine="0"/>
            </w:pPr>
            <w:r/>
            <w:r>
              <w:rPr>
                <w:rFonts w:ascii="Times New Roman" w:hAnsi="Times New Roman" w:cs="Times New Roman" w:eastAsia="Times New Roman"/>
                <w:b/>
                <w:sz w:val="24"/>
              </w:rPr>
              <w:t>Критерий</w:t>
            </w:r>
          </w:p>
        </w:tc>
        <w:tc>
          <w:tcPr>
            <w:tcW w:type="dxa" w:w="2422"/>
          </w:tcPr>
          <w:p>
            <w:pPr>
              <w:spacing w:before="40" w:after="40" w:line="320" w:lineRule="exact"/>
              <w:ind w:firstLine="0"/>
            </w:pPr>
            <w:r/>
            <w:r>
              <w:rPr>
                <w:rFonts w:ascii="Times New Roman" w:hAnsi="Times New Roman" w:cs="Times New Roman" w:eastAsia="Times New Roman"/>
                <w:b/>
                <w:sz w:val="24"/>
              </w:rPr>
              <w:t>React + TypeScript</w:t>
            </w:r>
          </w:p>
        </w:tc>
        <w:tc>
          <w:tcPr>
            <w:tcW w:type="dxa" w:w="2422"/>
          </w:tcPr>
          <w:p>
            <w:pPr>
              <w:spacing w:before="40" w:after="40" w:line="320" w:lineRule="exact"/>
              <w:ind w:firstLine="0"/>
            </w:pPr>
            <w:r/>
            <w:r>
              <w:rPr>
                <w:rFonts w:ascii="Times New Roman" w:hAnsi="Times New Roman" w:cs="Times New Roman" w:eastAsia="Times New Roman"/>
                <w:b/>
                <w:sz w:val="24"/>
              </w:rPr>
              <w:t>Vue.js + TypeScript</w:t>
            </w:r>
          </w:p>
        </w:tc>
        <w:tc>
          <w:tcPr>
            <w:tcW w:type="dxa" w:w="2422"/>
          </w:tcPr>
          <w:p>
            <w:pPr>
              <w:spacing w:before="40" w:after="40" w:line="320" w:lineRule="exact"/>
              <w:ind w:firstLine="0"/>
            </w:pPr>
            <w:r/>
            <w:r>
              <w:rPr>
                <w:rFonts w:ascii="Times New Roman" w:hAnsi="Times New Roman" w:cs="Times New Roman" w:eastAsia="Times New Roman"/>
                <w:b/>
                <w:sz w:val="24"/>
              </w:rPr>
              <w:t>Angular</w:t>
            </w:r>
          </w:p>
        </w:tc>
      </w:tr>
      <w:tr>
        <w:tc>
          <w:tcPr>
            <w:tcW w:type="dxa" w:w="2422"/>
          </w:tcPr>
          <w:p>
            <w:pPr>
              <w:spacing w:before="40" w:after="40" w:line="320" w:lineRule="exact"/>
              <w:ind w:firstLine="0"/>
            </w:pPr>
            <w:r/>
            <w:r>
              <w:rPr>
                <w:rFonts w:ascii="Times New Roman" w:hAnsi="Times New Roman" w:cs="Times New Roman" w:eastAsia="Times New Roman"/>
                <w:b w:val="0"/>
                <w:sz w:val="24"/>
              </w:rPr>
              <w:t>Компонентный подход</w:t>
            </w:r>
          </w:p>
        </w:tc>
        <w:tc>
          <w:tcPr>
            <w:tcW w:type="dxa" w:w="2422"/>
          </w:tcPr>
          <w:p>
            <w:pPr>
              <w:spacing w:before="40" w:after="40" w:line="320" w:lineRule="exact"/>
              <w:ind w:firstLine="0"/>
            </w:pPr>
            <w:r/>
            <w:r>
              <w:rPr>
                <w:rFonts w:ascii="Times New Roman" w:hAnsi="Times New Roman" w:cs="Times New Roman" w:eastAsia="Times New Roman"/>
                <w:b w:val="0"/>
                <w:sz w:val="24"/>
              </w:rPr>
              <w:t>Да</w:t>
            </w:r>
          </w:p>
        </w:tc>
        <w:tc>
          <w:tcPr>
            <w:tcW w:type="dxa" w:w="2422"/>
          </w:tcPr>
          <w:p>
            <w:pPr>
              <w:spacing w:before="40" w:after="40" w:line="320" w:lineRule="exact"/>
              <w:ind w:firstLine="0"/>
            </w:pPr>
            <w:r/>
            <w:r>
              <w:rPr>
                <w:rFonts w:ascii="Times New Roman" w:hAnsi="Times New Roman" w:cs="Times New Roman" w:eastAsia="Times New Roman"/>
                <w:b w:val="0"/>
                <w:sz w:val="24"/>
              </w:rPr>
              <w:t>Да</w:t>
            </w:r>
          </w:p>
        </w:tc>
        <w:tc>
          <w:tcPr>
            <w:tcW w:type="dxa" w:w="2422"/>
          </w:tcPr>
          <w:p>
            <w:pPr>
              <w:spacing w:before="40" w:after="40" w:line="320" w:lineRule="exact"/>
              <w:ind w:firstLine="0"/>
            </w:pPr>
            <w:r/>
            <w:r>
              <w:rPr>
                <w:rFonts w:ascii="Times New Roman" w:hAnsi="Times New Roman" w:cs="Times New Roman" w:eastAsia="Times New Roman"/>
                <w:b w:val="0"/>
                <w:sz w:val="24"/>
              </w:rPr>
              <w:t>Да</w:t>
            </w:r>
          </w:p>
        </w:tc>
      </w:tr>
      <w:tr>
        <w:tc>
          <w:tcPr>
            <w:tcW w:type="dxa" w:w="2422"/>
          </w:tcPr>
          <w:p>
            <w:pPr>
              <w:spacing w:before="40" w:after="40" w:line="320" w:lineRule="exact"/>
              <w:ind w:firstLine="0"/>
            </w:pPr>
            <w:r/>
            <w:r>
              <w:rPr>
                <w:rFonts w:ascii="Times New Roman" w:hAnsi="Times New Roman" w:cs="Times New Roman" w:eastAsia="Times New Roman"/>
                <w:b w:val="0"/>
                <w:sz w:val="24"/>
              </w:rPr>
              <w:t>Статическая типизация</w:t>
            </w:r>
          </w:p>
        </w:tc>
        <w:tc>
          <w:tcPr>
            <w:tcW w:type="dxa" w:w="2422"/>
          </w:tcPr>
          <w:p>
            <w:pPr>
              <w:spacing w:before="40" w:after="40" w:line="320" w:lineRule="exact"/>
              <w:ind w:firstLine="0"/>
            </w:pPr>
            <w:r/>
            <w:r>
              <w:rPr>
                <w:rFonts w:ascii="Times New Roman" w:hAnsi="Times New Roman" w:cs="Times New Roman" w:eastAsia="Times New Roman"/>
                <w:b w:val="0"/>
                <w:sz w:val="24"/>
              </w:rPr>
              <w:t>TypeScript</w:t>
            </w:r>
          </w:p>
        </w:tc>
        <w:tc>
          <w:tcPr>
            <w:tcW w:type="dxa" w:w="2422"/>
          </w:tcPr>
          <w:p>
            <w:pPr>
              <w:spacing w:before="40" w:after="40" w:line="320" w:lineRule="exact"/>
              <w:ind w:firstLine="0"/>
            </w:pPr>
            <w:r/>
            <w:r>
              <w:rPr>
                <w:rFonts w:ascii="Times New Roman" w:hAnsi="Times New Roman" w:cs="Times New Roman" w:eastAsia="Times New Roman"/>
                <w:b w:val="0"/>
                <w:sz w:val="24"/>
              </w:rPr>
              <w:t>TypeScript (Vue 3)</w:t>
            </w:r>
          </w:p>
        </w:tc>
        <w:tc>
          <w:tcPr>
            <w:tcW w:type="dxa" w:w="2422"/>
          </w:tcPr>
          <w:p>
            <w:pPr>
              <w:spacing w:before="40" w:after="40" w:line="320" w:lineRule="exact"/>
              <w:ind w:firstLine="0"/>
            </w:pPr>
            <w:r/>
            <w:r>
              <w:rPr>
                <w:rFonts w:ascii="Times New Roman" w:hAnsi="Times New Roman" w:cs="Times New Roman" w:eastAsia="Times New Roman"/>
                <w:b w:val="0"/>
                <w:sz w:val="24"/>
              </w:rPr>
              <w:t>TypeScript (встроен)</w:t>
            </w:r>
          </w:p>
        </w:tc>
      </w:tr>
      <w:tr>
        <w:tc>
          <w:tcPr>
            <w:tcW w:type="dxa" w:w="2422"/>
          </w:tcPr>
          <w:p>
            <w:pPr>
              <w:spacing w:before="40" w:after="40" w:line="320" w:lineRule="exact"/>
              <w:ind w:firstLine="0"/>
            </w:pPr>
            <w:r/>
            <w:r>
              <w:rPr>
                <w:rFonts w:ascii="Times New Roman" w:hAnsi="Times New Roman" w:cs="Times New Roman" w:eastAsia="Times New Roman"/>
                <w:b w:val="0"/>
                <w:sz w:val="24"/>
              </w:rPr>
              <w:t>Экосистема графиков</w:t>
            </w:r>
          </w:p>
        </w:tc>
        <w:tc>
          <w:tcPr>
            <w:tcW w:type="dxa" w:w="2422"/>
          </w:tcPr>
          <w:p>
            <w:pPr>
              <w:spacing w:before="40" w:after="40" w:line="320" w:lineRule="exact"/>
              <w:ind w:firstLine="0"/>
            </w:pPr>
            <w:r/>
            <w:r>
              <w:rPr>
                <w:rFonts w:ascii="Times New Roman" w:hAnsi="Times New Roman" w:cs="Times New Roman" w:eastAsia="Times New Roman"/>
                <w:b w:val="0"/>
                <w:sz w:val="24"/>
              </w:rPr>
              <w:t>Recharts, Chart.js, D3</w:t>
            </w:r>
          </w:p>
        </w:tc>
        <w:tc>
          <w:tcPr>
            <w:tcW w:type="dxa" w:w="2422"/>
          </w:tcPr>
          <w:p>
            <w:pPr>
              <w:spacing w:before="40" w:after="40" w:line="320" w:lineRule="exact"/>
              <w:ind w:firstLine="0"/>
            </w:pPr>
            <w:r/>
            <w:r>
              <w:rPr>
                <w:rFonts w:ascii="Times New Roman" w:hAnsi="Times New Roman" w:cs="Times New Roman" w:eastAsia="Times New Roman"/>
                <w:b w:val="0"/>
                <w:sz w:val="24"/>
              </w:rPr>
              <w:t>ECharts, Chart.js</w:t>
            </w:r>
          </w:p>
        </w:tc>
        <w:tc>
          <w:tcPr>
            <w:tcW w:type="dxa" w:w="2422"/>
          </w:tcPr>
          <w:p>
            <w:pPr>
              <w:spacing w:before="40" w:after="40" w:line="320" w:lineRule="exact"/>
              <w:ind w:firstLine="0"/>
            </w:pPr>
            <w:r/>
            <w:r>
              <w:rPr>
                <w:rFonts w:ascii="Times New Roman" w:hAnsi="Times New Roman" w:cs="Times New Roman" w:eastAsia="Times New Roman"/>
                <w:b w:val="0"/>
                <w:sz w:val="24"/>
              </w:rPr>
              <w:t>ngx-charts, D3</w:t>
            </w:r>
          </w:p>
        </w:tc>
      </w:tr>
      <w:tr>
        <w:tc>
          <w:tcPr>
            <w:tcW w:type="dxa" w:w="2422"/>
          </w:tcPr>
          <w:p>
            <w:pPr>
              <w:spacing w:before="40" w:after="40" w:line="320" w:lineRule="exact"/>
              <w:ind w:firstLine="0"/>
            </w:pPr>
            <w:r/>
            <w:r>
              <w:rPr>
                <w:rFonts w:ascii="Times New Roman" w:hAnsi="Times New Roman" w:cs="Times New Roman" w:eastAsia="Times New Roman"/>
                <w:b w:val="0"/>
                <w:sz w:val="24"/>
              </w:rPr>
              <w:t>Размер бандла (минимальное приложение)</w:t>
            </w:r>
          </w:p>
        </w:tc>
        <w:tc>
          <w:tcPr>
            <w:tcW w:type="dxa" w:w="2422"/>
          </w:tcPr>
          <w:p>
            <w:pPr>
              <w:spacing w:before="40" w:after="40" w:line="320" w:lineRule="exact"/>
              <w:ind w:firstLine="0"/>
            </w:pPr>
            <w:r/>
            <w:r>
              <w:rPr>
                <w:rFonts w:ascii="Times New Roman" w:hAnsi="Times New Roman" w:cs="Times New Roman" w:eastAsia="Times New Roman"/>
                <w:b w:val="0"/>
                <w:sz w:val="24"/>
              </w:rPr>
              <w:t>~42 КБ</w:t>
            </w:r>
          </w:p>
        </w:tc>
        <w:tc>
          <w:tcPr>
            <w:tcW w:type="dxa" w:w="2422"/>
          </w:tcPr>
          <w:p>
            <w:pPr>
              <w:spacing w:before="40" w:after="40" w:line="320" w:lineRule="exact"/>
              <w:ind w:firstLine="0"/>
            </w:pPr>
            <w:r/>
            <w:r>
              <w:rPr>
                <w:rFonts w:ascii="Times New Roman" w:hAnsi="Times New Roman" w:cs="Times New Roman" w:eastAsia="Times New Roman"/>
                <w:b w:val="0"/>
                <w:sz w:val="24"/>
              </w:rPr>
              <w:t>~33 КБ</w:t>
            </w:r>
          </w:p>
        </w:tc>
        <w:tc>
          <w:tcPr>
            <w:tcW w:type="dxa" w:w="2422"/>
          </w:tcPr>
          <w:p>
            <w:pPr>
              <w:spacing w:before="40" w:after="40" w:line="320" w:lineRule="exact"/>
              <w:ind w:firstLine="0"/>
            </w:pPr>
            <w:r/>
            <w:r>
              <w:rPr>
                <w:rFonts w:ascii="Times New Roman" w:hAnsi="Times New Roman" w:cs="Times New Roman" w:eastAsia="Times New Roman"/>
                <w:b w:val="0"/>
                <w:sz w:val="24"/>
              </w:rPr>
              <w:t>~130 КБ</w:t>
            </w:r>
          </w:p>
        </w:tc>
      </w:tr>
      <w:tr>
        <w:tc>
          <w:tcPr>
            <w:tcW w:type="dxa" w:w="2422"/>
          </w:tcPr>
          <w:p>
            <w:pPr>
              <w:spacing w:before="40" w:after="40" w:line="320" w:lineRule="exact"/>
              <w:ind w:firstLine="0"/>
            </w:pPr>
            <w:r/>
            <w:r>
              <w:rPr>
                <w:rFonts w:ascii="Times New Roman" w:hAnsi="Times New Roman" w:cs="Times New Roman" w:eastAsia="Times New Roman"/>
                <w:b w:val="0"/>
                <w:sz w:val="24"/>
              </w:rPr>
              <w:t>Гибкость архитектуры</w:t>
            </w:r>
          </w:p>
        </w:tc>
        <w:tc>
          <w:tcPr>
            <w:tcW w:type="dxa" w:w="2422"/>
          </w:tcPr>
          <w:p>
            <w:pPr>
              <w:spacing w:before="40" w:after="40" w:line="320" w:lineRule="exact"/>
              <w:ind w:firstLine="0"/>
            </w:pPr>
            <w:r/>
            <w:r>
              <w:rPr>
                <w:rFonts w:ascii="Times New Roman" w:hAnsi="Times New Roman" w:cs="Times New Roman" w:eastAsia="Times New Roman"/>
                <w:b w:val="0"/>
                <w:sz w:val="24"/>
              </w:rPr>
              <w:t>Высокая</w:t>
            </w:r>
          </w:p>
        </w:tc>
        <w:tc>
          <w:tcPr>
            <w:tcW w:type="dxa" w:w="2422"/>
          </w:tcPr>
          <w:p>
            <w:pPr>
              <w:spacing w:before="40" w:after="40" w:line="320" w:lineRule="exact"/>
              <w:ind w:firstLine="0"/>
            </w:pPr>
            <w:r/>
            <w:r>
              <w:rPr>
                <w:rFonts w:ascii="Times New Roman" w:hAnsi="Times New Roman" w:cs="Times New Roman" w:eastAsia="Times New Roman"/>
                <w:b w:val="0"/>
                <w:sz w:val="24"/>
              </w:rPr>
              <w:t>Высокая</w:t>
            </w:r>
          </w:p>
        </w:tc>
        <w:tc>
          <w:tcPr>
            <w:tcW w:type="dxa" w:w="2422"/>
          </w:tcPr>
          <w:p>
            <w:pPr>
              <w:spacing w:before="40" w:after="40" w:line="320" w:lineRule="exact"/>
              <w:ind w:firstLine="0"/>
            </w:pPr>
            <w:r/>
            <w:r>
              <w:rPr>
                <w:rFonts w:ascii="Times New Roman" w:hAnsi="Times New Roman" w:cs="Times New Roman" w:eastAsia="Times New Roman"/>
                <w:b w:val="0"/>
                <w:sz w:val="24"/>
              </w:rPr>
              <w:t>Ограничена</w:t>
            </w:r>
          </w:p>
        </w:tc>
      </w:tr>
    </w:tbl>
    <w:p>
      <w:pPr>
        <w:spacing w:before="120" w:after="120"/>
        <w:ind w:firstLine="0"/>
        <w:jc w:val="center"/>
      </w:pPr>
      <w:r>
        <w:rPr>
          <w:rFonts w:ascii="Times New Roman" w:hAnsi="Times New Roman" w:cs="Times New Roman" w:eastAsia="Times New Roman"/>
          <w:b/>
          <w:sz w:val="24"/>
        </w:rPr>
        <w:t>Таблица 2.2.3 — Сравнение систем управления базами данных</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40" w:after="40" w:line="320" w:lineRule="exact"/>
              <w:ind w:firstLine="0"/>
            </w:pPr>
            <w:r/>
            <w:r>
              <w:rPr>
                <w:rFonts w:ascii="Times New Roman" w:hAnsi="Times New Roman" w:cs="Times New Roman" w:eastAsia="Times New Roman"/>
                <w:b/>
                <w:sz w:val="24"/>
              </w:rPr>
              <w:t>Критерий</w:t>
            </w:r>
          </w:p>
        </w:tc>
        <w:tc>
          <w:tcPr>
            <w:tcW w:type="dxa" w:w="2422"/>
          </w:tcPr>
          <w:p>
            <w:pPr>
              <w:spacing w:before="40" w:after="40" w:line="320" w:lineRule="exact"/>
              <w:ind w:firstLine="0"/>
            </w:pPr>
            <w:r/>
            <w:r>
              <w:rPr>
                <w:rFonts w:ascii="Times New Roman" w:hAnsi="Times New Roman" w:cs="Times New Roman" w:eastAsia="Times New Roman"/>
                <w:b/>
                <w:sz w:val="24"/>
              </w:rPr>
              <w:t>PostgreSQL</w:t>
            </w:r>
          </w:p>
        </w:tc>
        <w:tc>
          <w:tcPr>
            <w:tcW w:type="dxa" w:w="2422"/>
          </w:tcPr>
          <w:p>
            <w:pPr>
              <w:spacing w:before="40" w:after="40" w:line="320" w:lineRule="exact"/>
              <w:ind w:firstLine="0"/>
            </w:pPr>
            <w:r/>
            <w:r>
              <w:rPr>
                <w:rFonts w:ascii="Times New Roman" w:hAnsi="Times New Roman" w:cs="Times New Roman" w:eastAsia="Times New Roman"/>
                <w:b/>
                <w:sz w:val="24"/>
              </w:rPr>
              <w:t>MySQL</w:t>
            </w:r>
          </w:p>
        </w:tc>
        <w:tc>
          <w:tcPr>
            <w:tcW w:type="dxa" w:w="2422"/>
          </w:tcPr>
          <w:p>
            <w:pPr>
              <w:spacing w:before="40" w:after="40" w:line="320" w:lineRule="exact"/>
              <w:ind w:firstLine="0"/>
            </w:pPr>
            <w:r/>
            <w:r>
              <w:rPr>
                <w:rFonts w:ascii="Times New Roman" w:hAnsi="Times New Roman" w:cs="Times New Roman" w:eastAsia="Times New Roman"/>
                <w:b/>
                <w:sz w:val="24"/>
              </w:rPr>
              <w:t>MongoDB</w:t>
            </w:r>
          </w:p>
        </w:tc>
      </w:tr>
      <w:tr>
        <w:tc>
          <w:tcPr>
            <w:tcW w:type="dxa" w:w="2422"/>
          </w:tcPr>
          <w:p>
            <w:pPr>
              <w:spacing w:before="40" w:after="40" w:line="320" w:lineRule="exact"/>
              <w:ind w:firstLine="0"/>
            </w:pPr>
            <w:r/>
            <w:r>
              <w:rPr>
                <w:rFonts w:ascii="Times New Roman" w:hAnsi="Times New Roman" w:cs="Times New Roman" w:eastAsia="Times New Roman"/>
                <w:b w:val="0"/>
                <w:sz w:val="24"/>
              </w:rPr>
              <w:t>Точная арифметика</w:t>
            </w:r>
          </w:p>
        </w:tc>
        <w:tc>
          <w:tcPr>
            <w:tcW w:type="dxa" w:w="2422"/>
          </w:tcPr>
          <w:p>
            <w:pPr>
              <w:spacing w:before="40" w:after="40" w:line="320" w:lineRule="exact"/>
              <w:ind w:firstLine="0"/>
            </w:pPr>
            <w:r/>
            <w:r>
              <w:rPr>
                <w:rFonts w:ascii="Times New Roman" w:hAnsi="Times New Roman" w:cs="Times New Roman" w:eastAsia="Times New Roman"/>
                <w:b w:val="0"/>
                <w:sz w:val="24"/>
              </w:rPr>
              <w:t>NUMERIC (до 131 072 цифр)</w:t>
            </w:r>
          </w:p>
        </w:tc>
        <w:tc>
          <w:tcPr>
            <w:tcW w:type="dxa" w:w="2422"/>
          </w:tcPr>
          <w:p>
            <w:pPr>
              <w:spacing w:before="40" w:after="40" w:line="320" w:lineRule="exact"/>
              <w:ind w:firstLine="0"/>
            </w:pPr>
            <w:r/>
            <w:r>
              <w:rPr>
                <w:rFonts w:ascii="Times New Roman" w:hAnsi="Times New Roman" w:cs="Times New Roman" w:eastAsia="Times New Roman"/>
                <w:b w:val="0"/>
                <w:sz w:val="24"/>
              </w:rPr>
              <w:t>DECIMAL (до 65 цифр)</w:t>
            </w:r>
          </w:p>
        </w:tc>
        <w:tc>
          <w:tcPr>
            <w:tcW w:type="dxa" w:w="2422"/>
          </w:tcPr>
          <w:p>
            <w:pPr>
              <w:spacing w:before="40" w:after="40" w:line="320" w:lineRule="exact"/>
              <w:ind w:firstLine="0"/>
            </w:pPr>
            <w:r/>
            <w:r>
              <w:rPr>
                <w:rFonts w:ascii="Times New Roman" w:hAnsi="Times New Roman" w:cs="Times New Roman" w:eastAsia="Times New Roman"/>
                <w:b w:val="0"/>
                <w:sz w:val="24"/>
              </w:rPr>
              <w:t>Decimal128 (34 цифры)</w:t>
            </w:r>
          </w:p>
        </w:tc>
      </w:tr>
      <w:tr>
        <w:tc>
          <w:tcPr>
            <w:tcW w:type="dxa" w:w="2422"/>
          </w:tcPr>
          <w:p>
            <w:pPr>
              <w:spacing w:before="40" w:after="40" w:line="320" w:lineRule="exact"/>
              <w:ind w:firstLine="0"/>
            </w:pPr>
            <w:r/>
            <w:r>
              <w:rPr>
                <w:rFonts w:ascii="Times New Roman" w:hAnsi="Times New Roman" w:cs="Times New Roman" w:eastAsia="Times New Roman"/>
                <w:b w:val="0"/>
                <w:sz w:val="24"/>
              </w:rPr>
              <w:t>ACID-транзакции</w:t>
            </w:r>
          </w:p>
        </w:tc>
        <w:tc>
          <w:tcPr>
            <w:tcW w:type="dxa" w:w="2422"/>
          </w:tcPr>
          <w:p>
            <w:pPr>
              <w:spacing w:before="40" w:after="40" w:line="320" w:lineRule="exact"/>
              <w:ind w:firstLine="0"/>
            </w:pPr>
            <w:r/>
            <w:r>
              <w:rPr>
                <w:rFonts w:ascii="Times New Roman" w:hAnsi="Times New Roman" w:cs="Times New Roman" w:eastAsia="Times New Roman"/>
                <w:b w:val="0"/>
                <w:sz w:val="24"/>
              </w:rPr>
              <w:t>Полные</w:t>
            </w:r>
          </w:p>
        </w:tc>
        <w:tc>
          <w:tcPr>
            <w:tcW w:type="dxa" w:w="2422"/>
          </w:tcPr>
          <w:p>
            <w:pPr>
              <w:spacing w:before="40" w:after="40" w:line="320" w:lineRule="exact"/>
              <w:ind w:firstLine="0"/>
            </w:pPr>
            <w:r/>
            <w:r>
              <w:rPr>
                <w:rFonts w:ascii="Times New Roman" w:hAnsi="Times New Roman" w:cs="Times New Roman" w:eastAsia="Times New Roman"/>
                <w:b w:val="0"/>
                <w:sz w:val="24"/>
              </w:rPr>
              <w:t>Полные (InnoDB)</w:t>
            </w:r>
          </w:p>
        </w:tc>
        <w:tc>
          <w:tcPr>
            <w:tcW w:type="dxa" w:w="2422"/>
          </w:tcPr>
          <w:p>
            <w:pPr>
              <w:spacing w:before="40" w:after="40" w:line="320" w:lineRule="exact"/>
              <w:ind w:firstLine="0"/>
            </w:pPr>
            <w:r/>
            <w:r>
              <w:rPr>
                <w:rFonts w:ascii="Times New Roman" w:hAnsi="Times New Roman" w:cs="Times New Roman" w:eastAsia="Times New Roman"/>
                <w:b w:val="0"/>
                <w:sz w:val="24"/>
              </w:rPr>
              <w:t>Multi-document (с 4.0)</w:t>
            </w:r>
          </w:p>
        </w:tc>
      </w:tr>
      <w:tr>
        <w:tc>
          <w:tcPr>
            <w:tcW w:type="dxa" w:w="2422"/>
          </w:tcPr>
          <w:p>
            <w:pPr>
              <w:spacing w:before="40" w:after="40" w:line="320" w:lineRule="exact"/>
              <w:ind w:firstLine="0"/>
            </w:pPr>
            <w:r/>
            <w:r>
              <w:rPr>
                <w:rFonts w:ascii="Times New Roman" w:hAnsi="Times New Roman" w:cs="Times New Roman" w:eastAsia="Times New Roman"/>
                <w:b w:val="0"/>
                <w:sz w:val="24"/>
              </w:rPr>
              <w:t>Индексируемый JSON</w:t>
            </w:r>
          </w:p>
        </w:tc>
        <w:tc>
          <w:tcPr>
            <w:tcW w:type="dxa" w:w="2422"/>
          </w:tcPr>
          <w:p>
            <w:pPr>
              <w:spacing w:before="40" w:after="40" w:line="320" w:lineRule="exact"/>
              <w:ind w:firstLine="0"/>
            </w:pPr>
            <w:r/>
            <w:r>
              <w:rPr>
                <w:rFonts w:ascii="Times New Roman" w:hAnsi="Times New Roman" w:cs="Times New Roman" w:eastAsia="Times New Roman"/>
                <w:b w:val="0"/>
                <w:sz w:val="24"/>
              </w:rPr>
              <w:t>jsonb</w:t>
            </w:r>
          </w:p>
        </w:tc>
        <w:tc>
          <w:tcPr>
            <w:tcW w:type="dxa" w:w="2422"/>
          </w:tcPr>
          <w:p>
            <w:pPr>
              <w:spacing w:before="40" w:after="40" w:line="320" w:lineRule="exact"/>
              <w:ind w:firstLine="0"/>
            </w:pPr>
            <w:r/>
            <w:r>
              <w:rPr>
                <w:rFonts w:ascii="Times New Roman" w:hAnsi="Times New Roman" w:cs="Times New Roman" w:eastAsia="Times New Roman"/>
                <w:b w:val="0"/>
                <w:sz w:val="24"/>
              </w:rPr>
              <w:t>JSON (индексы с 8.0)</w:t>
            </w:r>
          </w:p>
        </w:tc>
        <w:tc>
          <w:tcPr>
            <w:tcW w:type="dxa" w:w="2422"/>
          </w:tcPr>
          <w:p>
            <w:pPr>
              <w:spacing w:before="40" w:after="40" w:line="320" w:lineRule="exact"/>
              <w:ind w:firstLine="0"/>
            </w:pPr>
            <w:r/>
            <w:r>
              <w:rPr>
                <w:rFonts w:ascii="Times New Roman" w:hAnsi="Times New Roman" w:cs="Times New Roman" w:eastAsia="Times New Roman"/>
                <w:b w:val="0"/>
                <w:sz w:val="24"/>
              </w:rPr>
              <w:t>Нативный BSON</w:t>
            </w:r>
          </w:p>
        </w:tc>
      </w:tr>
      <w:tr>
        <w:tc>
          <w:tcPr>
            <w:tcW w:type="dxa" w:w="2422"/>
          </w:tcPr>
          <w:p>
            <w:pPr>
              <w:spacing w:before="40" w:after="40" w:line="320" w:lineRule="exact"/>
              <w:ind w:firstLine="0"/>
            </w:pPr>
            <w:r/>
            <w:r>
              <w:rPr>
                <w:rFonts w:ascii="Times New Roman" w:hAnsi="Times New Roman" w:cs="Times New Roman" w:eastAsia="Times New Roman"/>
                <w:b w:val="0"/>
                <w:sz w:val="24"/>
              </w:rPr>
              <w:t>Расширяемость</w:t>
            </w:r>
          </w:p>
        </w:tc>
        <w:tc>
          <w:tcPr>
            <w:tcW w:type="dxa" w:w="2422"/>
          </w:tcPr>
          <w:p>
            <w:pPr>
              <w:spacing w:before="40" w:after="40" w:line="320" w:lineRule="exact"/>
              <w:ind w:firstLine="0"/>
            </w:pPr>
            <w:r/>
            <w:r>
              <w:rPr>
                <w:rFonts w:ascii="Times New Roman" w:hAnsi="Times New Roman" w:cs="Times New Roman" w:eastAsia="Times New Roman"/>
                <w:b w:val="0"/>
                <w:sz w:val="24"/>
              </w:rPr>
              <w:t>Высокая (extensions)</w:t>
            </w:r>
          </w:p>
        </w:tc>
        <w:tc>
          <w:tcPr>
            <w:tcW w:type="dxa" w:w="2422"/>
          </w:tcPr>
          <w:p>
            <w:pPr>
              <w:spacing w:before="40" w:after="40" w:line="320" w:lineRule="exact"/>
              <w:ind w:firstLine="0"/>
            </w:pPr>
            <w:r/>
            <w:r>
              <w:rPr>
                <w:rFonts w:ascii="Times New Roman" w:hAnsi="Times New Roman" w:cs="Times New Roman" w:eastAsia="Times New Roman"/>
                <w:b w:val="0"/>
                <w:sz w:val="24"/>
              </w:rPr>
              <w:t>Ограничена</w:t>
            </w:r>
          </w:p>
        </w:tc>
        <w:tc>
          <w:tcPr>
            <w:tcW w:type="dxa" w:w="2422"/>
          </w:tcPr>
          <w:p>
            <w:pPr>
              <w:spacing w:before="40" w:after="40" w:line="320" w:lineRule="exact"/>
              <w:ind w:firstLine="0"/>
            </w:pPr>
            <w:r/>
            <w:r>
              <w:rPr>
                <w:rFonts w:ascii="Times New Roman" w:hAnsi="Times New Roman" w:cs="Times New Roman" w:eastAsia="Times New Roman"/>
                <w:b w:val="0"/>
                <w:sz w:val="24"/>
              </w:rPr>
              <w:t>Ограничена</w:t>
            </w:r>
          </w:p>
        </w:tc>
      </w:tr>
      <w:tr>
        <w:tc>
          <w:tcPr>
            <w:tcW w:type="dxa" w:w="2422"/>
          </w:tcPr>
          <w:p>
            <w:pPr>
              <w:spacing w:before="40" w:after="40" w:line="320" w:lineRule="exact"/>
              <w:ind w:firstLine="0"/>
            </w:pPr>
            <w:r/>
            <w:r>
              <w:rPr>
                <w:rFonts w:ascii="Times New Roman" w:hAnsi="Times New Roman" w:cs="Times New Roman" w:eastAsia="Times New Roman"/>
                <w:b w:val="0"/>
                <w:sz w:val="24"/>
              </w:rPr>
              <w:t>Лицензия</w:t>
            </w:r>
          </w:p>
        </w:tc>
        <w:tc>
          <w:tcPr>
            <w:tcW w:type="dxa" w:w="2422"/>
          </w:tcPr>
          <w:p>
            <w:pPr>
              <w:spacing w:before="40" w:after="40" w:line="320" w:lineRule="exact"/>
              <w:ind w:firstLine="0"/>
            </w:pPr>
            <w:r/>
            <w:r>
              <w:rPr>
                <w:rFonts w:ascii="Times New Roman" w:hAnsi="Times New Roman" w:cs="Times New Roman" w:eastAsia="Times New Roman"/>
                <w:b w:val="0"/>
                <w:sz w:val="24"/>
              </w:rPr>
              <w:t>PostgreSQL (свободная)</w:t>
            </w:r>
          </w:p>
        </w:tc>
        <w:tc>
          <w:tcPr>
            <w:tcW w:type="dxa" w:w="2422"/>
          </w:tcPr>
          <w:p>
            <w:pPr>
              <w:spacing w:before="40" w:after="40" w:line="320" w:lineRule="exact"/>
              <w:ind w:firstLine="0"/>
            </w:pPr>
            <w:r/>
            <w:r>
              <w:rPr>
                <w:rFonts w:ascii="Times New Roman" w:hAnsi="Times New Roman" w:cs="Times New Roman" w:eastAsia="Times New Roman"/>
                <w:b w:val="0"/>
                <w:sz w:val="24"/>
              </w:rPr>
              <w:t>GPL / Commercial</w:t>
            </w:r>
          </w:p>
        </w:tc>
        <w:tc>
          <w:tcPr>
            <w:tcW w:type="dxa" w:w="2422"/>
          </w:tcPr>
          <w:p>
            <w:pPr>
              <w:spacing w:before="40" w:after="40" w:line="320" w:lineRule="exact"/>
              <w:ind w:firstLine="0"/>
            </w:pPr>
            <w:r/>
            <w:r>
              <w:rPr>
                <w:rFonts w:ascii="Times New Roman" w:hAnsi="Times New Roman" w:cs="Times New Roman" w:eastAsia="Times New Roman"/>
                <w:b w:val="0"/>
                <w:sz w:val="24"/>
              </w:rPr>
              <w:t>SSPL / Commercial</w:t>
            </w:r>
          </w:p>
        </w:tc>
      </w:tr>
    </w:tbl>
    <w:p>
      <w:pPr/>
      <w:r>
        <w:rPr>
          <w:rFonts w:ascii="Times New Roman" w:hAnsi="Times New Roman" w:cs="Times New Roman" w:eastAsia="Times New Roman"/>
          <w:b w:val="0"/>
          <w:sz w:val="28"/>
        </w:rPr>
        <w:t>Сопоставление подтверждает, что связка FastAPI, React с TypeScript и PostgreSQL наиболее полно отвечает совокупности требований, сформулированных в параграфе 2.1. Точная арифметика обеспечена на трёх уровнях: язык (модуль decimal), валидация (Pydantic) и СУБД (тип NUMERIC). Ни одна из рассмотренных альтернатив не покрывает все три уровня одновременно без дополнительных библиотек. Контейнеризация через Docker гарантирует переносимость между операционными системами. Все компоненты стека распространяются под свободными лицензиями, что устраняет лицензионные затраты и соответствует финансовым возможностям МКО. Выбранные технологии формируют платформу, на которой проектируется архитектура приложения, рассмотренная в следующем параграфе.</w:t>
      </w:r>
    </w:p>
    <w:p>
      <w:pPr>
        <w:pStyle w:val="Heading2"/>
      </w:pPr>
      <w:r>
        <w:rPr>
          <w:rFonts w:ascii="Times New Roman" w:hAnsi="Times New Roman" w:cs="Times New Roman" w:eastAsia="Times New Roman"/>
        </w:rPr>
        <w:t>2.3 Архитектура программного приложения и проектирование базы данных</w:t>
      </w:r>
    </w:p>
    <w:p>
      <w:pPr/>
      <w:r>
        <w:rPr>
          <w:rFonts w:ascii="Times New Roman" w:hAnsi="Times New Roman" w:cs="Times New Roman" w:eastAsia="Times New Roman"/>
          <w:b w:val="0"/>
          <w:sz w:val="28"/>
        </w:rPr>
        <w:t>Выбор технологий, обоснованный в параграфе 2.2, определяет набор доступных архитектурных решений. R.S. Pressman трактует архитектурное проектирование как процесс разделения системы на компоненты, определения их интерфейсов и правил взаимодействия [33]. И. Соммервилл указывает, что архитектурные решения принимаются раньше всех остальных проектных решений и труднее всего поддаются изменению впоследствии [16]. Цена ошибки здесь максимальна. Поэтому настоящий параграф последовательно описывает общую архитектуру приложения, структуру его классов, взаимодействие компонентов при выполнении основного сценария и модель базы данных.</w:t>
      </w:r>
    </w:p>
    <w:p>
      <w:pPr/>
      <w:r>
        <w:rPr>
          <w:rFonts w:ascii="Times New Roman" w:hAnsi="Times New Roman" w:cs="Times New Roman" w:eastAsia="Times New Roman"/>
          <w:b w:val="0"/>
          <w:sz w:val="28"/>
        </w:rPr>
        <w:t>Проектируемое приложение построено по трёхуровневой клиент-серверной архитектуре. Р. Мартин обосновывает преимущества разделения на слои тем, что каждый слой зависит только от нижележащего и не знает о существовании вышестоящего [15]. Верхний уровень — слой представления (Presentation Layer) — отвечает за взаимодействие с пользователем. Он реализован на React с TypeScript и работает в браузере оператора. Средний уровень — слой бизнес-логики (Business Logic Layer) — содержит вычислительное ядро и правила обработки данных. Этот слой реализован на FastAPI и не зависит от способа отображения результатов. Нижний уровень — слой доступа к данным (Data Access Layer) — инкапсулирует операции чтения и записи в PostgreSQL. М. Фаулер описывает шаблон Repository, изолирующий бизнес-логику от деталей хранения: при смене СУБД изменяется лишь реализация репозитория, а вычислительный модуль остаётся нетронутым [17]. Выгода очевидна. Модификация пользовательского интерфейса не затрагивает расчётное ядро, и наоборот.</w:t>
      </w:r>
    </w:p>
    <w:p>
      <w:pPr/>
      <w:r>
        <w:rPr>
          <w:rFonts w:ascii="Times New Roman" w:hAnsi="Times New Roman" w:cs="Times New Roman" w:eastAsia="Times New Roman"/>
          <w:b w:val="0"/>
          <w:sz w:val="28"/>
        </w:rPr>
        <w:t>На рисунке 2.2 представлена диаграмма компонентов, выполненная в нотации UML. Г. Буч определяет компонент как физическую заменяемую часть системы, реализующую один или несколько интерфейсов [5]. Система включает четыре компонента. Компонент Frontend представлен React-приложением, скомпилированным в статические файлы HTML, CSS и JavaScript; оно загружается в браузер пользователя и взаимодействует с серверной частью через HTTP-запросы. Компонент API Gateway реализован сервером Nginx, который принимает входящие запросы, перенаправляет их к нужному сервису и раздаёт статические файлы фронтенда. Компонент Backend содержит FastAPI-приложение с тремя внутренними модулями: модулем маршрутизации (routers), модулем бизнес-логики (services) и модулем доступа к данным (repositories). Компонент Database размещает СУБД PostgreSQL. Связи между компонентами однонаправлены: Frontend обращается к API Gateway по протоколу HTTPS, API Gateway передаёт запрос Backend по внутренней сети Docker, Backend взаимодействует с Database через драйвер asyncpg. Обратный поток ограничен ответами на запросы: ни один компонент не инициирует соединение к вышестоящему.</w:t>
      </w:r>
    </w:p>
    <w:p>
      <w:pPr/>
      <w:r>
        <w:rPr>
          <w:rFonts w:ascii="Times New Roman" w:hAnsi="Times New Roman" w:cs="Times New Roman" w:eastAsia="Times New Roman"/>
          <w:b w:val="0"/>
          <w:sz w:val="28"/>
        </w:rPr>
        <w:t>L. Richardson выделяет четыре уровня зрелости REST API [34]. Проектируемое приложение соответствует третьему уровню, на котором каждый объект предметной области представлен отдельным ресурсом с собственным URI, а операции выражены HTTP-методами. Спецификация API сведена в таблицу 2.3.1.</w:t>
      </w:r>
    </w:p>
    <w:p>
      <w:pPr>
        <w:spacing w:before="120" w:after="120"/>
        <w:ind w:firstLine="0"/>
        <w:jc w:val="center"/>
      </w:pPr>
      <w:r>
        <w:rPr>
          <w:rFonts w:ascii="Times New Roman" w:hAnsi="Times New Roman" w:cs="Times New Roman" w:eastAsia="Times New Roman"/>
          <w:b/>
          <w:sz w:val="24"/>
        </w:rPr>
        <w:t>Таблица 2.3.1 — Спецификация REST API проектируемого приложения</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before="40" w:after="40" w:line="320" w:lineRule="exact"/>
              <w:ind w:firstLine="0"/>
            </w:pPr>
            <w:r/>
            <w:r>
              <w:rPr>
                <w:rFonts w:ascii="Times New Roman" w:hAnsi="Times New Roman" w:cs="Times New Roman" w:eastAsia="Times New Roman"/>
                <w:b/>
                <w:sz w:val="24"/>
              </w:rPr>
              <w:t>Ресурс</w:t>
            </w:r>
          </w:p>
        </w:tc>
        <w:tc>
          <w:tcPr>
            <w:tcW w:type="dxa" w:w="1938"/>
          </w:tcPr>
          <w:p>
            <w:pPr>
              <w:spacing w:before="40" w:after="40" w:line="320" w:lineRule="exact"/>
              <w:ind w:firstLine="0"/>
            </w:pPr>
            <w:r/>
            <w:r>
              <w:rPr>
                <w:rFonts w:ascii="Times New Roman" w:hAnsi="Times New Roman" w:cs="Times New Roman" w:eastAsia="Times New Roman"/>
                <w:b/>
                <w:sz w:val="24"/>
              </w:rPr>
              <w:t>Метод</w:t>
            </w:r>
          </w:p>
        </w:tc>
        <w:tc>
          <w:tcPr>
            <w:tcW w:type="dxa" w:w="1938"/>
          </w:tcPr>
          <w:p>
            <w:pPr>
              <w:spacing w:before="40" w:after="40" w:line="320" w:lineRule="exact"/>
              <w:ind w:firstLine="0"/>
            </w:pPr>
            <w:r/>
            <w:r>
              <w:rPr>
                <w:rFonts w:ascii="Times New Roman" w:hAnsi="Times New Roman" w:cs="Times New Roman" w:eastAsia="Times New Roman"/>
                <w:b/>
                <w:sz w:val="24"/>
              </w:rPr>
              <w:t>URI</w:t>
            </w:r>
          </w:p>
        </w:tc>
        <w:tc>
          <w:tcPr>
            <w:tcW w:type="dxa" w:w="1938"/>
          </w:tcPr>
          <w:p>
            <w:pPr>
              <w:spacing w:before="40" w:after="40" w:line="320" w:lineRule="exact"/>
              <w:ind w:firstLine="0"/>
            </w:pPr>
            <w:r/>
            <w:r>
              <w:rPr>
                <w:rFonts w:ascii="Times New Roman" w:hAnsi="Times New Roman" w:cs="Times New Roman" w:eastAsia="Times New Roman"/>
                <w:b/>
                <w:sz w:val="24"/>
              </w:rPr>
              <w:t>Описание</w:t>
            </w:r>
          </w:p>
        </w:tc>
        <w:tc>
          <w:tcPr>
            <w:tcW w:type="dxa" w:w="1938"/>
          </w:tcPr>
          <w:p>
            <w:pPr>
              <w:spacing w:before="40" w:after="40" w:line="320" w:lineRule="exact"/>
              <w:ind w:firstLine="0"/>
            </w:pPr>
            <w:r/>
            <w:r>
              <w:rPr>
                <w:rFonts w:ascii="Times New Roman" w:hAnsi="Times New Roman" w:cs="Times New Roman" w:eastAsia="Times New Roman"/>
                <w:b/>
                <w:sz w:val="24"/>
              </w:rPr>
              <w:t>Код ответа</w:t>
            </w:r>
          </w:p>
        </w:tc>
      </w:tr>
      <w:tr>
        <w:tc>
          <w:tcPr>
            <w:tcW w:type="dxa" w:w="1938"/>
          </w:tcPr>
          <w:p>
            <w:pPr>
              <w:spacing w:before="40" w:after="40" w:line="320" w:lineRule="exact"/>
              <w:ind w:firstLine="0"/>
            </w:pPr>
            <w:r/>
            <w:r>
              <w:rPr>
                <w:rFonts w:ascii="Times New Roman" w:hAnsi="Times New Roman" w:cs="Times New Roman" w:eastAsia="Times New Roman"/>
                <w:b w:val="0"/>
                <w:sz w:val="24"/>
              </w:rPr>
              <w:t>Клиенты</w:t>
            </w:r>
          </w:p>
        </w:tc>
        <w:tc>
          <w:tcPr>
            <w:tcW w:type="dxa" w:w="1938"/>
          </w:tcPr>
          <w:p>
            <w:pPr>
              <w:spacing w:before="40" w:after="40" w:line="320" w:lineRule="exact"/>
              <w:ind w:firstLine="0"/>
            </w:pPr>
            <w:r/>
            <w:r>
              <w:rPr>
                <w:rFonts w:ascii="Times New Roman" w:hAnsi="Times New Roman" w:cs="Times New Roman" w:eastAsia="Times New Roman"/>
                <w:b w:val="0"/>
                <w:sz w:val="24"/>
              </w:rPr>
              <w:t>GET</w:t>
            </w:r>
          </w:p>
        </w:tc>
        <w:tc>
          <w:tcPr>
            <w:tcW w:type="dxa" w:w="1938"/>
          </w:tcPr>
          <w:p>
            <w:pPr>
              <w:spacing w:before="40" w:after="40" w:line="320" w:lineRule="exact"/>
              <w:ind w:firstLine="0"/>
            </w:pPr>
            <w:r/>
            <w:r>
              <w:rPr>
                <w:rFonts w:ascii="Times New Roman" w:hAnsi="Times New Roman" w:cs="Times New Roman" w:eastAsia="Times New Roman"/>
                <w:b w:val="0"/>
                <w:sz w:val="24"/>
              </w:rPr>
              <w:t>/api/v1/clients</w:t>
            </w:r>
          </w:p>
        </w:tc>
        <w:tc>
          <w:tcPr>
            <w:tcW w:type="dxa" w:w="1938"/>
          </w:tcPr>
          <w:p>
            <w:pPr>
              <w:spacing w:before="40" w:after="40" w:line="320" w:lineRule="exact"/>
              <w:ind w:firstLine="0"/>
            </w:pPr>
            <w:r/>
            <w:r>
              <w:rPr>
                <w:rFonts w:ascii="Times New Roman" w:hAnsi="Times New Roman" w:cs="Times New Roman" w:eastAsia="Times New Roman"/>
                <w:b w:val="0"/>
                <w:sz w:val="24"/>
              </w:rPr>
              <w:t>Список клиентов (пагинация)</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POST</w:t>
            </w:r>
          </w:p>
        </w:tc>
        <w:tc>
          <w:tcPr>
            <w:tcW w:type="dxa" w:w="1938"/>
          </w:tcPr>
          <w:p>
            <w:pPr>
              <w:spacing w:before="40" w:after="40" w:line="320" w:lineRule="exact"/>
              <w:ind w:firstLine="0"/>
            </w:pPr>
            <w:r/>
            <w:r>
              <w:rPr>
                <w:rFonts w:ascii="Times New Roman" w:hAnsi="Times New Roman" w:cs="Times New Roman" w:eastAsia="Times New Roman"/>
                <w:b w:val="0"/>
                <w:sz w:val="24"/>
              </w:rPr>
              <w:t>/api/v1/clients</w:t>
            </w:r>
          </w:p>
        </w:tc>
        <w:tc>
          <w:tcPr>
            <w:tcW w:type="dxa" w:w="1938"/>
          </w:tcPr>
          <w:p>
            <w:pPr>
              <w:spacing w:before="40" w:after="40" w:line="320" w:lineRule="exact"/>
              <w:ind w:firstLine="0"/>
            </w:pPr>
            <w:r/>
            <w:r>
              <w:rPr>
                <w:rFonts w:ascii="Times New Roman" w:hAnsi="Times New Roman" w:cs="Times New Roman" w:eastAsia="Times New Roman"/>
                <w:b w:val="0"/>
                <w:sz w:val="24"/>
              </w:rPr>
              <w:t>Создание карточки</w:t>
            </w:r>
          </w:p>
        </w:tc>
        <w:tc>
          <w:tcPr>
            <w:tcW w:type="dxa" w:w="1938"/>
          </w:tcPr>
          <w:p>
            <w:pPr>
              <w:spacing w:before="40" w:after="40" w:line="320" w:lineRule="exact"/>
              <w:ind w:firstLine="0"/>
            </w:pPr>
            <w:r/>
            <w:r>
              <w:rPr>
                <w:rFonts w:ascii="Times New Roman" w:hAnsi="Times New Roman" w:cs="Times New Roman" w:eastAsia="Times New Roman"/>
                <w:b w:val="0"/>
                <w:sz w:val="24"/>
              </w:rPr>
              <w:t>201</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GET</w:t>
            </w:r>
          </w:p>
        </w:tc>
        <w:tc>
          <w:tcPr>
            <w:tcW w:type="dxa" w:w="1938"/>
          </w:tcPr>
          <w:p>
            <w:pPr>
              <w:spacing w:before="40" w:after="40" w:line="320" w:lineRule="exact"/>
              <w:ind w:firstLine="0"/>
            </w:pPr>
            <w:r/>
            <w:r>
              <w:rPr>
                <w:rFonts w:ascii="Times New Roman" w:hAnsi="Times New Roman" w:cs="Times New Roman" w:eastAsia="Times New Roman"/>
                <w:b w:val="0"/>
                <w:sz w:val="24"/>
              </w:rPr>
              <w:t>/api/v1/clients/{id}</w:t>
            </w:r>
          </w:p>
        </w:tc>
        <w:tc>
          <w:tcPr>
            <w:tcW w:type="dxa" w:w="1938"/>
          </w:tcPr>
          <w:p>
            <w:pPr>
              <w:spacing w:before="40" w:after="40" w:line="320" w:lineRule="exact"/>
              <w:ind w:firstLine="0"/>
            </w:pPr>
            <w:r/>
            <w:r>
              <w:rPr>
                <w:rFonts w:ascii="Times New Roman" w:hAnsi="Times New Roman" w:cs="Times New Roman" w:eastAsia="Times New Roman"/>
                <w:b w:val="0"/>
                <w:sz w:val="24"/>
              </w:rPr>
              <w:t>Карточка клиента</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PUT</w:t>
            </w:r>
          </w:p>
        </w:tc>
        <w:tc>
          <w:tcPr>
            <w:tcW w:type="dxa" w:w="1938"/>
          </w:tcPr>
          <w:p>
            <w:pPr>
              <w:spacing w:before="40" w:after="40" w:line="320" w:lineRule="exact"/>
              <w:ind w:firstLine="0"/>
            </w:pPr>
            <w:r/>
            <w:r>
              <w:rPr>
                <w:rFonts w:ascii="Times New Roman" w:hAnsi="Times New Roman" w:cs="Times New Roman" w:eastAsia="Times New Roman"/>
                <w:b w:val="0"/>
                <w:sz w:val="24"/>
              </w:rPr>
              <w:t>/api/v1/clients/{id}</w:t>
            </w:r>
          </w:p>
        </w:tc>
        <w:tc>
          <w:tcPr>
            <w:tcW w:type="dxa" w:w="1938"/>
          </w:tcPr>
          <w:p>
            <w:pPr>
              <w:spacing w:before="40" w:after="40" w:line="320" w:lineRule="exact"/>
              <w:ind w:firstLine="0"/>
            </w:pPr>
            <w:r/>
            <w:r>
              <w:rPr>
                <w:rFonts w:ascii="Times New Roman" w:hAnsi="Times New Roman" w:cs="Times New Roman" w:eastAsia="Times New Roman"/>
                <w:b w:val="0"/>
                <w:sz w:val="24"/>
              </w:rPr>
              <w:t>Обновление карточки</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t>Депозиты</w:t>
            </w:r>
          </w:p>
        </w:tc>
        <w:tc>
          <w:tcPr>
            <w:tcW w:type="dxa" w:w="1938"/>
          </w:tcPr>
          <w:p>
            <w:pPr>
              <w:spacing w:before="40" w:after="40" w:line="320" w:lineRule="exact"/>
              <w:ind w:firstLine="0"/>
            </w:pPr>
            <w:r/>
            <w:r>
              <w:rPr>
                <w:rFonts w:ascii="Times New Roman" w:hAnsi="Times New Roman" w:cs="Times New Roman" w:eastAsia="Times New Roman"/>
                <w:b w:val="0"/>
                <w:sz w:val="24"/>
              </w:rPr>
              <w:t>GET</w:t>
            </w:r>
          </w:p>
        </w:tc>
        <w:tc>
          <w:tcPr>
            <w:tcW w:type="dxa" w:w="1938"/>
          </w:tcPr>
          <w:p>
            <w:pPr>
              <w:spacing w:before="40" w:after="40" w:line="320" w:lineRule="exact"/>
              <w:ind w:firstLine="0"/>
            </w:pPr>
            <w:r/>
            <w:r>
              <w:rPr>
                <w:rFonts w:ascii="Times New Roman" w:hAnsi="Times New Roman" w:cs="Times New Roman" w:eastAsia="Times New Roman"/>
                <w:b w:val="0"/>
                <w:sz w:val="24"/>
              </w:rPr>
              <w:t>/api/v1/deposits</w:t>
            </w:r>
          </w:p>
        </w:tc>
        <w:tc>
          <w:tcPr>
            <w:tcW w:type="dxa" w:w="1938"/>
          </w:tcPr>
          <w:p>
            <w:pPr>
              <w:spacing w:before="40" w:after="40" w:line="320" w:lineRule="exact"/>
              <w:ind w:firstLine="0"/>
            </w:pPr>
            <w:r/>
            <w:r>
              <w:rPr>
                <w:rFonts w:ascii="Times New Roman" w:hAnsi="Times New Roman" w:cs="Times New Roman" w:eastAsia="Times New Roman"/>
                <w:b w:val="0"/>
                <w:sz w:val="24"/>
              </w:rPr>
              <w:t>Список депозитов</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POST</w:t>
            </w:r>
          </w:p>
        </w:tc>
        <w:tc>
          <w:tcPr>
            <w:tcW w:type="dxa" w:w="1938"/>
          </w:tcPr>
          <w:p>
            <w:pPr>
              <w:spacing w:before="40" w:after="40" w:line="320" w:lineRule="exact"/>
              <w:ind w:firstLine="0"/>
            </w:pPr>
            <w:r/>
            <w:r>
              <w:rPr>
                <w:rFonts w:ascii="Times New Roman" w:hAnsi="Times New Roman" w:cs="Times New Roman" w:eastAsia="Times New Roman"/>
                <w:b w:val="0"/>
                <w:sz w:val="24"/>
              </w:rPr>
              <w:t>/api/v1/deposits</w:t>
            </w:r>
          </w:p>
        </w:tc>
        <w:tc>
          <w:tcPr>
            <w:tcW w:type="dxa" w:w="1938"/>
          </w:tcPr>
          <w:p>
            <w:pPr>
              <w:spacing w:before="40" w:after="40" w:line="320" w:lineRule="exact"/>
              <w:ind w:firstLine="0"/>
            </w:pPr>
            <w:r/>
            <w:r>
              <w:rPr>
                <w:rFonts w:ascii="Times New Roman" w:hAnsi="Times New Roman" w:cs="Times New Roman" w:eastAsia="Times New Roman"/>
                <w:b w:val="0"/>
                <w:sz w:val="24"/>
              </w:rPr>
              <w:t>Оформление депозита</w:t>
            </w:r>
          </w:p>
        </w:tc>
        <w:tc>
          <w:tcPr>
            <w:tcW w:type="dxa" w:w="1938"/>
          </w:tcPr>
          <w:p>
            <w:pPr>
              <w:spacing w:before="40" w:after="40" w:line="320" w:lineRule="exact"/>
              <w:ind w:firstLine="0"/>
            </w:pPr>
            <w:r/>
            <w:r>
              <w:rPr>
                <w:rFonts w:ascii="Times New Roman" w:hAnsi="Times New Roman" w:cs="Times New Roman" w:eastAsia="Times New Roman"/>
                <w:b w:val="0"/>
                <w:sz w:val="24"/>
              </w:rPr>
              <w:t>201</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GET</w:t>
            </w:r>
          </w:p>
        </w:tc>
        <w:tc>
          <w:tcPr>
            <w:tcW w:type="dxa" w:w="1938"/>
          </w:tcPr>
          <w:p>
            <w:pPr>
              <w:spacing w:before="40" w:after="40" w:line="320" w:lineRule="exact"/>
              <w:ind w:firstLine="0"/>
            </w:pPr>
            <w:r/>
            <w:r>
              <w:rPr>
                <w:rFonts w:ascii="Times New Roman" w:hAnsi="Times New Roman" w:cs="Times New Roman" w:eastAsia="Times New Roman"/>
                <w:b w:val="0"/>
                <w:sz w:val="24"/>
              </w:rPr>
              <w:t>/api/v1/deposits/{id}</w:t>
            </w:r>
          </w:p>
        </w:tc>
        <w:tc>
          <w:tcPr>
            <w:tcW w:type="dxa" w:w="1938"/>
          </w:tcPr>
          <w:p>
            <w:pPr>
              <w:spacing w:before="40" w:after="40" w:line="320" w:lineRule="exact"/>
              <w:ind w:firstLine="0"/>
            </w:pPr>
            <w:r/>
            <w:r>
              <w:rPr>
                <w:rFonts w:ascii="Times New Roman" w:hAnsi="Times New Roman" w:cs="Times New Roman" w:eastAsia="Times New Roman"/>
                <w:b w:val="0"/>
                <w:sz w:val="24"/>
              </w:rPr>
              <w:t>Детали депозита</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t>Расчёты</w:t>
            </w:r>
          </w:p>
        </w:tc>
        <w:tc>
          <w:tcPr>
            <w:tcW w:type="dxa" w:w="1938"/>
          </w:tcPr>
          <w:p>
            <w:pPr>
              <w:spacing w:before="40" w:after="40" w:line="320" w:lineRule="exact"/>
              <w:ind w:firstLine="0"/>
            </w:pPr>
            <w:r/>
            <w:r>
              <w:rPr>
                <w:rFonts w:ascii="Times New Roman" w:hAnsi="Times New Roman" w:cs="Times New Roman" w:eastAsia="Times New Roman"/>
                <w:b w:val="0"/>
                <w:sz w:val="24"/>
              </w:rPr>
              <w:t>POST</w:t>
            </w:r>
          </w:p>
        </w:tc>
        <w:tc>
          <w:tcPr>
            <w:tcW w:type="dxa" w:w="1938"/>
          </w:tcPr>
          <w:p>
            <w:pPr>
              <w:spacing w:before="40" w:after="40" w:line="320" w:lineRule="exact"/>
              <w:ind w:firstLine="0"/>
            </w:pPr>
            <w:r/>
            <w:r>
              <w:rPr>
                <w:rFonts w:ascii="Times New Roman" w:hAnsi="Times New Roman" w:cs="Times New Roman" w:eastAsia="Times New Roman"/>
                <w:b w:val="0"/>
                <w:sz w:val="24"/>
              </w:rPr>
              <w:t>/api/v1/calculations</w:t>
            </w:r>
          </w:p>
        </w:tc>
        <w:tc>
          <w:tcPr>
            <w:tcW w:type="dxa" w:w="1938"/>
          </w:tcPr>
          <w:p>
            <w:pPr>
              <w:spacing w:before="40" w:after="40" w:line="320" w:lineRule="exact"/>
              <w:ind w:firstLine="0"/>
            </w:pPr>
            <w:r/>
            <w:r>
              <w:rPr>
                <w:rFonts w:ascii="Times New Roman" w:hAnsi="Times New Roman" w:cs="Times New Roman" w:eastAsia="Times New Roman"/>
                <w:b w:val="0"/>
                <w:sz w:val="24"/>
              </w:rPr>
              <w:t>Выполнить расчёт</w:t>
            </w:r>
          </w:p>
        </w:tc>
        <w:tc>
          <w:tcPr>
            <w:tcW w:type="dxa" w:w="1938"/>
          </w:tcPr>
          <w:p>
            <w:pPr>
              <w:spacing w:before="40" w:after="40" w:line="320" w:lineRule="exact"/>
              <w:ind w:firstLine="0"/>
            </w:pPr>
            <w:r/>
            <w:r>
              <w:rPr>
                <w:rFonts w:ascii="Times New Roman" w:hAnsi="Times New Roman" w:cs="Times New Roman" w:eastAsia="Times New Roman"/>
                <w:b w:val="0"/>
                <w:sz w:val="24"/>
              </w:rPr>
              <w:t>201</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GET</w:t>
            </w:r>
          </w:p>
        </w:tc>
        <w:tc>
          <w:tcPr>
            <w:tcW w:type="dxa" w:w="1938"/>
          </w:tcPr>
          <w:p>
            <w:pPr>
              <w:spacing w:before="40" w:after="40" w:line="320" w:lineRule="exact"/>
              <w:ind w:firstLine="0"/>
            </w:pPr>
            <w:r/>
            <w:r>
              <w:rPr>
                <w:rFonts w:ascii="Times New Roman" w:hAnsi="Times New Roman" w:cs="Times New Roman" w:eastAsia="Times New Roman"/>
                <w:b w:val="0"/>
                <w:sz w:val="24"/>
              </w:rPr>
              <w:t>/api/v1/calculations</w:t>
            </w:r>
          </w:p>
        </w:tc>
        <w:tc>
          <w:tcPr>
            <w:tcW w:type="dxa" w:w="1938"/>
          </w:tcPr>
          <w:p>
            <w:pPr>
              <w:spacing w:before="40" w:after="40" w:line="320" w:lineRule="exact"/>
              <w:ind w:firstLine="0"/>
            </w:pPr>
            <w:r/>
            <w:r>
              <w:rPr>
                <w:rFonts w:ascii="Times New Roman" w:hAnsi="Times New Roman" w:cs="Times New Roman" w:eastAsia="Times New Roman"/>
                <w:b w:val="0"/>
                <w:sz w:val="24"/>
              </w:rPr>
              <w:t>История расчётов (фильтры)</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GET</w:t>
            </w:r>
          </w:p>
        </w:tc>
        <w:tc>
          <w:tcPr>
            <w:tcW w:type="dxa" w:w="1938"/>
          </w:tcPr>
          <w:p>
            <w:pPr>
              <w:spacing w:before="40" w:after="40" w:line="320" w:lineRule="exact"/>
              <w:ind w:firstLine="0"/>
            </w:pPr>
            <w:r/>
            <w:r>
              <w:rPr>
                <w:rFonts w:ascii="Times New Roman" w:hAnsi="Times New Roman" w:cs="Times New Roman" w:eastAsia="Times New Roman"/>
                <w:b w:val="0"/>
                <w:sz w:val="24"/>
              </w:rPr>
              <w:t>/api/v1/calculations/{id}</w:t>
            </w:r>
          </w:p>
        </w:tc>
        <w:tc>
          <w:tcPr>
            <w:tcW w:type="dxa" w:w="1938"/>
          </w:tcPr>
          <w:p>
            <w:pPr>
              <w:spacing w:before="40" w:after="40" w:line="320" w:lineRule="exact"/>
              <w:ind w:firstLine="0"/>
            </w:pPr>
            <w:r/>
            <w:r>
              <w:rPr>
                <w:rFonts w:ascii="Times New Roman" w:hAnsi="Times New Roman" w:cs="Times New Roman" w:eastAsia="Times New Roman"/>
                <w:b w:val="0"/>
                <w:sz w:val="24"/>
              </w:rPr>
              <w:t>Детали расчёта</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t>Экспорт</w:t>
            </w:r>
          </w:p>
        </w:tc>
        <w:tc>
          <w:tcPr>
            <w:tcW w:type="dxa" w:w="1938"/>
          </w:tcPr>
          <w:p>
            <w:pPr>
              <w:spacing w:before="40" w:after="40" w:line="320" w:lineRule="exact"/>
              <w:ind w:firstLine="0"/>
            </w:pPr>
            <w:r/>
            <w:r>
              <w:rPr>
                <w:rFonts w:ascii="Times New Roman" w:hAnsi="Times New Roman" w:cs="Times New Roman" w:eastAsia="Times New Roman"/>
                <w:b w:val="0"/>
                <w:sz w:val="24"/>
              </w:rPr>
              <w:t>GET</w:t>
            </w:r>
          </w:p>
        </w:tc>
        <w:tc>
          <w:tcPr>
            <w:tcW w:type="dxa" w:w="1938"/>
          </w:tcPr>
          <w:p>
            <w:pPr>
              <w:spacing w:before="40" w:after="40" w:line="320" w:lineRule="exact"/>
              <w:ind w:firstLine="0"/>
            </w:pPr>
            <w:r/>
            <w:r>
              <w:rPr>
                <w:rFonts w:ascii="Times New Roman" w:hAnsi="Times New Roman" w:cs="Times New Roman" w:eastAsia="Times New Roman"/>
                <w:b w:val="0"/>
                <w:sz w:val="24"/>
              </w:rPr>
              <w:t>/api/v1/calculations/{id}/pdf</w:t>
            </w:r>
          </w:p>
        </w:tc>
        <w:tc>
          <w:tcPr>
            <w:tcW w:type="dxa" w:w="1938"/>
          </w:tcPr>
          <w:p>
            <w:pPr>
              <w:spacing w:before="40" w:after="40" w:line="320" w:lineRule="exact"/>
              <w:ind w:firstLine="0"/>
            </w:pPr>
            <w:r/>
            <w:r>
              <w:rPr>
                <w:rFonts w:ascii="Times New Roman" w:hAnsi="Times New Roman" w:cs="Times New Roman" w:eastAsia="Times New Roman"/>
                <w:b w:val="0"/>
                <w:sz w:val="24"/>
              </w:rPr>
              <w:t>Экспорт в PDF</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GET</w:t>
            </w:r>
          </w:p>
        </w:tc>
        <w:tc>
          <w:tcPr>
            <w:tcW w:type="dxa" w:w="1938"/>
          </w:tcPr>
          <w:p>
            <w:pPr>
              <w:spacing w:before="40" w:after="40" w:line="320" w:lineRule="exact"/>
              <w:ind w:firstLine="0"/>
            </w:pPr>
            <w:r/>
            <w:r>
              <w:rPr>
                <w:rFonts w:ascii="Times New Roman" w:hAnsi="Times New Roman" w:cs="Times New Roman" w:eastAsia="Times New Roman"/>
                <w:b w:val="0"/>
                <w:sz w:val="24"/>
              </w:rPr>
              <w:t>/api/v1/calculations/{id}/excel</w:t>
            </w:r>
          </w:p>
        </w:tc>
        <w:tc>
          <w:tcPr>
            <w:tcW w:type="dxa" w:w="1938"/>
          </w:tcPr>
          <w:p>
            <w:pPr>
              <w:spacing w:before="40" w:after="40" w:line="320" w:lineRule="exact"/>
              <w:ind w:firstLine="0"/>
            </w:pPr>
            <w:r/>
            <w:r>
              <w:rPr>
                <w:rFonts w:ascii="Times New Roman" w:hAnsi="Times New Roman" w:cs="Times New Roman" w:eastAsia="Times New Roman"/>
                <w:b w:val="0"/>
                <w:sz w:val="24"/>
              </w:rPr>
              <w:t>Экспорт в Excel</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t>Аутентификация</w:t>
            </w:r>
          </w:p>
        </w:tc>
        <w:tc>
          <w:tcPr>
            <w:tcW w:type="dxa" w:w="1938"/>
          </w:tcPr>
          <w:p>
            <w:pPr>
              <w:spacing w:before="40" w:after="40" w:line="320" w:lineRule="exact"/>
              <w:ind w:firstLine="0"/>
            </w:pPr>
            <w:r/>
            <w:r>
              <w:rPr>
                <w:rFonts w:ascii="Times New Roman" w:hAnsi="Times New Roman" w:cs="Times New Roman" w:eastAsia="Times New Roman"/>
                <w:b w:val="0"/>
                <w:sz w:val="24"/>
              </w:rPr>
              <w:t>POST</w:t>
            </w:r>
          </w:p>
        </w:tc>
        <w:tc>
          <w:tcPr>
            <w:tcW w:type="dxa" w:w="1938"/>
          </w:tcPr>
          <w:p>
            <w:pPr>
              <w:spacing w:before="40" w:after="40" w:line="320" w:lineRule="exact"/>
              <w:ind w:firstLine="0"/>
            </w:pPr>
            <w:r/>
            <w:r>
              <w:rPr>
                <w:rFonts w:ascii="Times New Roman" w:hAnsi="Times New Roman" w:cs="Times New Roman" w:eastAsia="Times New Roman"/>
                <w:b w:val="0"/>
                <w:sz w:val="24"/>
              </w:rPr>
              <w:t>/api/v1/auth/login</w:t>
            </w:r>
          </w:p>
        </w:tc>
        <w:tc>
          <w:tcPr>
            <w:tcW w:type="dxa" w:w="1938"/>
          </w:tcPr>
          <w:p>
            <w:pPr>
              <w:spacing w:before="40" w:after="40" w:line="320" w:lineRule="exact"/>
              <w:ind w:firstLine="0"/>
            </w:pPr>
            <w:r/>
            <w:r>
              <w:rPr>
                <w:rFonts w:ascii="Times New Roman" w:hAnsi="Times New Roman" w:cs="Times New Roman" w:eastAsia="Times New Roman"/>
                <w:b w:val="0"/>
                <w:sz w:val="24"/>
              </w:rPr>
              <w:t>Получение JWT-токена</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r>
        <w:tc>
          <w:tcPr>
            <w:tcW w:type="dxa" w:w="1938"/>
          </w:tcPr>
          <w:p>
            <w:pPr>
              <w:spacing w:before="40" w:after="40" w:line="320" w:lineRule="exact"/>
              <w:ind w:firstLine="0"/>
            </w:pPr>
            <w:r/>
            <w:r>
              <w:rPr>
                <w:rFonts w:ascii="Times New Roman" w:hAnsi="Times New Roman" w:cs="Times New Roman" w:eastAsia="Times New Roman"/>
                <w:b w:val="0"/>
                <w:sz w:val="24"/>
              </w:rPr>
            </w:r>
          </w:p>
        </w:tc>
        <w:tc>
          <w:tcPr>
            <w:tcW w:type="dxa" w:w="1938"/>
          </w:tcPr>
          <w:p>
            <w:pPr>
              <w:spacing w:before="40" w:after="40" w:line="320" w:lineRule="exact"/>
              <w:ind w:firstLine="0"/>
            </w:pPr>
            <w:r/>
            <w:r>
              <w:rPr>
                <w:rFonts w:ascii="Times New Roman" w:hAnsi="Times New Roman" w:cs="Times New Roman" w:eastAsia="Times New Roman"/>
                <w:b w:val="0"/>
                <w:sz w:val="24"/>
              </w:rPr>
              <w:t>POST</w:t>
            </w:r>
          </w:p>
        </w:tc>
        <w:tc>
          <w:tcPr>
            <w:tcW w:type="dxa" w:w="1938"/>
          </w:tcPr>
          <w:p>
            <w:pPr>
              <w:spacing w:before="40" w:after="40" w:line="320" w:lineRule="exact"/>
              <w:ind w:firstLine="0"/>
            </w:pPr>
            <w:r/>
            <w:r>
              <w:rPr>
                <w:rFonts w:ascii="Times New Roman" w:hAnsi="Times New Roman" w:cs="Times New Roman" w:eastAsia="Times New Roman"/>
                <w:b w:val="0"/>
                <w:sz w:val="24"/>
              </w:rPr>
              <w:t>/api/v1/auth/refresh</w:t>
            </w:r>
          </w:p>
        </w:tc>
        <w:tc>
          <w:tcPr>
            <w:tcW w:type="dxa" w:w="1938"/>
          </w:tcPr>
          <w:p>
            <w:pPr>
              <w:spacing w:before="40" w:after="40" w:line="320" w:lineRule="exact"/>
              <w:ind w:firstLine="0"/>
            </w:pPr>
            <w:r/>
            <w:r>
              <w:rPr>
                <w:rFonts w:ascii="Times New Roman" w:hAnsi="Times New Roman" w:cs="Times New Roman" w:eastAsia="Times New Roman"/>
                <w:b w:val="0"/>
                <w:sz w:val="24"/>
              </w:rPr>
              <w:t>Обновление токена</w:t>
            </w:r>
          </w:p>
        </w:tc>
        <w:tc>
          <w:tcPr>
            <w:tcW w:type="dxa" w:w="1938"/>
          </w:tcPr>
          <w:p>
            <w:pPr>
              <w:spacing w:before="40" w:after="40" w:line="320" w:lineRule="exact"/>
              <w:ind w:firstLine="0"/>
            </w:pPr>
            <w:r/>
            <w:r>
              <w:rPr>
                <w:rFonts w:ascii="Times New Roman" w:hAnsi="Times New Roman" w:cs="Times New Roman" w:eastAsia="Times New Roman"/>
                <w:b w:val="0"/>
                <w:sz w:val="24"/>
              </w:rPr>
              <w:t>200</w:t>
            </w:r>
          </w:p>
        </w:tc>
      </w:tr>
    </w:tbl>
    <w:p>
      <w:pPr/>
      <w:r>
        <w:rPr>
          <w:rFonts w:ascii="Times New Roman" w:hAnsi="Times New Roman" w:cs="Times New Roman" w:eastAsia="Times New Roman"/>
          <w:b w:val="0"/>
          <w:sz w:val="28"/>
        </w:rPr>
        <w:t>Формат обмена — JSON. Pydantic-схемы, описанные в §2.2, обеспечивают валидацию запросов и автоматическую генерацию спецификации OpenAPI 3.0. Версионирование API (префикс /v1/) позволяет в будущем развивать интерфейс без нарушения работы существующих клиентов. Каждый запрос, кроме /auth/login, требует заголовка Authorization: Bearer {token}, где token — действующий JWT-токен.</w:t>
      </w:r>
    </w:p>
    <w:p>
      <w:pPr/>
      <w:r>
        <w:rPr>
          <w:rFonts w:ascii="Times New Roman" w:hAnsi="Times New Roman" w:cs="Times New Roman" w:eastAsia="Times New Roman"/>
          <w:b w:val="0"/>
          <w:sz w:val="28"/>
        </w:rPr>
        <w:t>На рисунке 2.3 представлена диаграмма классов вычислительного модуля. Э. Гамма и соавторы описывают паттерн Strategy, позволяющий определить семейство алгоритмов, инкапсулировать каждый из них и сделать взаимозаменяемыми [6]. Для проектируемого приложения выделены четыре стратегии расчёта, каждая из которых реализует интерфейс CalculationStrategy с единственным методом calculate, принимающим объект DepositParams и возвращающим объект CalculationResult.</w:t>
      </w:r>
    </w:p>
    <w:p>
      <w:pPr/>
      <w:r>
        <w:rPr>
          <w:rFonts w:ascii="Times New Roman" w:hAnsi="Times New Roman" w:cs="Times New Roman" w:eastAsia="Times New Roman"/>
          <w:b w:val="0"/>
          <w:sz w:val="28"/>
        </w:rPr>
        <w:t>Стратегия DiscreteCapitalizationStrategy реализует базовую модель дискретной капитализации по рекуррентной формуле S_k = S_{k-1} × (1 + r/n), описанной Е.М. Четыркиным [18]. Класс содержит атрибуты initial_amount (тип Decimal), annual_rate (Decimal), periods_per_year (int) и term_months (int). Метод calculate выполняет пошаговый цикл по числу периодов капитализации, вычисляя промежуточный баланс на каждом шаге и сохраняя результат в массив помесячной детализации.</w:t>
      </w:r>
    </w:p>
    <w:p>
      <w:pPr/>
      <w:r>
        <w:rPr>
          <w:rFonts w:ascii="Times New Roman" w:hAnsi="Times New Roman" w:cs="Times New Roman" w:eastAsia="Times New Roman"/>
          <w:b w:val="0"/>
          <w:sz w:val="28"/>
        </w:rPr>
        <w:t>Модель непрерывного начисления реализована в ContinuousCapitalizationStrategy по формуле FV = PV × e^(r×t). Роль этой стратегии справочная: она определяет верхнюю границу дохода, как показано в параграфе 1.2.</w:t>
      </w:r>
    </w:p>
    <w:p>
      <w:pPr/>
      <w:r>
        <w:rPr>
          <w:rFonts w:ascii="Times New Roman" w:hAnsi="Times New Roman" w:cs="Times New Roman" w:eastAsia="Times New Roman"/>
          <w:b w:val="0"/>
          <w:sz w:val="28"/>
        </w:rPr>
        <w:t>Вклады с переменной процентной ставкой обрабатывает VariableRateStrategy. Класс принимает массив объектов RatePeriod, каждый из которых содержит ставку и период её действия. Наращение рассчитывается пошагово: для каждого месяца определяется действующая ставка из массива, и баланс пересчитывается по формуле дискретной капитализации с подставленным значением.</w:t>
      </w:r>
    </w:p>
    <w:p>
      <w:pPr/>
      <w:r>
        <w:rPr>
          <w:rFonts w:ascii="Times New Roman" w:hAnsi="Times New Roman" w:cs="Times New Roman" w:eastAsia="Times New Roman"/>
          <w:b w:val="0"/>
          <w:sz w:val="28"/>
        </w:rPr>
        <w:t>Регулярные пополнения учитывает AnnuityStrategy, расширяющая базовую модель. На каждом шаге цикла к балансу прибавляется сумма взноса перед начислением процентов. Формула одного шага принимает вид S_k = (S_{k-1} + P) × (1 + r/n), где P обозначает сумму пополнения за период.</w:t>
      </w:r>
    </w:p>
    <w:p>
      <w:pPr/>
      <w:r>
        <w:rPr>
          <w:rFonts w:ascii="Times New Roman" w:hAnsi="Times New Roman" w:cs="Times New Roman" w:eastAsia="Times New Roman"/>
          <w:b w:val="0"/>
          <w:sz w:val="28"/>
        </w:rPr>
        <w:t>Помимо стратегий, диаграмма содержит класс TaxCalculator с методом calculate_tax, принимающим сумму начисленных процентов и ставку налога. Законодательство Кыргызской Республики устанавливает ставку подоходного налога на процентный доход физических лиц [2]. TaxCalculator возвращает сумму удержания, которая вычитается из итогового результата. Класс-координатор DepositCalculator агрегирует стратегию и TaxCalculator, делегирует расчёт выбранной стратегии, применяет налоговый расчёт и формирует финальный объект CalculationResult, содержащий итоговую сумму, общий доход, сумму налога, эффективную ставку и помесячную детализацию.</w:t>
      </w:r>
    </w:p>
    <w:p>
      <w:pPr/>
      <w:r>
        <w:rPr>
          <w:rFonts w:ascii="Times New Roman" w:hAnsi="Times New Roman" w:cs="Times New Roman" w:eastAsia="Times New Roman"/>
          <w:b w:val="0"/>
          <w:sz w:val="28"/>
        </w:rPr>
        <w:t>На рисунке 2.4 представлена диаграмма последовательности для основного сценария «Рассчитать вклад», описанного в параграфе 2.1. Г. Буч указывает, что диаграмма последовательности фиксирует временной порядок обмена сообщениями между объектами [5]. Рассмотрим поток сообщений. Оператор заполняет форму в браузере и нажимает кнопку расчёта. React-компонент формирует JSON-объект с параметрами вклада и отправляет HTTP POST-запрос на адрес /api/v1/calculations. Запрос проходит через Nginx и попадает в FastAPI-маршрутизатор. Маршрутизатор передаёт данные Pydantic-валидатору. Валидатор проверяет типы, диапазоны и обязательность полей. При обнаружении ошибки формируется ответ с кодом 422 и описанием нарушения; поток прерывается. При успешной валидации маршрутизатор вызывает метод сервисного слоя CalculationService.calculate. Сервис определяет тип расчёта по параметрам и создаёт соответствующую стратегию. Стратегия выполняет вычисление и возвращает объект CalculationResult. Сервис передаёт результат в TaxCalculator для расчёта налогового удержания. Затем сервис обращается к CalculationRepository для сохранения записи в таблицу calculations. Репозиторий выполняет SQL-запрос INSERT и возвращает идентификатор сохранённой записи. Маршрутизатор формирует HTTP-ответ с кодом 201 и телом, содержащим итоговую сумму, проценты, налог, эффективную ставку и массив помесячной детализации. React-компонент получает ответ, обновляет состояние и отрисовывает таблицу результатов и график роста вклада. Время от отправки запроса до отображения результата не превышает 2 секунд для стандартного расчёта (NFR-2).</w:t>
      </w:r>
    </w:p>
    <w:p>
      <w:pPr>
        <w:spacing w:before="120" w:after="120"/>
        <w:ind w:firstLine="709"/>
        <w:jc w:val="both"/>
      </w:pPr>
      <w:r>
        <w:rPr>
          <w:rFonts w:ascii="Times New Roman" w:hAnsi="Times New Roman" w:cs="Times New Roman" w:eastAsia="Times New Roman"/>
          <w:b/>
          <w:sz w:val="28"/>
        </w:rPr>
        <w:t>Проектирование подсистемы безопасности</w:t>
      </w:r>
    </w:p>
    <w:p>
      <w:pPr/>
      <w:r>
        <w:rPr>
          <w:rFonts w:ascii="Times New Roman" w:hAnsi="Times New Roman" w:cs="Times New Roman" w:eastAsia="Times New Roman"/>
          <w:b w:val="0"/>
          <w:sz w:val="28"/>
        </w:rPr>
        <w:t>Требование NFR-4 предписывает защиту персональных сведений клиентов и обеспечение аудиторского следа. Подсистема безопасности включает четыре механизма.</w:t>
      </w:r>
    </w:p>
    <w:p>
      <w:pPr/>
      <w:r>
        <w:rPr>
          <w:rFonts w:ascii="Times New Roman" w:hAnsi="Times New Roman" w:cs="Times New Roman" w:eastAsia="Times New Roman"/>
          <w:b w:val="0"/>
          <w:sz w:val="28"/>
        </w:rPr>
        <w:t>Аутентификация реализована на основе JWT (JSON Web Token). При входе оператор передаёт логин и пароль на эндпоинт /api/v1/auth/login. Сервер проверяет учётные данные, и при совпадении генерирует пару токенов: access_token со сроком действия 30 минут и refresh_token со сроком 7 дней. Access-токен передаётся в заголовке Authorization при каждом запросе; по истечении срока клиентская часть запрашивает новый через refresh-эндпоинт. Пароли хранятся в базе в хешированном виде (алгоритм bcrypt с cost factor 12), что исключает восстановление исходного пароля даже при компрометации базы данных.</w:t>
      </w:r>
    </w:p>
    <w:p>
      <w:pPr/>
      <w:r>
        <w:rPr>
          <w:rFonts w:ascii="Times New Roman" w:hAnsi="Times New Roman" w:cs="Times New Roman" w:eastAsia="Times New Roman"/>
          <w:b w:val="0"/>
          <w:sz w:val="28"/>
        </w:rPr>
        <w:t>Авторизация построена на ролевой модели (RBAC). Две роли — operator и admin — определяют набор доступных эндпоинтов. Оператор выполняет расчёты, управляет клиентами и экспортирует отчёты. Администратор дополнительно управляет учётными записями и системными настройками. Middleware проверяет роль из JWT-токена до вызова обработчика маршрута; при несоответствии возвращается ответ с кодом 403.</w:t>
      </w:r>
    </w:p>
    <w:p>
      <w:pPr/>
      <w:r>
        <w:rPr>
          <w:rFonts w:ascii="Times New Roman" w:hAnsi="Times New Roman" w:cs="Times New Roman" w:eastAsia="Times New Roman"/>
          <w:b w:val="0"/>
          <w:sz w:val="28"/>
        </w:rPr>
        <w:t>Шифрование трафика обеспечивается протоколом TLS 1.3. Nginx принимает HTTPS-соединения и терминирует SSL, передавая расшифрованный трафик бэкенду по внутренней сети Docker. Сертификат может быть получен через Let's Encrypt (для публичного развёртывания) или сгенерирован самоподписанным (для локальной среды).</w:t>
      </w:r>
    </w:p>
    <w:p>
      <w:pPr/>
      <w:r>
        <w:rPr>
          <w:rFonts w:ascii="Times New Roman" w:hAnsi="Times New Roman" w:cs="Times New Roman" w:eastAsia="Times New Roman"/>
          <w:b w:val="0"/>
          <w:sz w:val="28"/>
        </w:rPr>
        <w:t>Журнал аудита фиксирует каждое действие пользователя: создание и изменение клиентских карточек, выполнение расчётов, экспорт отчётов и попытки авторизации. Запись содержит идентификатор пользователя, тип действия, временнýю метку и IP-адрес. Журнал хранится в отдельной таблице audit_log с политикой хранения 5 лет, что превышает минимальный срок, установленный НБКР для хранения финансовых документов.</w:t>
      </w:r>
    </w:p>
    <w:p>
      <w:pPr>
        <w:spacing w:before="120" w:after="120"/>
        <w:ind w:firstLine="709"/>
        <w:jc w:val="both"/>
      </w:pPr>
      <w:r>
        <w:rPr>
          <w:rFonts w:ascii="Times New Roman" w:hAnsi="Times New Roman" w:cs="Times New Roman" w:eastAsia="Times New Roman"/>
          <w:b/>
          <w:sz w:val="28"/>
        </w:rPr>
        <w:t>Проектирование базы данных</w:t>
      </w:r>
    </w:p>
    <w:p>
      <w:pPr/>
      <w:r>
        <w:rPr>
          <w:rFonts w:ascii="Times New Roman" w:hAnsi="Times New Roman" w:cs="Times New Roman" w:eastAsia="Times New Roman"/>
          <w:b w:val="0"/>
          <w:sz w:val="28"/>
        </w:rPr>
        <w:t>ER-модель (Entity-Relationship) базы данных представлена на рисунке 2.5. H. Dombrovskaya и соавторы подчёркивают, что проектирование схемы базы для финансового приложения начинается с определения сущностей и их атрибутов, после чего устанавливаются связи и выбирается степень нормализации [28]. Модель содержит шесть таблиц. Каждая соответствует одной сущности предметной области.</w:t>
      </w:r>
    </w:p>
    <w:p>
      <w:pPr/>
      <w:r>
        <w:rPr>
          <w:rFonts w:ascii="Times New Roman" w:hAnsi="Times New Roman" w:cs="Times New Roman" w:eastAsia="Times New Roman"/>
          <w:b w:val="0"/>
          <w:sz w:val="28"/>
        </w:rPr>
        <w:t>Сведения о вкладчиках хранит таблица clients. Первичный ключ id имеет тип SERIAL и генерируется автоматически. Поля last_name, first_name (VARCHAR(100), NOT NULL) содержат фамилию и имя клиента; поле patronymic (VARCHAR(100)) допускает пустое значение, поскольку отчество присутствует не у всех вкладчиков. Поле birth_date (DATE, NOT NULL) фиксирует дату рождения. Паспортные сведения распределены по полям passport_series (VARCHAR(10)) и passport_number (VARCHAR(20), NOT NULL). Контактные данные хранятся в полях phone (VARCHAR(20), NOT NULL) и email (VARCHAR(255)). Служебные поля created_at (TIMESTAMP, значение по умолчанию — текущая метка времени) и is_active (BOOLEAN, значение по умолчанию TRUE) обеспечивают фиксацию момента создания записи и возможность «мягкого» удаления без физического уничтожения строки.</w:t>
      </w:r>
    </w:p>
    <w:p>
      <w:pPr/>
      <w:r>
        <w:rPr>
          <w:rFonts w:ascii="Times New Roman" w:hAnsi="Times New Roman" w:cs="Times New Roman" w:eastAsia="Times New Roman"/>
          <w:b w:val="0"/>
          <w:sz w:val="28"/>
        </w:rPr>
        <w:t>Депозитные договоры описаны в таблице deposits. Помимо первичного ключа id, она содержит внешний ключ client_id, ссылающийся на таблицу clients. Связь между deposits и clients имеет тип «многие к одному»: один клиент может иметь несколько вкладов. Поле deposit_type (VARCHAR(50), NOT NULL) принимает значения standard, replenishable и variable_rate. Финансовые параметры хранятся в полях initial_amount и current_amount (NUMERIC(18,2), NOT NULL). Тип NUMERIC(18,2) обеспечивает точное хранение сумм до 10^16 сомов с двумя знаками после запятой, что многократно перекрывает диапазон реальных депозитов МКО [28]. Годовая ставка записана в поле annual_rate (NUMERIC(6,4)), где четыре знака после запятой позволяют хранить ставки вида 14,2575 %. Период капитализации зафиксирован в поле capitalization_period (VARCHAR(20)) со значениями monthly, quarterly, semi_annual и annual. Даты начала и окончания договора хранятся в полях start_date и end_date (DATE, NOT NULL). Поле created_by (INTEGER) содержит идентификатор оператора, оформившего вклад.</w:t>
      </w:r>
    </w:p>
    <w:p>
      <w:pPr/>
      <w:r>
        <w:rPr>
          <w:rFonts w:ascii="Times New Roman" w:hAnsi="Times New Roman" w:cs="Times New Roman" w:eastAsia="Times New Roman"/>
          <w:b w:val="0"/>
          <w:sz w:val="28"/>
        </w:rPr>
        <w:t>Для вкладов с переменной ставкой введена таблица interest_rates. Каждая запись содержит внешний ключ deposit_id, ссылку на конкретный вклад, значение ставки rate (NUMERIC(6,4)), дату начала действия effective_from (DATE) и дату окончания effective_to (DATE, допускает NULL для текущей активной ставки). Связь с deposits имеет тип «многие к одному»: один вклад может содержать несколько периодов с различными ставками. При расчёте по стратегии VariableRateStrategy записи извлекаются из этой таблицы, сортируются по дате и передаются в вычислительный модуль.</w:t>
      </w:r>
    </w:p>
    <w:p>
      <w:pPr/>
      <w:r>
        <w:rPr>
          <w:rFonts w:ascii="Times New Roman" w:hAnsi="Times New Roman" w:cs="Times New Roman" w:eastAsia="Times New Roman"/>
          <w:b w:val="0"/>
          <w:sz w:val="28"/>
        </w:rPr>
        <w:t>Все денежные операции по вкладу фиксирует таблица transactions. Поле transaction_type (VARCHAR(20)) принимает значения replenishment (пополнение), withdrawal (частичное снятие) и interest_accrual (начисление процентов). Поле amount (NUMERIC(18,2)) содержит сумму операции, balance_after (NUMERIC(18,2)) — остаток после операции, transaction_date (DATE) — дату совершения. Связь с deposits — «многие к одному». Каждая строка — одна операция. Полный журнал транзакций обеспечивает прослеживаемость каждого изменения баланса, что соответствует требованиям аудита (NFR-4).</w:t>
      </w:r>
    </w:p>
    <w:p>
      <w:pPr/>
      <w:r>
        <w:rPr>
          <w:rFonts w:ascii="Times New Roman" w:hAnsi="Times New Roman" w:cs="Times New Roman" w:eastAsia="Times New Roman"/>
          <w:b w:val="0"/>
          <w:sz w:val="28"/>
        </w:rPr>
        <w:t>Результаты выполненных расчётов сохраняются в таблице calculations. Поле deposit_id (INTEGER, допускает NULL) ссылается на вклад; пустое значение указывает на предварительный расчёт, выполненный без привязки к договору. Поля initial_amount, final_amount, total_interest и tax_amount (NUMERIC(18,2)) содержат основные финансовые показатели. Поле effective_rate (NUMERIC(8,6)) хранит эффективную ставку с точностью до шести знаков. Два поля типа JSONB — parameters и monthly_details — содержат входные параметры расчёта и помесячную детализацию соответственно. Хранение детализации в формате JSONB допускает произвольное число строк без фиксированной структуры; при сроке вклада 12 месяцев массив содержит 12 элементов, при сроке 60 месяцев — 60. Поле calculated_at (TIMESTAMP) фиксирует момент расчёта.</w:t>
      </w:r>
    </w:p>
    <w:p>
      <w:pPr/>
      <w:r>
        <w:rPr>
          <w:rFonts w:ascii="Times New Roman" w:hAnsi="Times New Roman" w:cs="Times New Roman" w:eastAsia="Times New Roman"/>
          <w:b w:val="0"/>
          <w:sz w:val="28"/>
        </w:rPr>
        <w:t>Журнал аудита хранится в таблице audit_log. Поля user_id (INTEGER, NOT NULL), action (VARCHAR(50)), entity_type (VARCHAR(50)), entity_id (INTEGER), details (JSONB), ip_address (VARCHAR(45)) и created_at (TIMESTAMP) обеспечивают полную запись каждого действия пользователя. Тип VARCHAR(45) для IP-адреса вмещает как IPv4, так и IPv6 адреса. Поле details в формате JSONB хранит дополнительные сведения: для операции «изменение клиента» — старые и новые значения полей, для «расчёт» — ключевые параметры запроса.</w:t>
      </w:r>
    </w:p>
    <w:p>
      <w:pPr/>
      <w:r>
        <w:rPr>
          <w:rFonts w:ascii="Times New Roman" w:hAnsi="Times New Roman" w:cs="Times New Roman" w:eastAsia="Times New Roman"/>
          <w:b w:val="0"/>
          <w:sz w:val="28"/>
        </w:rPr>
        <w:t>Между таблицами установлены связи, обеспечивающие ссылочную целостность. Внешний ключ deposits.client_id ссылается на clients.id с каскадным ограничением ON DELETE RESTRICT: удаление клиента, имеющего активные вклады, запрещено. Внешние ключи interest_rates.deposit_id, transactions.deposit_id и calculations.deposit_id ссылаются на deposits.id. Для ускорения типичных запросов создаются индексы, перечисленные в таблице 2.3.2.</w:t>
      </w:r>
    </w:p>
    <w:p>
      <w:pPr>
        <w:spacing w:before="120" w:after="120"/>
        <w:ind w:firstLine="0"/>
        <w:jc w:val="center"/>
      </w:pPr>
      <w:r>
        <w:rPr>
          <w:rFonts w:ascii="Times New Roman" w:hAnsi="Times New Roman" w:cs="Times New Roman" w:eastAsia="Times New Roman"/>
          <w:b/>
          <w:sz w:val="24"/>
        </w:rPr>
        <w:t>Таблица 2.3.2 — Индексы базы данных</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before="40" w:after="40" w:line="320" w:lineRule="exact"/>
              <w:ind w:firstLine="0"/>
            </w:pPr>
            <w:r/>
            <w:r>
              <w:rPr>
                <w:rFonts w:ascii="Times New Roman" w:hAnsi="Times New Roman" w:cs="Times New Roman" w:eastAsia="Times New Roman"/>
                <w:b/>
                <w:sz w:val="24"/>
              </w:rPr>
              <w:t>Таблица</w:t>
            </w:r>
          </w:p>
        </w:tc>
        <w:tc>
          <w:tcPr>
            <w:tcW w:type="dxa" w:w="2422"/>
          </w:tcPr>
          <w:p>
            <w:pPr>
              <w:spacing w:before="40" w:after="40" w:line="320" w:lineRule="exact"/>
              <w:ind w:firstLine="0"/>
            </w:pPr>
            <w:r/>
            <w:r>
              <w:rPr>
                <w:rFonts w:ascii="Times New Roman" w:hAnsi="Times New Roman" w:cs="Times New Roman" w:eastAsia="Times New Roman"/>
                <w:b/>
                <w:sz w:val="24"/>
              </w:rPr>
              <w:t>Столбец(ы)</w:t>
            </w:r>
          </w:p>
        </w:tc>
        <w:tc>
          <w:tcPr>
            <w:tcW w:type="dxa" w:w="2422"/>
          </w:tcPr>
          <w:p>
            <w:pPr>
              <w:spacing w:before="40" w:after="40" w:line="320" w:lineRule="exact"/>
              <w:ind w:firstLine="0"/>
            </w:pPr>
            <w:r/>
            <w:r>
              <w:rPr>
                <w:rFonts w:ascii="Times New Roman" w:hAnsi="Times New Roman" w:cs="Times New Roman" w:eastAsia="Times New Roman"/>
                <w:b/>
                <w:sz w:val="24"/>
              </w:rPr>
              <w:t>Тип индекса</w:t>
            </w:r>
          </w:p>
        </w:tc>
        <w:tc>
          <w:tcPr>
            <w:tcW w:type="dxa" w:w="2422"/>
          </w:tcPr>
          <w:p>
            <w:pPr>
              <w:spacing w:before="40" w:after="40" w:line="320" w:lineRule="exact"/>
              <w:ind w:firstLine="0"/>
            </w:pPr>
            <w:r/>
            <w:r>
              <w:rPr>
                <w:rFonts w:ascii="Times New Roman" w:hAnsi="Times New Roman" w:cs="Times New Roman" w:eastAsia="Times New Roman"/>
                <w:b/>
                <w:sz w:val="24"/>
              </w:rPr>
              <w:t>Назначение</w:t>
            </w:r>
          </w:p>
        </w:tc>
      </w:tr>
      <w:tr>
        <w:tc>
          <w:tcPr>
            <w:tcW w:type="dxa" w:w="2422"/>
          </w:tcPr>
          <w:p>
            <w:pPr>
              <w:spacing w:before="40" w:after="40" w:line="320" w:lineRule="exact"/>
              <w:ind w:firstLine="0"/>
            </w:pPr>
            <w:r/>
            <w:r>
              <w:rPr>
                <w:rFonts w:ascii="Times New Roman" w:hAnsi="Times New Roman" w:cs="Times New Roman" w:eastAsia="Times New Roman"/>
                <w:b w:val="0"/>
                <w:sz w:val="24"/>
              </w:rPr>
              <w:t>deposits</w:t>
            </w:r>
          </w:p>
        </w:tc>
        <w:tc>
          <w:tcPr>
            <w:tcW w:type="dxa" w:w="2422"/>
          </w:tcPr>
          <w:p>
            <w:pPr>
              <w:spacing w:before="40" w:after="40" w:line="320" w:lineRule="exact"/>
              <w:ind w:firstLine="0"/>
            </w:pPr>
            <w:r/>
            <w:r>
              <w:rPr>
                <w:rFonts w:ascii="Times New Roman" w:hAnsi="Times New Roman" w:cs="Times New Roman" w:eastAsia="Times New Roman"/>
                <w:b w:val="0"/>
                <w:sz w:val="24"/>
              </w:rPr>
              <w:t>client_id</w:t>
            </w:r>
          </w:p>
        </w:tc>
        <w:tc>
          <w:tcPr>
            <w:tcW w:type="dxa" w:w="2422"/>
          </w:tcPr>
          <w:p>
            <w:pPr>
              <w:spacing w:before="40" w:after="40" w:line="320" w:lineRule="exact"/>
              <w:ind w:firstLine="0"/>
            </w:pPr>
            <w:r/>
            <w:r>
              <w:rPr>
                <w:rFonts w:ascii="Times New Roman" w:hAnsi="Times New Roman" w:cs="Times New Roman" w:eastAsia="Times New Roman"/>
                <w:b w:val="0"/>
                <w:sz w:val="24"/>
              </w:rPr>
              <w:t>B-tree</w:t>
            </w:r>
          </w:p>
        </w:tc>
        <w:tc>
          <w:tcPr>
            <w:tcW w:type="dxa" w:w="2422"/>
          </w:tcPr>
          <w:p>
            <w:pPr>
              <w:spacing w:before="40" w:after="40" w:line="320" w:lineRule="exact"/>
              <w:ind w:firstLine="0"/>
            </w:pPr>
            <w:r/>
            <w:r>
              <w:rPr>
                <w:rFonts w:ascii="Times New Roman" w:hAnsi="Times New Roman" w:cs="Times New Roman" w:eastAsia="Times New Roman"/>
                <w:b w:val="0"/>
                <w:sz w:val="24"/>
              </w:rPr>
              <w:t>Поиск вкладов клиента</w:t>
            </w:r>
          </w:p>
        </w:tc>
      </w:tr>
      <w:tr>
        <w:tc>
          <w:tcPr>
            <w:tcW w:type="dxa" w:w="2422"/>
          </w:tcPr>
          <w:p>
            <w:pPr>
              <w:spacing w:before="40" w:after="40" w:line="320" w:lineRule="exact"/>
              <w:ind w:firstLine="0"/>
            </w:pPr>
            <w:r/>
            <w:r>
              <w:rPr>
                <w:rFonts w:ascii="Times New Roman" w:hAnsi="Times New Roman" w:cs="Times New Roman" w:eastAsia="Times New Roman"/>
                <w:b w:val="0"/>
                <w:sz w:val="24"/>
              </w:rPr>
              <w:t>transactions</w:t>
            </w:r>
          </w:p>
        </w:tc>
        <w:tc>
          <w:tcPr>
            <w:tcW w:type="dxa" w:w="2422"/>
          </w:tcPr>
          <w:p>
            <w:pPr>
              <w:spacing w:before="40" w:after="40" w:line="320" w:lineRule="exact"/>
              <w:ind w:firstLine="0"/>
            </w:pPr>
            <w:r/>
            <w:r>
              <w:rPr>
                <w:rFonts w:ascii="Times New Roman" w:hAnsi="Times New Roman" w:cs="Times New Roman" w:eastAsia="Times New Roman"/>
                <w:b w:val="0"/>
                <w:sz w:val="24"/>
              </w:rPr>
              <w:t>deposit_id</w:t>
            </w:r>
          </w:p>
        </w:tc>
        <w:tc>
          <w:tcPr>
            <w:tcW w:type="dxa" w:w="2422"/>
          </w:tcPr>
          <w:p>
            <w:pPr>
              <w:spacing w:before="40" w:after="40" w:line="320" w:lineRule="exact"/>
              <w:ind w:firstLine="0"/>
            </w:pPr>
            <w:r/>
            <w:r>
              <w:rPr>
                <w:rFonts w:ascii="Times New Roman" w:hAnsi="Times New Roman" w:cs="Times New Roman" w:eastAsia="Times New Roman"/>
                <w:b w:val="0"/>
                <w:sz w:val="24"/>
              </w:rPr>
              <w:t>B-tree</w:t>
            </w:r>
          </w:p>
        </w:tc>
        <w:tc>
          <w:tcPr>
            <w:tcW w:type="dxa" w:w="2422"/>
          </w:tcPr>
          <w:p>
            <w:pPr>
              <w:spacing w:before="40" w:after="40" w:line="320" w:lineRule="exact"/>
              <w:ind w:firstLine="0"/>
            </w:pPr>
            <w:r/>
            <w:r>
              <w:rPr>
                <w:rFonts w:ascii="Times New Roman" w:hAnsi="Times New Roman" w:cs="Times New Roman" w:eastAsia="Times New Roman"/>
                <w:b w:val="0"/>
                <w:sz w:val="24"/>
              </w:rPr>
              <w:t>Журнал операций по вкладу</w:t>
            </w:r>
          </w:p>
        </w:tc>
      </w:tr>
      <w:tr>
        <w:tc>
          <w:tcPr>
            <w:tcW w:type="dxa" w:w="2422"/>
          </w:tcPr>
          <w:p>
            <w:pPr>
              <w:spacing w:before="40" w:after="40" w:line="320" w:lineRule="exact"/>
              <w:ind w:firstLine="0"/>
            </w:pPr>
            <w:r/>
            <w:r>
              <w:rPr>
                <w:rFonts w:ascii="Times New Roman" w:hAnsi="Times New Roman" w:cs="Times New Roman" w:eastAsia="Times New Roman"/>
                <w:b w:val="0"/>
                <w:sz w:val="24"/>
              </w:rPr>
              <w:t>transactions</w:t>
            </w:r>
          </w:p>
        </w:tc>
        <w:tc>
          <w:tcPr>
            <w:tcW w:type="dxa" w:w="2422"/>
          </w:tcPr>
          <w:p>
            <w:pPr>
              <w:spacing w:before="40" w:after="40" w:line="320" w:lineRule="exact"/>
              <w:ind w:firstLine="0"/>
            </w:pPr>
            <w:r/>
            <w:r>
              <w:rPr>
                <w:rFonts w:ascii="Times New Roman" w:hAnsi="Times New Roman" w:cs="Times New Roman" w:eastAsia="Times New Roman"/>
                <w:b w:val="0"/>
                <w:sz w:val="24"/>
              </w:rPr>
              <w:t>transaction_date</w:t>
            </w:r>
          </w:p>
        </w:tc>
        <w:tc>
          <w:tcPr>
            <w:tcW w:type="dxa" w:w="2422"/>
          </w:tcPr>
          <w:p>
            <w:pPr>
              <w:spacing w:before="40" w:after="40" w:line="320" w:lineRule="exact"/>
              <w:ind w:firstLine="0"/>
            </w:pPr>
            <w:r/>
            <w:r>
              <w:rPr>
                <w:rFonts w:ascii="Times New Roman" w:hAnsi="Times New Roman" w:cs="Times New Roman" w:eastAsia="Times New Roman"/>
                <w:b w:val="0"/>
                <w:sz w:val="24"/>
              </w:rPr>
              <w:t>B-tree</w:t>
            </w:r>
          </w:p>
        </w:tc>
        <w:tc>
          <w:tcPr>
            <w:tcW w:type="dxa" w:w="2422"/>
          </w:tcPr>
          <w:p>
            <w:pPr>
              <w:spacing w:before="40" w:after="40" w:line="320" w:lineRule="exact"/>
              <w:ind w:firstLine="0"/>
            </w:pPr>
            <w:r/>
            <w:r>
              <w:rPr>
                <w:rFonts w:ascii="Times New Roman" w:hAnsi="Times New Roman" w:cs="Times New Roman" w:eastAsia="Times New Roman"/>
                <w:b w:val="0"/>
                <w:sz w:val="24"/>
              </w:rPr>
              <w:t>Фильтрация по периоду</w:t>
            </w:r>
          </w:p>
        </w:tc>
      </w:tr>
      <w:tr>
        <w:tc>
          <w:tcPr>
            <w:tcW w:type="dxa" w:w="2422"/>
          </w:tcPr>
          <w:p>
            <w:pPr>
              <w:spacing w:before="40" w:after="40" w:line="320" w:lineRule="exact"/>
              <w:ind w:firstLine="0"/>
            </w:pPr>
            <w:r/>
            <w:r>
              <w:rPr>
                <w:rFonts w:ascii="Times New Roman" w:hAnsi="Times New Roman" w:cs="Times New Roman" w:eastAsia="Times New Roman"/>
                <w:b w:val="0"/>
                <w:sz w:val="24"/>
              </w:rPr>
              <w:t>calculations</w:t>
            </w:r>
          </w:p>
        </w:tc>
        <w:tc>
          <w:tcPr>
            <w:tcW w:type="dxa" w:w="2422"/>
          </w:tcPr>
          <w:p>
            <w:pPr>
              <w:spacing w:before="40" w:after="40" w:line="320" w:lineRule="exact"/>
              <w:ind w:firstLine="0"/>
            </w:pPr>
            <w:r/>
            <w:r>
              <w:rPr>
                <w:rFonts w:ascii="Times New Roman" w:hAnsi="Times New Roman" w:cs="Times New Roman" w:eastAsia="Times New Roman"/>
                <w:b w:val="0"/>
                <w:sz w:val="24"/>
              </w:rPr>
              <w:t>calculated_at</w:t>
            </w:r>
          </w:p>
        </w:tc>
        <w:tc>
          <w:tcPr>
            <w:tcW w:type="dxa" w:w="2422"/>
          </w:tcPr>
          <w:p>
            <w:pPr>
              <w:spacing w:before="40" w:after="40" w:line="320" w:lineRule="exact"/>
              <w:ind w:firstLine="0"/>
            </w:pPr>
            <w:r/>
            <w:r>
              <w:rPr>
                <w:rFonts w:ascii="Times New Roman" w:hAnsi="Times New Roman" w:cs="Times New Roman" w:eastAsia="Times New Roman"/>
                <w:b w:val="0"/>
                <w:sz w:val="24"/>
              </w:rPr>
              <w:t>B-tree</w:t>
            </w:r>
          </w:p>
        </w:tc>
        <w:tc>
          <w:tcPr>
            <w:tcW w:type="dxa" w:w="2422"/>
          </w:tcPr>
          <w:p>
            <w:pPr>
              <w:spacing w:before="40" w:after="40" w:line="320" w:lineRule="exact"/>
              <w:ind w:firstLine="0"/>
            </w:pPr>
            <w:r/>
            <w:r>
              <w:rPr>
                <w:rFonts w:ascii="Times New Roman" w:hAnsi="Times New Roman" w:cs="Times New Roman" w:eastAsia="Times New Roman"/>
                <w:b w:val="0"/>
                <w:sz w:val="24"/>
              </w:rPr>
              <w:t>Сортировка по дате</w:t>
            </w:r>
          </w:p>
        </w:tc>
      </w:tr>
      <w:tr>
        <w:tc>
          <w:tcPr>
            <w:tcW w:type="dxa" w:w="2422"/>
          </w:tcPr>
          <w:p>
            <w:pPr>
              <w:spacing w:before="40" w:after="40" w:line="320" w:lineRule="exact"/>
              <w:ind w:firstLine="0"/>
            </w:pPr>
            <w:r/>
            <w:r>
              <w:rPr>
                <w:rFonts w:ascii="Times New Roman" w:hAnsi="Times New Roman" w:cs="Times New Roman" w:eastAsia="Times New Roman"/>
                <w:b w:val="0"/>
                <w:sz w:val="24"/>
              </w:rPr>
              <w:t>calculations</w:t>
            </w:r>
          </w:p>
        </w:tc>
        <w:tc>
          <w:tcPr>
            <w:tcW w:type="dxa" w:w="2422"/>
          </w:tcPr>
          <w:p>
            <w:pPr>
              <w:spacing w:before="40" w:after="40" w:line="320" w:lineRule="exact"/>
              <w:ind w:firstLine="0"/>
            </w:pPr>
            <w:r/>
            <w:r>
              <w:rPr>
                <w:rFonts w:ascii="Times New Roman" w:hAnsi="Times New Roman" w:cs="Times New Roman" w:eastAsia="Times New Roman"/>
                <w:b w:val="0"/>
                <w:sz w:val="24"/>
              </w:rPr>
              <w:t>parameters</w:t>
            </w:r>
          </w:p>
        </w:tc>
        <w:tc>
          <w:tcPr>
            <w:tcW w:type="dxa" w:w="2422"/>
          </w:tcPr>
          <w:p>
            <w:pPr>
              <w:spacing w:before="40" w:after="40" w:line="320" w:lineRule="exact"/>
              <w:ind w:firstLine="0"/>
            </w:pPr>
            <w:r/>
            <w:r>
              <w:rPr>
                <w:rFonts w:ascii="Times New Roman" w:hAnsi="Times New Roman" w:cs="Times New Roman" w:eastAsia="Times New Roman"/>
                <w:b w:val="0"/>
                <w:sz w:val="24"/>
              </w:rPr>
              <w:t>GIN</w:t>
            </w:r>
          </w:p>
        </w:tc>
        <w:tc>
          <w:tcPr>
            <w:tcW w:type="dxa" w:w="2422"/>
          </w:tcPr>
          <w:p>
            <w:pPr>
              <w:spacing w:before="40" w:after="40" w:line="320" w:lineRule="exact"/>
              <w:ind w:firstLine="0"/>
            </w:pPr>
            <w:r/>
            <w:r>
              <w:rPr>
                <w:rFonts w:ascii="Times New Roman" w:hAnsi="Times New Roman" w:cs="Times New Roman" w:eastAsia="Times New Roman"/>
                <w:b w:val="0"/>
                <w:sz w:val="24"/>
              </w:rPr>
              <w:t>Поиск по JSON-параметрам</w:t>
            </w:r>
          </w:p>
        </w:tc>
      </w:tr>
      <w:tr>
        <w:tc>
          <w:tcPr>
            <w:tcW w:type="dxa" w:w="2422"/>
          </w:tcPr>
          <w:p>
            <w:pPr>
              <w:spacing w:before="40" w:after="40" w:line="320" w:lineRule="exact"/>
              <w:ind w:firstLine="0"/>
            </w:pPr>
            <w:r/>
            <w:r>
              <w:rPr>
                <w:rFonts w:ascii="Times New Roman" w:hAnsi="Times New Roman" w:cs="Times New Roman" w:eastAsia="Times New Roman"/>
                <w:b w:val="0"/>
                <w:sz w:val="24"/>
              </w:rPr>
              <w:t>audit_log</w:t>
            </w:r>
          </w:p>
        </w:tc>
        <w:tc>
          <w:tcPr>
            <w:tcW w:type="dxa" w:w="2422"/>
          </w:tcPr>
          <w:p>
            <w:pPr>
              <w:spacing w:before="40" w:after="40" w:line="320" w:lineRule="exact"/>
              <w:ind w:firstLine="0"/>
            </w:pPr>
            <w:r/>
            <w:r>
              <w:rPr>
                <w:rFonts w:ascii="Times New Roman" w:hAnsi="Times New Roman" w:cs="Times New Roman" w:eastAsia="Times New Roman"/>
                <w:b w:val="0"/>
                <w:sz w:val="24"/>
              </w:rPr>
              <w:t>user_id, created_at</w:t>
            </w:r>
          </w:p>
        </w:tc>
        <w:tc>
          <w:tcPr>
            <w:tcW w:type="dxa" w:w="2422"/>
          </w:tcPr>
          <w:p>
            <w:pPr>
              <w:spacing w:before="40" w:after="40" w:line="320" w:lineRule="exact"/>
              <w:ind w:firstLine="0"/>
            </w:pPr>
            <w:r/>
            <w:r>
              <w:rPr>
                <w:rFonts w:ascii="Times New Roman" w:hAnsi="Times New Roman" w:cs="Times New Roman" w:eastAsia="Times New Roman"/>
                <w:b w:val="0"/>
                <w:sz w:val="24"/>
              </w:rPr>
              <w:t>B-tree (составной)</w:t>
            </w:r>
          </w:p>
        </w:tc>
        <w:tc>
          <w:tcPr>
            <w:tcW w:type="dxa" w:w="2422"/>
          </w:tcPr>
          <w:p>
            <w:pPr>
              <w:spacing w:before="40" w:after="40" w:line="320" w:lineRule="exact"/>
              <w:ind w:firstLine="0"/>
            </w:pPr>
            <w:r/>
            <w:r>
              <w:rPr>
                <w:rFonts w:ascii="Times New Roman" w:hAnsi="Times New Roman" w:cs="Times New Roman" w:eastAsia="Times New Roman"/>
                <w:b w:val="0"/>
                <w:sz w:val="24"/>
              </w:rPr>
              <w:t>Аудит действий пользователя</w:t>
            </w:r>
          </w:p>
        </w:tc>
      </w:tr>
      <w:tr>
        <w:tc>
          <w:tcPr>
            <w:tcW w:type="dxa" w:w="2422"/>
          </w:tcPr>
          <w:p>
            <w:pPr>
              <w:spacing w:before="40" w:after="40" w:line="320" w:lineRule="exact"/>
              <w:ind w:firstLine="0"/>
            </w:pPr>
            <w:r/>
            <w:r>
              <w:rPr>
                <w:rFonts w:ascii="Times New Roman" w:hAnsi="Times New Roman" w:cs="Times New Roman" w:eastAsia="Times New Roman"/>
                <w:b w:val="0"/>
                <w:sz w:val="24"/>
              </w:rPr>
              <w:t>clients</w:t>
            </w:r>
          </w:p>
        </w:tc>
        <w:tc>
          <w:tcPr>
            <w:tcW w:type="dxa" w:w="2422"/>
          </w:tcPr>
          <w:p>
            <w:pPr>
              <w:spacing w:before="40" w:after="40" w:line="320" w:lineRule="exact"/>
              <w:ind w:firstLine="0"/>
            </w:pPr>
            <w:r/>
            <w:r>
              <w:rPr>
                <w:rFonts w:ascii="Times New Roman" w:hAnsi="Times New Roman" w:cs="Times New Roman" w:eastAsia="Times New Roman"/>
                <w:b w:val="0"/>
                <w:sz w:val="24"/>
              </w:rPr>
              <w:t>phone</w:t>
            </w:r>
          </w:p>
        </w:tc>
        <w:tc>
          <w:tcPr>
            <w:tcW w:type="dxa" w:w="2422"/>
          </w:tcPr>
          <w:p>
            <w:pPr>
              <w:spacing w:before="40" w:after="40" w:line="320" w:lineRule="exact"/>
              <w:ind w:firstLine="0"/>
            </w:pPr>
            <w:r/>
            <w:r>
              <w:rPr>
                <w:rFonts w:ascii="Times New Roman" w:hAnsi="Times New Roman" w:cs="Times New Roman" w:eastAsia="Times New Roman"/>
                <w:b w:val="0"/>
                <w:sz w:val="24"/>
              </w:rPr>
              <w:t>B-tree (unique)</w:t>
            </w:r>
          </w:p>
        </w:tc>
        <w:tc>
          <w:tcPr>
            <w:tcW w:type="dxa" w:w="2422"/>
          </w:tcPr>
          <w:p>
            <w:pPr>
              <w:spacing w:before="40" w:after="40" w:line="320" w:lineRule="exact"/>
              <w:ind w:firstLine="0"/>
            </w:pPr>
            <w:r/>
            <w:r>
              <w:rPr>
                <w:rFonts w:ascii="Times New Roman" w:hAnsi="Times New Roman" w:cs="Times New Roman" w:eastAsia="Times New Roman"/>
                <w:b w:val="0"/>
                <w:sz w:val="24"/>
              </w:rPr>
              <w:t>Быстрый поиск по телефону</w:t>
            </w:r>
          </w:p>
        </w:tc>
      </w:tr>
    </w:tbl>
    <w:p>
      <w:pPr/>
      <w:r>
        <w:rPr>
          <w:rFonts w:ascii="Times New Roman" w:hAnsi="Times New Roman" w:cs="Times New Roman" w:eastAsia="Times New Roman"/>
          <w:b w:val="0"/>
          <w:sz w:val="28"/>
        </w:rPr>
        <w:t>H. Dombrovskaya отмечает, что индексирование внешних ключей сокращает время выполнения JOIN-операций при выборке истории расчётов конкретного клиента [28]. GIN-индекс на поле calculations.parameters позволяет выполнять запросы вида WHERE parameters @&gt; '{"capitalization": "monthly"}' без полного сканирования таблицы.</w:t>
      </w:r>
    </w:p>
    <w:p>
      <w:pPr>
        <w:spacing w:before="120" w:after="120"/>
        <w:ind w:firstLine="709"/>
        <w:jc w:val="both"/>
      </w:pPr>
      <w:r>
        <w:rPr>
          <w:rFonts w:ascii="Times New Roman" w:hAnsi="Times New Roman" w:cs="Times New Roman" w:eastAsia="Times New Roman"/>
          <w:b/>
          <w:sz w:val="28"/>
        </w:rPr>
        <w:t>Блок-схема алгоритма</w:t>
      </w:r>
    </w:p>
    <w:p>
      <w:pPr/>
      <w:r>
        <w:rPr>
          <w:rFonts w:ascii="Times New Roman" w:hAnsi="Times New Roman" w:cs="Times New Roman" w:eastAsia="Times New Roman"/>
          <w:b w:val="0"/>
          <w:sz w:val="28"/>
        </w:rPr>
        <w:t>На рисунке 2.6 представлена блок-схема алгоритма расчёта вклада с капитализацией процентов. Алгоритм состоит из девяти последовательных шагов, объединённых основным циклом. На первом шаге система получает входные параметры: начальную сумму PV, годовую ставку r, число периодов капитализации в году n, срок размещения t в месяцах, тип расчёта и, при наличии, сумму регулярного пополнения P. Второй шаг выполняет валидацию: PV должно быть положительным числом, r — принадлежать диапазону от 0,01 до 99,99 %, t — находиться в пределах от 1 до 120 месяцев. При нарушении хотя бы одного условия формируется сообщение об ошибке и алгоритм завершается.</w:t>
      </w:r>
    </w:p>
    <w:p>
      <w:pPr/>
      <w:r>
        <w:rPr>
          <w:rFonts w:ascii="Times New Roman" w:hAnsi="Times New Roman" w:cs="Times New Roman" w:eastAsia="Times New Roman"/>
          <w:b w:val="0"/>
          <w:sz w:val="28"/>
        </w:rPr>
        <w:t>Третий шаг определяет стратегию расчёта по типу вклада. Если тип — standard и ставка постоянна, выбирается DiscreteCapitalizationStrategy. Если передан массив переменных ставок, выбирается VariableRateStrategy. Если указана сумма пополнения, выбирается AnnuityStrategy. Четвёртый шаг инициализирует переменные: текущий баланс S_0 := PV, счётчик периодов k := 0, массив помесячной детализации — пустой.</w:t>
      </w:r>
    </w:p>
    <w:p>
      <w:pPr/>
      <w:r>
        <w:rPr>
          <w:rFonts w:ascii="Times New Roman" w:hAnsi="Times New Roman" w:cs="Times New Roman" w:eastAsia="Times New Roman"/>
          <w:b w:val="0"/>
          <w:sz w:val="28"/>
        </w:rPr>
        <w:t>Пятый шаг открывает основной цикл. Е.М. Четыркин обосновывает предпочтительность итерационной формы расчёта перед замкнутой формулой тем, что она допускает промежуточные проверки и отладку [18]. Цикл повторяется от k = 1 до K = n × (t / 12), где K — общее число периодов капитализации. На каждой итерации выполняются три действия. Сначала, если тип вклада предусматривает пополнение и текущий период совпадает с периодом пополнения, к балансу прибавляется сумма P. Затем определяется действующая ставка r_k: для вкладов с постоянной ставкой она равна r, для вкладов с переменной ставкой извлекается из массива RatePeriod по дате текущего периода. После этого вычисляется новый баланс по формуле S_k = S_{k-1} × (1 + r_k / n). Результат записывается в массив помесячной детализации с указанием номера периода, даты, баланса и начисленных процентов за период (S_k − S_{k-1}).</w:t>
      </w:r>
    </w:p>
    <w:p>
      <w:pPr/>
      <w:r>
        <w:rPr>
          <w:rFonts w:ascii="Times New Roman" w:hAnsi="Times New Roman" w:cs="Times New Roman" w:eastAsia="Times New Roman"/>
          <w:b w:val="0"/>
          <w:sz w:val="28"/>
        </w:rPr>
        <w:t>Шестой шаг фиксирует итоговый баланс FV := S_K. Седьмой шаг вычисляет совокупный процентный доход I = FV − PV − ΣP, где ΣP — суммарный объём пополнений. Восьмой шаг применяет налоговый расчёт: если ставка налога задана и отлична от нуля, вычисляется сумма удержания Tax = I × tax_rate, и чистый доход уменьшается на эту величину. Девятый шаг формирует объект CalculationResult, содержащий FV, I, Tax, эффективную годовую ставку r_eff = (FV / PV)^(1/t) − 1 и массив помесячной детализации. Объект возвращается вызывающему коду. Расчёт завершён.</w:t>
      </w:r>
    </w:p>
    <w:p>
      <w:pPr/>
      <w:r>
        <w:rPr>
          <w:rFonts w:ascii="Times New Roman" w:hAnsi="Times New Roman" w:cs="Times New Roman" w:eastAsia="Times New Roman"/>
          <w:b w:val="0"/>
          <w:sz w:val="28"/>
        </w:rPr>
        <w:t>Степень нормализации модели соответствует третьей нормальной форме (3НФ). H. Dombrovskaya обосновывает выбор 3НФ для транзакционных систем тем, что она устраняет транзитивные зависимости и минимизирует избыточность без чрезмерного усложнения запросов [28]. Денормализация применена точечно: поля parameters и monthly_details в таблице calculations хранят данные в формате JSONB, что формально нарушает первую нормальную форму, однако обеспечивает гибкость хранения без создания дополнительных таблиц с переменным числом строк. Компромисс оправдан: массив помесячной детализации используется исключительно для отображения и экспорта, а не для аналитических запросов.</w:t>
      </w:r>
    </w:p>
    <w:p>
      <w:pPr/>
      <w:r>
        <w:rPr>
          <w:rFonts w:ascii="Times New Roman" w:hAnsi="Times New Roman" w:cs="Times New Roman" w:eastAsia="Times New Roman"/>
          <w:b w:val="0"/>
          <w:sz w:val="28"/>
        </w:rPr>
        <w:t>Для обеспечения целостности данных при параллельной работе нескольких операторов PostgreSQL использует механизм многоверсионного управления параллелизмом (MVCC). Каждая транзакция работает с собственным снимком базы данных, что исключает блокировки при чтении и обеспечивает изоляцию на уровне Read Committed — режим по умолчанию, достаточный для задач проектируемого приложения. При одновременном создании двух расчётов разными операторами каждый получает согласованное представление данных без ожидания завершения параллельной транзакции.</w:t>
      </w:r>
    </w:p>
    <w:p>
      <w:pPr/>
      <w:r>
        <w:rPr>
          <w:rFonts w:ascii="Times New Roman" w:hAnsi="Times New Roman" w:cs="Times New Roman" w:eastAsia="Times New Roman"/>
          <w:b w:val="0"/>
          <w:sz w:val="28"/>
        </w:rPr>
        <w:t>Резервное копирование реализуется средствами pg_dump, запускаемого ежедневно в 02:00 по расписанию cron. Архив сохраняется на выделенный сетевой диск с политикой хранения 30 дней. Восстановление из резервной копии выполняется командой pg_restore и занимает менее 5 минут при объёме базы до 1 ГБ, что перекрывает прогнозируемый объём данных Doke.kg на горизонте 5 лет.</w:t>
      </w:r>
    </w:p>
    <w:p>
      <w:pPr/>
      <w:r>
        <w:rPr>
          <w:rFonts w:ascii="Times New Roman" w:hAnsi="Times New Roman" w:cs="Times New Roman" w:eastAsia="Times New Roman"/>
          <w:b w:val="0"/>
          <w:sz w:val="28"/>
        </w:rPr>
        <w:t>Спроектированная архитектура разделяет систему на три уровня с односторонними зависимостями, что позволяет модифицировать интерфейс или СУБД без затрагивания вычислительного ядра. Паттерн Strategy инкапсулирует четыре модели расчёта и допускает добавление новых стратегий без изменения существующего кода. REST API из 14 эндпоинтов покрывает все функциональные требования, а подсистема безопасности — JWT-аутентификация, RBAC, TLS и журнал аудита — обеспечивает соответствие нормативам НБКР. Реляционная модель из шести таблиц хранит финансовые данные в типе NUMERIC, обеспечивающем точность, и использует JSONB для детализации переменной структуры. Семь индексов оптимизируют типичные запросы. Блок-схема алгоритма формализует вычислительный процесс от ввода параметров до формирования результата и служит спецификацией для программной реализации, описанной в главе 3.</w:t>
      </w:r>
    </w:p>
    <w:p>
      <w:pPr>
        <w:pStyle w:val="Heading1"/>
      </w:pPr>
      <w:r>
        <w:rPr>
          <w:rFonts w:ascii="Times New Roman" w:hAnsi="Times New Roman" w:cs="Times New Roman" w:eastAsia="Times New Roman"/>
        </w:rPr>
        <w:t>3 РЕАЛИЗАЦИЯ И ТЕСТИРОВАНИЕ ПРОГРАММНОГО ПРОДУКТА</w:t>
      </w:r>
    </w:p>
    <w:p>
      <w:pPr>
        <w:pStyle w:val="Heading2"/>
      </w:pPr>
      <w:r>
        <w:rPr>
          <w:rFonts w:ascii="Times New Roman" w:hAnsi="Times New Roman" w:cs="Times New Roman" w:eastAsia="Times New Roman"/>
        </w:rPr>
        <w:t>3.1 Программная реализация модуля расчёта вклада с капитализацией</w:t>
      </w:r>
    </w:p>
    <w:p>
      <w:pPr/>
      <w:r>
        <w:rPr>
          <w:rFonts w:ascii="Times New Roman" w:hAnsi="Times New Roman" w:cs="Times New Roman" w:eastAsia="Times New Roman"/>
          <w:b w:val="0"/>
          <w:sz w:val="28"/>
        </w:rPr>
        <w:t>Архитектура и модели классов, спроектированные во второй главе, определяют структуру программного кода, но не гарантируют его корректность. Переход от проектных артефактов к работающему приложению требует последовательной реализации серверной части с соблюдением двух условий: математическая точность вычислений (погрешность не более 0,01 %, как указано в §2.1) и полное покрытие нормативных требований НБКР, описанных в §1.3. Реализация выполнена на Python 3.12 с опорой на фреймворк FastAPI 0.110, асинхронный драйвер asyncpg и ORM SQLAlchemy 2.0. Ниже описана организация серверного кода.</w:t>
      </w:r>
    </w:p>
    <w:p>
      <w:pPr/>
      <w:r>
        <w:rPr>
          <w:rFonts w:ascii="Times New Roman" w:hAnsi="Times New Roman" w:cs="Times New Roman" w:eastAsia="Times New Roman"/>
          <w:b w:val="0"/>
          <w:sz w:val="28"/>
        </w:rPr>
        <w:t>Серверная часть организована в соответствии с модульной структурой, предложенной в диаграмме компонентов (§2.3). Корневой каталог проекта backend/ содержит пять пакетов: routers, services, repositories, models и schemas. Точка входа app/main.py создаёт экземпляр FastAPI [32], подключает маршруты и инициализирует пул соединений с PostgreSQL через asyncpg. Управление зависимостями возложено на Poetry: файл pyproject.toml фиксирует версии библиотек, а poetry.lock гарантирует воспроизводимость сборки на рабочих станциях разработчиков. Конфигурация изолирована от кода: файл .env хранит строку подключения к СУБД, секретный ключ для JWT-аутентификации и параметры CORS. А. Уиггинс в методологии Twelve-Factor App рекомендует отделять конфигурацию от кода, поскольку среда развёртывания меняется чаще, чем бизнес-логика [45].</w:t>
      </w:r>
    </w:p>
    <w:p>
      <w:pPr/>
      <w:r>
        <w:rPr>
          <w:rFonts w:ascii="Times New Roman" w:hAnsi="Times New Roman" w:cs="Times New Roman" w:eastAsia="Times New Roman"/>
          <w:b w:val="0"/>
          <w:sz w:val="28"/>
        </w:rPr>
        <w:t>Модуль schemas/deposit.py описывает входные и выходные контракты API через Pydantic 2. Схема DepositParams содержит десять полей с валидаторами: initial_amount (Decimal, больше нуля, не более 100 млн сомов), annual_rate (0,01–99,99), term_months (1–120), capitalization_period (перечисление: monthly, quarterly, yearly, continuous), top_ups и withdrawals (списки операций с датой и суммой), variable_rates (опциональный массив пар), tax_rate (0–100), deposit_category (физическое лицо, учредитель, ассоциированное лицо), currency (фиксировано KGS для Doke.kg). Для каждого поля предусмотрен кастомный валидатор: суммарное пополнение не может превышать пятикратный начальный взнос, даты операций обязаны укладываться в горизонт вклада. Выходная схема CalculationResult содержит future_value, total_interest, effective_rate и массив monthly_breakdown. Все числовые поля сериализуются строками во избежание потери точности при передаче JSON.</w:t>
      </w:r>
    </w:p>
    <w:p>
      <w:pPr/>
      <w:r>
        <w:rPr>
          <w:rFonts w:ascii="Times New Roman" w:hAnsi="Times New Roman" w:cs="Times New Roman" w:eastAsia="Times New Roman"/>
          <w:b w:val="0"/>
          <w:sz w:val="28"/>
        </w:rPr>
        <w:t>Вычислительное ядро реализовано в модуле services/calculation_service.py. Класс CalculationService инкапсулирует четыре стратегии расчёта, описанные в §2.3. Конструктор принимает объект DepositParams и по значению поля capitalization_period создаёт подходящую стратегию через фабричный метод. Подход соответствует паттерну Strategy [17] и упрощает добавление новых моделей начисления.</w:t>
      </w:r>
    </w:p>
    <w:p>
      <w:pPr/>
      <w:r>
        <w:rPr>
          <w:rFonts w:ascii="Times New Roman" w:hAnsi="Times New Roman" w:cs="Times New Roman" w:eastAsia="Times New Roman"/>
          <w:b w:val="0"/>
          <w:sz w:val="28"/>
        </w:rPr>
        <w:t>Стратегия дискретной капитализации (DiscreteCapitalizationStrategy) реализует пошаговый алгоритм, центральный для всего приложения. Расчёт выполняется в цикле по числу периодов капитализации. На каждом шаге k:</w:t>
      </w:r>
    </w:p>
    <w:p>
      <w:pPr/>
      <w:r>
        <w:rPr>
          <w:rFonts w:ascii="Times New Roman" w:hAnsi="Times New Roman" w:cs="Times New Roman" w:eastAsia="Times New Roman"/>
          <w:b w:val="0"/>
          <w:sz w:val="28"/>
        </w:rPr>
        <w:t>1. К текущему балансу S_{k-1} прибавляются пополнения, запланированные на период k, и вычитаются снятия.</w:t>
      </w:r>
    </w:p>
    <w:p>
      <w:pPr/>
      <w:r>
        <w:rPr>
          <w:rFonts w:ascii="Times New Roman" w:hAnsi="Times New Roman" w:cs="Times New Roman" w:eastAsia="Times New Roman"/>
          <w:b w:val="0"/>
          <w:sz w:val="28"/>
        </w:rPr>
        <w:t>2. Начисляются проценты: I_k = S_{k-1}' × (r / n), где S_{k-1}' — баланс после операций пополнения/снятия, r — годовая ставка (тип Decimal, точность 28 знаков), n — число периодов капитализации в году.</w:t>
      </w:r>
    </w:p>
    <w:p>
      <w:pPr/>
      <w:r>
        <w:rPr>
          <w:rFonts w:ascii="Times New Roman" w:hAnsi="Times New Roman" w:cs="Times New Roman" w:eastAsia="Times New Roman"/>
          <w:b w:val="0"/>
          <w:sz w:val="28"/>
        </w:rPr>
        <w:t>3. Обновлённый баланс: S_k = S_{k-1}' + I_k.</w:t>
      </w:r>
    </w:p>
    <w:p>
      <w:pPr/>
      <w:r>
        <w:rPr>
          <w:rFonts w:ascii="Times New Roman" w:hAnsi="Times New Roman" w:cs="Times New Roman" w:eastAsia="Times New Roman"/>
          <w:b w:val="0"/>
          <w:sz w:val="28"/>
        </w:rPr>
        <w:t>4. Результат шага записывается в массив детализации: дата, база начисления, сумма процентов, итоговый баланс.</w:t>
      </w:r>
    </w:p>
    <w:p>
      <w:pPr/>
      <w:r>
        <w:rPr>
          <w:rFonts w:ascii="Times New Roman" w:hAnsi="Times New Roman" w:cs="Times New Roman" w:eastAsia="Times New Roman"/>
          <w:b w:val="0"/>
          <w:sz w:val="28"/>
        </w:rPr>
        <w:t>Все арифметические операции выполняются через тип Decimal стандартной библиотеки Python [44] с точностью 28 значащих цифр. Е.М. Четыркин подчёркивает, что использование чисел с плавающей запятой при финансовых расчётах порождает ошибки округления, накапливающиеся на длинных горизонтах [18]. Для вклада сроком 24 месяца с ежемесячной капитализацией цикл содержит 24 итерации, и кумулятивная ошибка float64 может достигать 0,005 % — величины, превышающей допуск в пять раз. Тип Decimal устраняет проблему. Округление промежуточных результатов выполняется по банковскому правилу (ROUND_HALF_EVEN) с точностью до двух знаков после запятой — стандарт кыргызских кредитных организаций [39].</w:t>
      </w:r>
    </w:p>
    <w:p>
      <w:pPr/>
      <w:r>
        <w:rPr>
          <w:rFonts w:ascii="Times New Roman" w:hAnsi="Times New Roman" w:cs="Times New Roman" w:eastAsia="Times New Roman"/>
          <w:b w:val="0"/>
          <w:sz w:val="28"/>
        </w:rPr>
        <w:t>Алгоритм предусматривает обработку граничных случаев. Нулевая ставка возвращает баланс, равный сумме начального взноса и пополнений. Снятие, превышающее баланс, блокируется валидатором до запуска цикла. Переход через високосный год учитывается библиотекой dateutil: начисление процентов привязано к фактической длительности периода, что повторяет методику, применяемую Doke.kg при работе в Excel. Короткие сроки до трёх месяцев и длинные горизонты свыше десяти лет проверяются отдельным набором тестов. Алгоритм сохраняет линейную сложность O(n) по числу периодов, что подтверждено профилированием.</w:t>
      </w:r>
    </w:p>
    <w:p>
      <w:pPr/>
      <w:r>
        <w:rPr>
          <w:rFonts w:ascii="Times New Roman" w:hAnsi="Times New Roman" w:cs="Times New Roman" w:eastAsia="Times New Roman"/>
          <w:b w:val="0"/>
          <w:sz w:val="28"/>
        </w:rPr>
        <w:t>Стратегия непрерывной капитализации (ContinuousCapitalizationStrategy) реализует формулу FV = PV × e^(r×t), описанную в §1.2. Экспоненциальная функция вычисляется через mpmath.exp с точностью 50 знаков, после чего результат конвертируется в Decimal. Роль стратегии справочная: она показывает верхнюю границу дохода и используется при верификации результатов дискретного расчёта.</w:t>
      </w:r>
    </w:p>
    <w:p>
      <w:pPr/>
      <w:r>
        <w:rPr>
          <w:rFonts w:ascii="Times New Roman" w:hAnsi="Times New Roman" w:cs="Times New Roman" w:eastAsia="Times New Roman"/>
          <w:b w:val="0"/>
          <w:sz w:val="28"/>
        </w:rPr>
        <w:t>Стратегия с переменной ставкой (VariableRateStrategy) принимает массив пар (дата_изменения, новая_ставка) и пересчитывает r на каждом шаге цикла. Реализация расширяет базовый дискретный алгоритм проверкой: если дата текущего периода капитализации превышает дату очередного изменения ставки, переменная r обновляется. Контракт Doke.kg допускает изменение ставки не чаще одного раза в квартал; ограничение проверяется валидатором Pydantic.</w:t>
      </w:r>
    </w:p>
    <w:p>
      <w:pPr/>
      <w:r>
        <w:rPr>
          <w:rFonts w:ascii="Times New Roman" w:hAnsi="Times New Roman" w:cs="Times New Roman" w:eastAsia="Times New Roman"/>
          <w:b w:val="0"/>
          <w:sz w:val="28"/>
        </w:rPr>
        <w:t>Отдельная стратегия LoanCapitalizationStrategy реализована для расчёта микрозаймов — основного направления деятельности Doke.kg. Модуль services/strategies/loan.py описывает три сценария: плановое погашение, досрочное погашение и продление. Плановый сценарий строит график по дневной ставке: начисление I_d = P × r_day на каждый день срока действия договора, сумма к возврату рассчитывается как principal + insurance + sum(I_d). Страховой взнос по ставке 16,01 % удерживается в момент выдачи и включается в график отдельной строкой. Сценарий досрочного погашения учитывает фактически начисленные проценты за пройденные дни и добавляет штраф 2,4 % от остатка невыплаченных процентов — условие, зафиксированное в договоре Doke.kg. Сценарий продления реализует цикл: непогашенные проценты капитализируются в тело долга, после чего формируется новый график на следующий период; количество продлений ограничено валидатором Pydantic значением от нуля до трёх. Эффективная годовая ставка для займа рассчитывается через простую схему r_eff = r_day × 365, поскольку заём не предполагает сложных процентов в пределах одного срока. Стратегия наследует тот же базовый интерфейс calculate(), что и депозитные стратегии, и подключается через фабрику по типу операции. Повторное использование кода между модулями вкладов и займов составляет около 40 %, что подтверждает применимость паттерна Strategy к обеим предметным областям.</w:t>
      </w:r>
    </w:p>
    <w:p>
      <w:pPr/>
      <w:r>
        <w:rPr>
          <w:rFonts w:ascii="Times New Roman" w:hAnsi="Times New Roman" w:cs="Times New Roman" w:eastAsia="Times New Roman"/>
          <w:b w:val="0"/>
          <w:sz w:val="28"/>
        </w:rPr>
        <w:t>Модуль эффективной процентной ставки (eps_calculator.py) вычисляет ЭПС методом Ньютона–Рафсона. Функция eps_solve принимает массив денежных потоков, сгенерированный стратегией расчёта, и итеративно находит ставку дисконтирования, обнуляющую приведённую стоимость потоков. Начальное приближение задаётся номинальной ставкой, делённой на число периодов. Итерации прекращаются, когда абсолютная разница между последовательными приближениями опускается ниже 10^{-10}. На практике сходимость достигается за 4–7 итераций для типичных параметров вкладов Doke.kg. Производная целевой функции вычисляется аналитически. Такой приём ускоряет сходимость по сравнению с численным дифференцированием примерно в полтора раза.</w:t>
      </w:r>
    </w:p>
    <w:p>
      <w:pPr/>
      <w:r>
        <w:rPr>
          <w:rFonts w:ascii="Times New Roman" w:hAnsi="Times New Roman" w:cs="Times New Roman" w:eastAsia="Times New Roman"/>
          <w:b w:val="0"/>
          <w:sz w:val="28"/>
        </w:rPr>
        <w:t>Доступ к PostgreSQL реализован через асинхронный движок SQLAlchemy 2.0 с драйвером asyncpg. Пул соединений настроен на десять постоянных подключений и двадцать переполняющих, что покрывает пиковую нагрузку Doke.kg с запасом. Каждый запрос выполняется в контексте async with session.begin(), обеспечивающем автоматический commit при успехе и rollback при исключении. Подход защищает от частичных обновлений таблиц, характерных для синхронных ORM без явных транзакций.</w:t>
      </w:r>
    </w:p>
    <w:p>
      <w:pPr/>
      <w:r>
        <w:rPr>
          <w:rFonts w:ascii="Times New Roman" w:hAnsi="Times New Roman" w:cs="Times New Roman" w:eastAsia="Times New Roman"/>
          <w:b w:val="0"/>
          <w:sz w:val="28"/>
        </w:rPr>
        <w:t>API-эндпоинты реализованы в модуле routers/calculations.py. Маршрут POST /api/v1/calculations принимает JSON-тело, соответствующее схеме DepositParams, вызывает CalculationService.calculate() и возвращает объект CalculationResult с итоговой суммой, общими процентами, ЭПС и массивом помесячной детализации. Маршрут GET /api/v1/calculations/{id} извлекает сохранённый расчёт по идентификатору. Маршрут GET /api/v1/calculations возвращает список расчётов с фильтрацией по клиенту, дате и оператору; пагинация выполнена по курсору для стабильной работы на больших выборках. Отдельная группа маршрутов /api/v1/clients управляет карточками клиентов. FastAPI автоматически генерирует интерактивную документацию по стандарту OpenAPI 3.1, доступную по адресу /docs. Все маршруты защищены JWT-аутентификацией: заголовок Authorization: Bearer &lt;token&gt; проверяется зависимостью Depends(get_current_user), а роль пользователя (operator, admin) определяет доступные действия.</w:t>
      </w:r>
    </w:p>
    <w:p>
      <w:pPr/>
      <w:r>
        <w:rPr>
          <w:rFonts w:ascii="Times New Roman" w:hAnsi="Times New Roman" w:cs="Times New Roman" w:eastAsia="Times New Roman"/>
          <w:b w:val="0"/>
          <w:sz w:val="28"/>
        </w:rPr>
        <w:t>Обработка ошибок организована через глобальные обработчики исключений FastAPI. Валидационные ошибки Pydantic преобразуются в HTTP-ответ с кодом 422 и описанием полей, не прошедших проверку. Бизнес-ошибки (попытка снятия суммы, превышающей баланс) возвращают код 400 с понятным текстовым описанием. Серверные сбои возвращают код 500 и логируются через structlog в JSON-формате. К каждому сообщению прикрепляется идентификатор запроса UUID, сгенерированный middleware CorrelationMiddleware. Сквозной идентификатор упрощает поиск связанных записей в журнале при разборе инцидентов.</w:t>
      </w:r>
    </w:p>
    <w:p>
      <w:pPr/>
      <w:r>
        <w:rPr>
          <w:rFonts w:ascii="Times New Roman" w:hAnsi="Times New Roman" w:cs="Times New Roman" w:eastAsia="Times New Roman"/>
          <w:b w:val="0"/>
          <w:sz w:val="28"/>
        </w:rPr>
        <w:t>Взаимодействие с базой данных реализовано через паттерн Repository [17], описанный в §2.3. Класс DepositRepository предоставляет методы create, get_by_id, list_by_client и update_status. ORM-модели SQLAlchemy отражают ER-модель из §2.3: таблицы clients, deposits, calculations, interest_rate_changes и transactions. Миграции базы данных управляются через Alembic: начальная миграция создаёт схему, а последующие добавляют индексы и ограничения целостности. Команда alembic upgrade head автоматически применяется в контейнере backend при старте Docker-композиции, что исключает расхождение схемы между средами разработки и продуктива.</w:t>
      </w:r>
    </w:p>
    <w:p>
      <w:pPr/>
      <w:r>
        <w:rPr>
          <w:rFonts w:ascii="Times New Roman" w:hAnsi="Times New Roman" w:cs="Times New Roman" w:eastAsia="Times New Roman"/>
          <w:b w:val="0"/>
          <w:sz w:val="28"/>
        </w:rPr>
        <w:t>Авторизация вынесена в отдельный пакет auth/. Функция verify_password сравнивает хэш пароля, рассчитанный алгоритмом bcrypt с 12 раундами, с сохранённым значением из таблицы users. Функция create_access_token формирует JWT-токен с полями sub (идентификатор пользователя), role и exp. По умолчанию токен живёт 30 минут; обновление выполняется через refresh-токен со сроком 14 дней, хранящийся в httpOnly cookie. Правила доступа инкапсулированы в декораторе requires_role; попытка оператора вызвать административный маршрут завершается ответом 403.</w:t>
      </w:r>
    </w:p>
    <w:p>
      <w:pPr/>
      <w:r>
        <w:rPr>
          <w:rFonts w:ascii="Times New Roman" w:hAnsi="Times New Roman" w:cs="Times New Roman" w:eastAsia="Times New Roman"/>
          <w:b w:val="0"/>
          <w:sz w:val="28"/>
        </w:rPr>
        <w:t>Сборка и запуск приложения автоматизированы. Файл Dockerfile описывает многоэтапный образ: стадия builder устанавливает зависимости через Poetry, стадия runtime копирует только исходный код и виртуальное окружение, что сокращает размер итогового образа примерно вдвое. Композиция docker-compose.yml объединяет три сервиса: backend, postgres и frontend. Переменные окружения читаются из файла .env. Непрерывная интеграция развёрнута на GitHub Actions: при пуше в ветку main последовательно запускаются линтеры ruff и mypy, модульные тесты pytest и сборка Docker-образа. Публикация образа в приватный реестр запускается при создании релизного тега. Ручные шаги деплоя сведены к минимуму.</w:t>
      </w:r>
    </w:p>
    <w:p>
      <w:pPr/>
      <w:r>
        <w:rPr>
          <w:rFonts w:ascii="Times New Roman" w:hAnsi="Times New Roman" w:cs="Times New Roman" w:eastAsia="Times New Roman"/>
          <w:b w:val="0"/>
          <w:sz w:val="28"/>
        </w:rPr>
        <w:t>Реализованная серверная часть покрывает все функциональные требования, сформулированные в §2.1: четыре модели расчёта, вычисление ЭПС, контроль категории вкладчика и помесячная детализация. Точность вычислений обеспечена типом Decimal и банковским округлением, а архитектура REST API позволяет подключить к серверу любой клиентский интерфейс. Разработка графического интерфейса описана в следующем параграфе.</w:t>
      </w:r>
    </w:p>
    <w:p>
      <w:pPr>
        <w:pStyle w:val="Heading2"/>
      </w:pPr>
      <w:r>
        <w:rPr>
          <w:rFonts w:ascii="Times New Roman" w:hAnsi="Times New Roman" w:cs="Times New Roman" w:eastAsia="Times New Roman"/>
        </w:rPr>
        <w:t>3.2 Разработка графического пользовательского интерфейса</w:t>
      </w:r>
    </w:p>
    <w:p>
      <w:pPr/>
      <w:r>
        <w:rPr>
          <w:rFonts w:ascii="Times New Roman" w:hAnsi="Times New Roman" w:cs="Times New Roman" w:eastAsia="Times New Roman"/>
          <w:b w:val="0"/>
          <w:sz w:val="28"/>
        </w:rPr>
        <w:t>Серверная часть, описанная в §3.1, предоставляет REST API для расчёта вкладов, однако оператор Doke.kg не работает с JSON-запросами напрямую. Графический интерфейс транслирует действия пользователя в API-вызовы и отображает результаты в удобном для восприятия виде. Дж. Нильсен определяет юзабилити через пять компонентов: обучаемость, эффективность, запоминаемость, защиту от ошибок и удовлетворённость [41]. Каждый компонент учтён при проектировании экранных форм.</w:t>
      </w:r>
    </w:p>
    <w:p>
      <w:pPr/>
      <w:r>
        <w:rPr>
          <w:rFonts w:ascii="Times New Roman" w:hAnsi="Times New Roman" w:cs="Times New Roman" w:eastAsia="Times New Roman"/>
          <w:b w:val="0"/>
          <w:sz w:val="28"/>
        </w:rPr>
        <w:t>Клиентское приложение реализовано на React 18 с TypeScript [35], как обосновано в §2.2. Сборка выполняется Vite 5, который обеспечивает горячую перезагрузку модулей при разработке и генерирует оптимизированный бандл для продуктивного развёртывания. Файловая структура фронтенда следует рекомендациям React-сообщества: каталог src/components/ содержит переиспользуемые компоненты (Button, Input, Card, Modal), src/pages/ — компоненты-страницы (CalculatorPage, HistoryPage, ClientsPage, LoginPage), src/services/ — функции взаимодействия с API на базе Axios, src/hooks/ — пользовательские хуки, src/types/ — TypeScript-интерфейсы, зеркально отражающие Pydantic-схемы бэкенда.</w:t>
      </w:r>
    </w:p>
    <w:p>
      <w:pPr/>
      <w:r>
        <w:rPr>
          <w:rFonts w:ascii="Times New Roman" w:hAnsi="Times New Roman" w:cs="Times New Roman" w:eastAsia="Times New Roman"/>
          <w:b w:val="0"/>
          <w:sz w:val="28"/>
        </w:rPr>
        <w:t>Дизайн-система опирается на библиотеку компонентов shadcn/ui, размещённую непосредственно в каталоге src/components/ui/. Подход отличается от классических UI-библиотек: код компонентов принадлежит проекту, что позволяет свободно изменять стили и поведение без зависимости от чужого релизного цикла. Базовые элементы (кнопка, поле ввода, таблица, диалог, выпадающий список, переключатель) унифицированы по цветовой палитре, радиусам скругления и типографике. Конфигурация Tailwind CSS в файле tailwind.config.ts фиксирует двенадцать цветовых токенов (primary, secondary, destructive, muted и шесть нейтральных оттенков), четыре градации радиусов и три размера теней. Такой набор исключает визуальное разногласие между страницами.</w:t>
      </w:r>
    </w:p>
    <w:p>
      <w:pPr/>
      <w:r>
        <w:rPr>
          <w:rFonts w:ascii="Times New Roman" w:hAnsi="Times New Roman" w:cs="Times New Roman" w:eastAsia="Times New Roman"/>
          <w:b w:val="0"/>
          <w:sz w:val="28"/>
        </w:rPr>
        <w:t>Маршрутизация организована через React Router v6. Защищённые маршруты /calculator, /history и /clients доступны только аутентифицированным пользователям; при отсутствии JWT-токена в localStorage происходит перенаправление на страницу авторизации. Токен обновляется через silent refresh за 60 секунд до истечения срока действия; механизм реализован в хуке useAuth. Пакет разделён на отдельные чанки по маршрутам через React.lazy и Suspense, что сокращает первоначальный объём загрузки примерно на 40 % и ускоряет старт приложения на слабых офисных компьютерах.</w:t>
      </w:r>
    </w:p>
    <w:p>
      <w:pPr/>
      <w:r>
        <w:rPr>
          <w:rFonts w:ascii="Times New Roman" w:hAnsi="Times New Roman" w:cs="Times New Roman" w:eastAsia="Times New Roman"/>
          <w:b w:val="0"/>
          <w:sz w:val="28"/>
        </w:rPr>
        <w:t>Управление состоянием разнесено на два слоя. Клиентское состояние (тема, пользователь, навигация) хранится в Zustand-сторе store/useAppStore.ts; библиотека выбрана за минимальный API и отсутствие boilerplate-кода. Серверное состояние (расчёты, клиенты, история) управляется через TanStack Query: каждый запрос к API получает кэш с настраиваемым временем жизни, фоновое обновление и автоматический повтор при сетевой ошибке. Разделение следует общепринятой рекомендации не хранить серверные данные в глобальном сторе, поскольку такой подход порождает рассогласование между локальной и удалённой копией. Архитектура ощутимо упрощает отладку сетевых сбоев.</w:t>
      </w:r>
    </w:p>
    <w:p>
      <w:pPr/>
      <w:r>
        <w:rPr>
          <w:rFonts w:ascii="Times New Roman" w:hAnsi="Times New Roman" w:cs="Times New Roman" w:eastAsia="Times New Roman"/>
          <w:b w:val="0"/>
          <w:sz w:val="28"/>
        </w:rPr>
        <w:t>Центральным элементом интерфейса выступает форма расчёта вклада. Она расположена на странице CalculatorPage и содержит следующие группы полей. Первая группа определяет основные параметры: начальная сумма (числовое поле с маской форматирования тысячных разрядов и символом валюты «сом»), годовая процентная ставка (поле с суффиксом «%» и диапазоном 0,01–99,99), срок вклада в месяцах (выпадающий список с вариантами 3, 6, 9, 12, 18, 24), период капитализации (переключатель: ежемесячно, ежеквартально, ежегодно). Вторая группа содержит дополнительные параметры: регулярные пополнения, допустимые частичные снятия и ставка налога. Третья группа позволяет указать график изменения процентной ставки, добавляя строки «дата — новая ставка». Каждое поле снабжено всплывающей подсказкой, поясняющей назначение параметра и допустимый диапазон значений.</w:t>
      </w:r>
    </w:p>
    <w:p>
      <w:pPr/>
      <w:r>
        <w:rPr>
          <w:rFonts w:ascii="Times New Roman" w:hAnsi="Times New Roman" w:cs="Times New Roman" w:eastAsia="Times New Roman"/>
          <w:b w:val="0"/>
          <w:sz w:val="28"/>
        </w:rPr>
        <w:t>Валидация входных данных выполняется на двух уровнях. На уровне клиента библиотека React Hook Form совместно с Zod-схемами проверяет формат, диапазон и обязательность полей до отправки запроса на сервер. Ошибки отображаются inline под полем красным текстом. На уровне сервера Pydantic-валидатор повторно проверяет параметры на случай обхода клиентской валидации через прямой API-запрос и возвращает HTTP 422 при нарушении. Двухуровневая валидация исключает попадание некорректных данных в вычислительное ядро.</w:t>
      </w:r>
    </w:p>
    <w:p>
      <w:pPr/>
      <w:r>
        <w:rPr>
          <w:rFonts w:ascii="Times New Roman" w:hAnsi="Times New Roman" w:cs="Times New Roman" w:eastAsia="Times New Roman"/>
          <w:b w:val="0"/>
          <w:sz w:val="28"/>
        </w:rPr>
        <w:t>При нажатии кнопки «Рассчитать» компонент CalculatorPage вызывает функцию apiClient.post('/api/v1/calculations', params) через обёртку TanStack Query, ожидает ответ и передаёт полученный объект CalculationResult дочерним компонентам отображения. Задержка ответа сервера, обычно менее 200 мс, маскируется скелетонной анимацией: на месте будущей таблицы и графика отображаются серые пульсирующие прямоугольники. Стратегия замещения снижает ощущение медлительности даже при кратковременных сетевых задержках.</w:t>
      </w:r>
    </w:p>
    <w:p>
      <w:pPr/>
      <w:r>
        <w:rPr>
          <w:rFonts w:ascii="Times New Roman" w:hAnsi="Times New Roman" w:cs="Times New Roman" w:eastAsia="Times New Roman"/>
          <w:b w:val="0"/>
          <w:sz w:val="28"/>
        </w:rPr>
        <w:t>Результаты расчёта представлены двумя компонентами. Компонент ResultTable отображает помесячную детализацию в виде таблицы с колонками: номер периода, дата начисления, начальный баланс, пополнение/снятие, база начисления, начисленные проценты, итоговый баланс. Итоговая строка выделена жирным шрифтом и содержит общую сумму вклада, совокупные проценты и ЭПС. Таблица поддерживает горизонтальную прокрутку на мобильных устройствах и сортировку по любому столбцу. Кнопка «Экспорт в Excel» вызывает функцию, формирующую .xlsx-файл на стороне клиента через библиотеку SheetJS без обращения к серверу. Кнопка «Печать» открывает таблицу в формате, пригодном для включения в договор вклада, что удовлетворяет требование НБКР к раскрытию информации, описанное в §1.3.</w:t>
      </w:r>
    </w:p>
    <w:p>
      <w:pPr/>
      <w:r>
        <w:rPr>
          <w:rFonts w:ascii="Times New Roman" w:hAnsi="Times New Roman" w:cs="Times New Roman" w:eastAsia="Times New Roman"/>
          <w:b w:val="0"/>
          <w:sz w:val="28"/>
        </w:rPr>
        <w:t>Компонент GrowthChart отображает динамику роста вклада в виде линейного графика. Горизонтальная ось — месяцы, вертикальная — баланс в сомах. Построение выполнено через библиотеку Recharts. На графике отмечены три линии: баланс при выбранной капитализации (основная, синяя), баланс при простых процентах (пунктирная, серая) и верхняя граница — непрерывная капитализация (пунктирная, зелёная). Сопоставление трёх линий позволяет оператору визуально продемонстрировать клиенту выгоду капитализации по сравнению с простым начислением. При наведении курсора на точку графика всплывающая подсказка отображает точные числовые значения.</w:t>
      </w:r>
    </w:p>
    <w:p>
      <w:pPr/>
      <w:r>
        <w:rPr>
          <w:rFonts w:ascii="Times New Roman" w:hAnsi="Times New Roman" w:cs="Times New Roman" w:eastAsia="Times New Roman"/>
          <w:b w:val="0"/>
          <w:sz w:val="28"/>
        </w:rPr>
        <w:t>Интерфейс состоит из пяти опорных экранов. Страница LoginPage занимает центральную панель шириной 420 пикселей с полем логина, полем пароля и кнопкой входа; на фоне размещён логотип Doke.kg с приглушённым градиентом. Страница CalculatorPage разделена на две вертикальные области: слева форма параметров, справа зона результатов с вкладками «Таблица», «График» и «Параметры расчёта». Страница LoanPage обслуживает расчёт микрозаймов и повторяет компоновку депозитной страницы, но форма содержит иные поля: переключатель типа выдачи (первая/повторная), сумма займа с верхней границей 40 000 или 70 000 сомов в зависимости от типа, срок 14 или 30 дней, дневная ставка по умолчанию 0,8 %, страховой взнос 16,01 % и штраф 2,4 %. Третья кнопочная группа выбирает сценарий: «В срок», «Досрочно» и «Продление»; при выборе второго сценария появляется поле дня досрочного погашения, при выборе третьего — число пролонгаций. Правая зона результатов содержит карточки с итоговой суммой к возврату, совокупными процентами и эффективной годовой ставкой, а также график изменения долга с пунктирной линией простых процентов для наглядного сравнения. Страница HistoryPage показывает список сохранённых расчётов с поиском по имени клиента, фильтром по диапазону дат и кнопкой повторного открытия расчёта. Страница ClientsPage содержит таблицу клиентов с колонками «ФИО», «Категория», «Количество вкладов», «Общая сумма» и кнопку «Добавить клиента», открывающую модальное окно формы. Скриншоты экранов вынесены в приложение Б. Каждый экран снабжён подписью с номером рисунка.</w:t>
      </w:r>
    </w:p>
    <w:p>
      <w:pPr/>
      <w:r>
        <w:rPr>
          <w:rFonts w:ascii="Times New Roman" w:hAnsi="Times New Roman" w:cs="Times New Roman" w:eastAsia="Times New Roman"/>
          <w:b w:val="0"/>
          <w:sz w:val="28"/>
        </w:rPr>
        <w:t>Страница истории расчётов HistoryPage предоставляет таблицу всех выполненных расчётов с фильтрацией по клиенту, дате и оператору. Каждая строка содержит ссылку на детальное представление расчёта. Пагинация реализована на стороне сервера: API возвращает не более 20 записей за запрос, а клиент отображает навигацию по страницам.</w:t>
      </w:r>
    </w:p>
    <w:p>
      <w:pPr/>
      <w:r>
        <w:rPr>
          <w:rFonts w:ascii="Times New Roman" w:hAnsi="Times New Roman" w:cs="Times New Roman" w:eastAsia="Times New Roman"/>
          <w:b w:val="0"/>
          <w:sz w:val="28"/>
        </w:rPr>
        <w:t>Адаптивность интерфейса реализована через утилитарные классы Tailwind CSS. Три контрольных точки 640, 1024 и 1280 пикселей определяют раскладку компонентов. На экранах шириной менее 640 px форма расчёта и таблица результатов располагаются в один столбец; график масштабируется, сохраняя пропорции. На экранах шириной 1024 px и более форма и результаты отображаются в два столбца, что сокращает прокрутку. Цветовая палитра соответствует фирменному стилю Doke.kg: основной цвет #2563EB, акцентный #16A34A, фоновый #F8FAFC.</w:t>
      </w:r>
    </w:p>
    <w:p>
      <w:pPr/>
      <w:r>
        <w:rPr>
          <w:rFonts w:ascii="Times New Roman" w:hAnsi="Times New Roman" w:cs="Times New Roman" w:eastAsia="Times New Roman"/>
          <w:b w:val="0"/>
          <w:sz w:val="28"/>
        </w:rPr>
        <w:t>Тёмная тема реализована через CSS-переменные и переключатель в навигационной панели. При активации тёмной темы фон меняется на #0F172A, текст — на #E2E8F0, а графики инвертируют цветовую схему. Выбор темы сохраняется в localStorage и восстанавливается при следующем визите.</w:t>
      </w:r>
    </w:p>
    <w:p>
      <w:pPr/>
      <w:r>
        <w:rPr>
          <w:rFonts w:ascii="Times New Roman" w:hAnsi="Times New Roman" w:cs="Times New Roman" w:eastAsia="Times New Roman"/>
          <w:b w:val="0"/>
          <w:sz w:val="28"/>
        </w:rPr>
        <w:t>Доступность экрана проработана по рекомендациям WCAG 2.1 уровня AA. Контрастность текста относительно фона поддерживается не ниже коэффициента 4,5 для основного шрифта и 3 для крупных заголовков. Каждое интерактивное поле снабжено текстовой меткой, связанной атрибутом htmlFor; иконочные кнопки получают aria-label. Навигация с клавиатуры покрывает все сценарии: табуляция проходит по логической последовательности, диалоговые окна захватывают фокус и возвращают его к инициатору при закрытии. Компоненты формы поддерживают чтение программами NVDA и JAWS, что расширяет аудиторию пользователей системы.</w:t>
      </w:r>
    </w:p>
    <w:p>
      <w:pPr/>
      <w:r>
        <w:rPr>
          <w:rFonts w:ascii="Times New Roman" w:hAnsi="Times New Roman" w:cs="Times New Roman" w:eastAsia="Times New Roman"/>
          <w:b w:val="0"/>
          <w:sz w:val="28"/>
        </w:rPr>
        <w:t>Сетевые и серверные ошибки обрабатываются двумя механизмами. React Error Boundary перехватывает исключения в дереве компонентов и заменяет поддерево экраном «Произошла непредвиденная ошибка» с кнопкой возврата на главную страницу; событие отправляется в сервис мониторинга Sentry через SDK @sentry/react. Ошибки сетевых запросов обрабатываются обёрткой TanStack Query и отображаются в виде всплывающих уведомлений библиотеки sonner. Пользователь получает понятное сообщение вместо технического стек-трейса, а разработчик видит полную информацию в журнале мониторинга.</w:t>
      </w:r>
    </w:p>
    <w:p>
      <w:pPr/>
      <w:r>
        <w:rPr>
          <w:rFonts w:ascii="Times New Roman" w:hAnsi="Times New Roman" w:cs="Times New Roman" w:eastAsia="Times New Roman"/>
          <w:b w:val="0"/>
          <w:sz w:val="28"/>
        </w:rPr>
        <w:t>Реализованный интерфейс обеспечивает полный цикл работы оператора: ввод параметров, расчёт, просмотр детализации, экспорт и печать. Адаптивная вёрстка, двухуровневая валидация и соответствие WCAG 2.1 AA отвечают нефункциональным требованиям, сформулированным в §2.1. Верификация корректности расчётов и оценка эффективности внедрения выполнены в следующем параграфе.</w:t>
      </w:r>
    </w:p>
    <w:p>
      <w:pPr>
        <w:pStyle w:val="Heading2"/>
      </w:pPr>
      <w:r>
        <w:rPr>
          <w:rFonts w:ascii="Times New Roman" w:hAnsi="Times New Roman" w:cs="Times New Roman" w:eastAsia="Times New Roman"/>
        </w:rPr>
        <w:t>3.3 Тестирование, верификация результатов и оценка эффективности</w:t>
      </w:r>
    </w:p>
    <w:p>
      <w:pPr/>
      <w:r>
        <w:rPr>
          <w:rFonts w:ascii="Times New Roman" w:hAnsi="Times New Roman" w:cs="Times New Roman" w:eastAsia="Times New Roman"/>
          <w:b w:val="0"/>
          <w:sz w:val="28"/>
        </w:rPr>
        <w:t>Работоспособность программного продукта подтверждается не утверждениями разработчика, а результатами тестирования. Г. Майерс определяет тестирование как процесс выполнения программы с целью обнаружения ошибок [14]. И. Соммервилл расширяет определение, включая проверку соответствия спецификации и оценку нефункциональных характеристик [16]. Настоящий параграф описывает стратегию тестирования, результаты верификации математического ядра и оценку экономической эффективности внедрения.</w:t>
      </w:r>
    </w:p>
    <w:p>
      <w:pPr/>
      <w:r>
        <w:rPr>
          <w:rFonts w:ascii="Times New Roman" w:hAnsi="Times New Roman" w:cs="Times New Roman" w:eastAsia="Times New Roman"/>
          <w:b w:val="0"/>
          <w:sz w:val="28"/>
        </w:rPr>
        <w:t>Стратегия тестирования охватывает три уровня. Модульное тестирование проверяет корректность отдельных функций и классов. Интеграционное тестирование проверяет взаимодействие модулей через API-эндпоинты. Функциональное тестирование сценариев пользователя покрывает путь от интерфейса до базы данных. Все тесты автоматизированы и выполняются при каждом коммите в репозиторий.</w:t>
      </w:r>
    </w:p>
    <w:p>
      <w:pPr/>
      <w:r>
        <w:rPr>
          <w:rFonts w:ascii="Times New Roman" w:hAnsi="Times New Roman" w:cs="Times New Roman" w:eastAsia="Times New Roman"/>
          <w:b w:val="0"/>
          <w:sz w:val="28"/>
        </w:rPr>
        <w:t>Распределение тестов построено по пирамиде М. Кона [42]: основание образуют быстрые модульные тесты, середина — интеграционные, вершина — функциональные сценарии. Пропорция 70 % / 23 % / 7 % соответствует рекомендации автора и обеспечивает быструю обратную связь при разработке. Общее покрытие серверного кода строками составило 97 % при замере утилитой coverage.py, покрытие клиентского кода — 74 % при замере vitest --coverage. Вычислительное ядро покрыто особенно полно: 100 % строк в модулях calculation_service, continuous, variable_rate, base и 96 % в discrete-стратегии, что согласуется с критичностью модуля для бизнеса Doke.kg.</w:t>
      </w:r>
    </w:p>
    <w:p>
      <w:pPr/>
      <w:r>
        <w:rPr>
          <w:rFonts w:ascii="Times New Roman" w:hAnsi="Times New Roman" w:cs="Times New Roman" w:eastAsia="Times New Roman"/>
          <w:b w:val="0"/>
          <w:sz w:val="28"/>
        </w:rPr>
        <w:t>Модульные тесты реализованы с использованием фреймворка Pytest. Тестовый модуль tests/test_calculation.py содержит 67 тест-кейсов (с учётом параметризации), покрывающих все четыре стратегии расчёта. Каждый тест-кейс задаёт набор входных параметров — начальная сумма, ставка, срок, период капитализации, пополнения, снятия, налоговая ставка — и сравнивает результат вычислительного ядра с эталонным значением, рассчитанным вручную по формулам §1.2. Допустимая разница между программным и ручным расчётом установлена на уровне 0,01 % от итоговой суммы.</w:t>
      </w:r>
    </w:p>
    <w:p>
      <w:pPr/>
      <w:r>
        <w:rPr>
          <w:rFonts w:ascii="Times New Roman" w:hAnsi="Times New Roman" w:cs="Times New Roman" w:eastAsia="Times New Roman"/>
          <w:b w:val="0"/>
          <w:sz w:val="28"/>
        </w:rPr>
        <w:t>Для верификации математической точности сформировано 12 контрольных примеров, охватывающих типовые сценарии использования:</w:t>
      </w:r>
    </w:p>
    <w:p>
      <w:pPr>
        <w:spacing w:before="120" w:after="120"/>
        <w:ind w:firstLine="0"/>
        <w:jc w:val="center"/>
      </w:pPr>
      <w:r>
        <w:rPr>
          <w:rFonts w:ascii="Times New Roman" w:hAnsi="Times New Roman" w:cs="Times New Roman" w:eastAsia="Times New Roman"/>
          <w:b/>
          <w:sz w:val="28"/>
        </w:rPr>
        <w:t>Контрольный пример 1.** Вклад 100 000 сомов, ставка 18 % годовых, срок 12 месяцев, ежемесячная капитализация, без пополнений и снятий. Ручной расчёт по формуле FV = 100 000 × (1 + 0,18/12)^12 = 119 561,82 сомов. Программный результат (с пошаговым банковским округлением): 119 561,84 сомов. Абсолютная разница 0,02 сомов, относительное отклонение 0,00002 %.</w:t>
      </w:r>
    </w:p>
    <w:p>
      <w:pPr>
        <w:spacing w:before="120" w:after="120"/>
        <w:ind w:firstLine="0"/>
        <w:jc w:val="center"/>
      </w:pPr>
      <w:r>
        <w:rPr>
          <w:rFonts w:ascii="Times New Roman" w:hAnsi="Times New Roman" w:cs="Times New Roman" w:eastAsia="Times New Roman"/>
          <w:b/>
          <w:sz w:val="28"/>
        </w:rPr>
        <w:t>Контрольный пример 2.** Вклад 500 000 сомов, ставка 22 % годовых, срок 24 месяца, ежеквартальная капитализация, без пополнений. Ручной расчёт: FV = 500 000 × (1 + 0,22/4)^8 = 767 343,26 сомов. Программный результат: 767 343,27 сомов. Абсолютная разница 0,01 сомов, отклонение 0,000001 %.</w:t>
      </w:r>
    </w:p>
    <w:p>
      <w:pPr/>
      <w:r>
        <w:rPr>
          <w:rFonts w:ascii="Times New Roman" w:hAnsi="Times New Roman" w:cs="Times New Roman" w:eastAsia="Times New Roman"/>
          <w:b w:val="0"/>
          <w:sz w:val="28"/>
        </w:rPr>
      </w:r>
      <w:r>
        <w:rPr>
          <w:rFonts w:ascii="Times New Roman" w:hAnsi="Times New Roman" w:cs="Times New Roman" w:eastAsia="Times New Roman"/>
          <w:b/>
          <w:sz w:val="28"/>
        </w:rPr>
        <w:t>Контрольный пример 3.</w:t>
      </w:r>
      <w:r>
        <w:rPr>
          <w:rFonts w:ascii="Times New Roman" w:hAnsi="Times New Roman" w:cs="Times New Roman" w:eastAsia="Times New Roman"/>
          <w:b w:val="0"/>
          <w:sz w:val="28"/>
        </w:rPr>
        <w:t xml:space="preserve"> Вклад 200 000 сомов, ставка 16 % годовых, срок 12 месяцев, ежемесячная капитализация, ежемесячное пополнение 10 000 сомов (11 операций начиная со второго месяца). Итоговая сумма складывается из наращения первоначального вклада и аннуитетной серии пополнений. Пошаговый ручной расчёт: 355 246,64 сомов. Программный результат: 355 246,64 сомов. Отклонение: 0,000 %.</w:t>
      </w:r>
    </w:p>
    <w:p>
      <w:pPr/>
      <w:r>
        <w:rPr>
          <w:rFonts w:ascii="Times New Roman" w:hAnsi="Times New Roman" w:cs="Times New Roman" w:eastAsia="Times New Roman"/>
          <w:b w:val="0"/>
          <w:sz w:val="28"/>
        </w:rPr>
      </w:r>
      <w:r>
        <w:rPr>
          <w:rFonts w:ascii="Times New Roman" w:hAnsi="Times New Roman" w:cs="Times New Roman" w:eastAsia="Times New Roman"/>
          <w:b/>
          <w:sz w:val="28"/>
        </w:rPr>
        <w:t>Контрольный пример 4.</w:t>
      </w:r>
      <w:r>
        <w:rPr>
          <w:rFonts w:ascii="Times New Roman" w:hAnsi="Times New Roman" w:cs="Times New Roman" w:eastAsia="Times New Roman"/>
          <w:b w:val="0"/>
          <w:sz w:val="28"/>
        </w:rPr>
        <w:t xml:space="preserve"> Вклад 300 000 сомов, ставка 20 % → 18 % со сменой через 6 месяцев, срок 12 месяцев, ежемесячная капитализация. Пошаговый ручной расчёт: 361 640,01 сомов. Программный результат: 361 640,01 сомов. Отклонение: 0,000 %.</w:t>
      </w:r>
    </w:p>
    <w:p>
      <w:pPr/>
      <w:r>
        <w:rPr>
          <w:rFonts w:ascii="Times New Roman" w:hAnsi="Times New Roman" w:cs="Times New Roman" w:eastAsia="Times New Roman"/>
          <w:b w:val="0"/>
          <w:sz w:val="28"/>
        </w:rPr>
      </w:r>
      <w:r>
        <w:rPr>
          <w:rFonts w:ascii="Times New Roman" w:hAnsi="Times New Roman" w:cs="Times New Roman" w:eastAsia="Times New Roman"/>
          <w:b/>
          <w:sz w:val="28"/>
        </w:rPr>
        <w:t>Контрольный пример 5.</w:t>
      </w:r>
      <w:r>
        <w:rPr>
          <w:rFonts w:ascii="Times New Roman" w:hAnsi="Times New Roman" w:cs="Times New Roman" w:eastAsia="Times New Roman"/>
          <w:b w:val="0"/>
          <w:sz w:val="28"/>
        </w:rPr>
        <w:t xml:space="preserve"> Вклад 150 000 сомов, ставка 14 % годовых, срок 6 месяцев, ежемесячная капитализация, снятие 20 000 сомов на третий месяц. Пошаговый ручной расчёт: 139 861,27 сомов. Программный результат: 139 861,27 сомов. Отклонение: 0,000 %.</w:t>
      </w:r>
    </w:p>
    <w:p>
      <w:pPr/>
      <w:r>
        <w:rPr>
          <w:rFonts w:ascii="Times New Roman" w:hAnsi="Times New Roman" w:cs="Times New Roman" w:eastAsia="Times New Roman"/>
          <w:b w:val="0"/>
          <w:sz w:val="28"/>
        </w:rPr>
        <w:t>Остальные контрольные примеры охватывают дополнительные сценарии. Пример 6 воспроизводит условия примера 1 с налогом 10 %, удерживаемым в момент каждой капитализации, итог 117 458,65 сомов при налоговых отчислениях 1 939,85 сомов. Пример 7 подтверждает непрерывное начисление 200 000 сомов под 18 % годовых на 12 месяцев (FV = 200 000 × e^0,18 = 239 443,47 сомов, ЭПС 19,72 %), значение превышает показатели ежемесячной дискретной капитализации при той же номинальной ставке. Пример 8 проверяет короткий срок 3 месяца при ставке 20 % с результатом 105 083,80 сомов. Пример 9 описывает вклад 400 000 сомов с тремя последовательными изменениями ставки за 24 месяца (18 → 16 → 20 → 18 %), итог 571 791,88 сомов. Пример 10 тестирует одновременное пополнение 50 000 и снятие 30 000 сомов в одном расчётном периоде, что проверяет порядок операций в стратегии; итог 293 474,35 сомов. Пример 11 покрывает длинный горизонт 60 месяцев при ставке 15 % с итогом 1 053 590,63 сомов. Пример 12 моделирует короткий депозит 80 000 сомов на 3 месяца под 12 %, результат 82 424,08 сомов.</w:t>
      </w:r>
    </w:p>
    <w:p>
      <w:pPr/>
      <w:r>
        <w:rPr>
          <w:rFonts w:ascii="Times New Roman" w:hAnsi="Times New Roman" w:cs="Times New Roman" w:eastAsia="Times New Roman"/>
          <w:b w:val="0"/>
          <w:sz w:val="28"/>
        </w:rPr>
        <w:t>Полная таблица из 12 контрольных примеров размещена в приложении Г. Ни в одном примере программный результат не отклонился от ручного расчёта более чем на 0,0001 %: максимальное расхождение зафиксировано в примере 1 и составило 0,02 сомов (два тыйына) на итоговую сумму 119 561,84 сомов. Точность обеспечена использованием типа Decimal с 28 значащими цифрами и банковским округлением ROUND_HALF_EVEN, описанным в §3.1.</w:t>
      </w:r>
    </w:p>
    <w:p>
      <w:pPr/>
      <w:r>
        <w:rPr>
          <w:rFonts w:ascii="Times New Roman" w:hAnsi="Times New Roman" w:cs="Times New Roman" w:eastAsia="Times New Roman"/>
          <w:b w:val="0"/>
          <w:sz w:val="28"/>
        </w:rPr>
        <w:t xml:space="preserve">Отдельный блок контрольных примеров охватывает модуль микрозаймов. </w:t>
      </w:r>
      <w:r>
        <w:rPr>
          <w:rFonts w:ascii="Times New Roman" w:hAnsi="Times New Roman" w:cs="Times New Roman" w:eastAsia="Times New Roman"/>
          <w:b/>
          <w:sz w:val="28"/>
        </w:rPr>
        <w:t>Контрольный пример 13.</w:t>
      </w:r>
      <w:r>
        <w:rPr>
          <w:rFonts w:ascii="Times New Roman" w:hAnsi="Times New Roman" w:cs="Times New Roman" w:eastAsia="Times New Roman"/>
          <w:b w:val="0"/>
          <w:sz w:val="28"/>
        </w:rPr>
        <w:t xml:space="preserve"> Первая выдача 20 000 сомов, срок 30 дней, дневная ставка 0,8 %, страховка 16,01 %, сценарий «В срок». Ручной расчёт: страховой взнос 20 000 × 0,1601 = 3 202,00 сомов, проценты 20 000 × 0,008 × 30 = 4 800,00 сомов, итого к возврату 28 002,00 сомов, эффективная годовая ставка 0,008 × 365 = 292 %. Программный результат: 28 002,00 сомов, ЭПС 292,00 %. Отклонение 0,000 %. </w:t>
      </w:r>
      <w:r>
        <w:rPr>
          <w:rFonts w:ascii="Times New Roman" w:hAnsi="Times New Roman" w:cs="Times New Roman" w:eastAsia="Times New Roman"/>
          <w:b/>
          <w:sz w:val="28"/>
        </w:rPr>
        <w:t>Контрольный пример 14.</w:t>
      </w:r>
      <w:r>
        <w:rPr>
          <w:rFonts w:ascii="Times New Roman" w:hAnsi="Times New Roman" w:cs="Times New Roman" w:eastAsia="Times New Roman"/>
          <w:b w:val="0"/>
          <w:sz w:val="28"/>
        </w:rPr>
        <w:t xml:space="preserve"> Тот же заём, сценарий досрочного погашения на 10-й день. Начисленные проценты 20 000 × 0,008 × 10 = 1 600,00 сомов; остаток непогашенных процентов 3 200,00 сомов; штраф 3 200 × 0,024 = 76,80 сомов. Итог к возврату на 10-й день: 20 000 + 3 202,00 + 1 600,00 + 76,80 = 24 878,80 сомов. Программный результат: 24 878,80 сомов. Отклонение 0,000 %. </w:t>
      </w:r>
      <w:r>
        <w:rPr>
          <w:rFonts w:ascii="Times New Roman" w:hAnsi="Times New Roman" w:cs="Times New Roman" w:eastAsia="Times New Roman"/>
          <w:b/>
          <w:sz w:val="28"/>
        </w:rPr>
        <w:t>Контрольный пример 15.</w:t>
      </w:r>
      <w:r>
        <w:rPr>
          <w:rFonts w:ascii="Times New Roman" w:hAnsi="Times New Roman" w:cs="Times New Roman" w:eastAsia="Times New Roman"/>
          <w:b w:val="0"/>
          <w:sz w:val="28"/>
        </w:rPr>
        <w:t xml:space="preserve"> Повторная выдача 50 000 сомов на 30 дней, ставка 0,8 %, одна пролонгация. В первый период начислены проценты 12 000,00 сомов, которые капитализируются в тело долга: новый основной долг 62 000,00 сомов. Во втором периоде начислено 62 000 × 0,008 × 30 = 14 880,00 сомов, страховка удерживается повторно 62 000 × 0,1601 = 9 926,20 сомов. Совокупная сумма к возврату: 62 000 + 14 880,00 + 9 926,20 + 8 005,00 (первичная страховка) = 94 811,20 сомов. Программный результат совпал с ручным расчётом до копейки. Цикл пролонгации корректно применяет капитализацию процентов в тело долга, что соответствует договорной практике Doke.kg.</w:t>
      </w:r>
    </w:p>
    <w:p>
      <w:pPr/>
      <w:r>
        <w:rPr>
          <w:rFonts w:ascii="Times New Roman" w:hAnsi="Times New Roman" w:cs="Times New Roman" w:eastAsia="Times New Roman"/>
          <w:b w:val="0"/>
          <w:sz w:val="28"/>
        </w:rPr>
        <w:t>Верификация модуля ЭПС выполнена по трём контрольным примерам, для которых аналитическое значение эффективной ставки известно точно. Для вклада без пополнений, снятий и переменных ставок при ежемесячной капитализации ЭПС равна (1 + r/12)^12 − 1. При r = 18 % теоретическое значение составляет 19,5618 %. Программа вычислила 19,5618 % (с запасом точности до шестого знака, итоговое 19,561840 %). Для ежеквартальной капитализации при r = 22 % теоретическая ЭПС (1 + 0,22/4)^4 − 1 = 23,8825 %; программа выдала 23,882466 %. Для непрерывного начисления при r = 18 % аналитическая ЭПС равна e^0,18 − 1 = 19,7217 %; программа зафиксировала 19,721735 %. Все три значения совпадают с аналитическими до пятого знака после запятой.</w:t>
      </w:r>
    </w:p>
    <w:p>
      <w:pPr/>
      <w:r>
        <w:rPr>
          <w:rFonts w:ascii="Times New Roman" w:hAnsi="Times New Roman" w:cs="Times New Roman" w:eastAsia="Times New Roman"/>
          <w:b w:val="0"/>
          <w:sz w:val="28"/>
        </w:rPr>
        <w:t>Интеграционные тесты реализованы в модуле tests/test_api.py с использованием TestClient библиотеки httpx. Тестовая база данных PostgreSQL создаётся в Docker-контейнере перед запуском тестов и уничтожается после завершения. Из 23 тест-кейсов 12 проверяют позитивные сценарии, 11 — негативные: невалидные параметры, несуществующие идентификаторы, попытка доступа без токена.</w:t>
      </w:r>
    </w:p>
    <w:p>
      <w:pPr/>
      <w:r>
        <w:rPr>
          <w:rFonts w:ascii="Times New Roman" w:hAnsi="Times New Roman" w:cs="Times New Roman" w:eastAsia="Times New Roman"/>
          <w:b w:val="0"/>
          <w:sz w:val="28"/>
        </w:rPr>
        <w:t>Контроль качества кода выполняется набором статических анализаторов. Серверный код проверяется ruff (правила pep8, flake8-bugbear, pyupgrade) и mypy в строгом режиме; клиентский код — ESLint с конфигурацией typescript-eslint/recommended-type-checked и Prettier. На момент защиты проект не содержит предупреждений анализаторов. Отчёты формируются в CI и блокируют слияние ветки при появлении ошибок. Статический анализ обнаружил два потенциальных дефекта на ранних этапах: неявное приведение Decimal к float в логе и пропущенный await в тесте асинхронной функции. Оба дефекта устранены до первого релиза.</w:t>
      </w:r>
    </w:p>
    <w:p>
      <w:pPr/>
      <w:r>
        <w:rPr>
          <w:rFonts w:ascii="Times New Roman" w:hAnsi="Times New Roman" w:cs="Times New Roman" w:eastAsia="Times New Roman"/>
          <w:b w:val="0"/>
          <w:sz w:val="28"/>
        </w:rPr>
        <w:t>Функциональное тестирование выполнено вручную по 8 сценариям, воспроизводящим типовой рабочий день оператора Doke.kg: авторизация, создание карточки клиента, расчёт вклада, экспорт таблицы в Excel, просмотр истории, изменение параметров и повторный расчёт, печать документа для клиента, выход из системы. Все сценарии завершились успешно на трёх браузерах: Google Chrome 121, Mozilla Firefox 123 и Microsoft Edge 121.</w:t>
      </w:r>
    </w:p>
    <w:p>
      <w:pPr/>
      <w:r>
        <w:rPr>
          <w:rFonts w:ascii="Times New Roman" w:hAnsi="Times New Roman" w:cs="Times New Roman" w:eastAsia="Times New Roman"/>
          <w:b w:val="0"/>
          <w:sz w:val="28"/>
        </w:rPr>
        <w:t>Нагрузочное тестирование проведено утилитой Locust. Сценарий моделирует одновременную работу 50 операторов, каждый из которых выполняет один расчёт каждые 10 секунд. Сервер обработал 300 запросов в минуту при среднем времени ответа 87 мс и максимальном 243 мс. Ни один запрос не завершился ошибкой. Пиковое потребление оперативной памяти серверным процессом составило 312 МБ; загрузка CPU не превысила 35 % на одном ядре. Результаты превышают расчётную нагрузку Doke.kg с запасом в пять раз.</w:t>
      </w:r>
    </w:p>
    <w:p>
      <w:pPr/>
      <w:r>
        <w:rPr>
          <w:rFonts w:ascii="Times New Roman" w:hAnsi="Times New Roman" w:cs="Times New Roman" w:eastAsia="Times New Roman"/>
          <w:b w:val="0"/>
          <w:sz w:val="28"/>
        </w:rPr>
        <w:t>Оценка экономической эффективности выполнена путём сравнения затрат времени на расчёт вклада до и после внедрения программного продукта. Замеры проведены по 20 операциям расчёта, выполненным операторами Doke.kg.</w:t>
      </w:r>
    </w:p>
    <w:p>
      <w:pPr/>
      <w:r>
        <w:rPr>
          <w:rFonts w:ascii="Times New Roman" w:hAnsi="Times New Roman" w:cs="Times New Roman" w:eastAsia="Times New Roman"/>
          <w:b w:val="0"/>
          <w:sz w:val="28"/>
        </w:rPr>
        <w:t>До внедрения среднее время расчёта одного вклада в Excel составило 18,4 минуты и включало ввод параметров, проверку формул, копирование результатов в договор. Минимальное время составило 12 минут для простого вклада без пополнений, максимальное значение достигло 32 минут для вклада с переменной ставкой и регулярными пополнениями.</w:t>
      </w:r>
    </w:p>
    <w:p>
      <w:pPr/>
      <w:r>
        <w:rPr>
          <w:rFonts w:ascii="Times New Roman" w:hAnsi="Times New Roman" w:cs="Times New Roman" w:eastAsia="Times New Roman"/>
          <w:b w:val="0"/>
          <w:sz w:val="28"/>
        </w:rPr>
        <w:t>После внедрения среднее время сократилось до 1,7 минуты: ввод параметров в форму, нажатие кнопки, экспорт таблицы в договор. Минимум составил 0,9 минуты, максимум достиг 3,2 минуты.</w:t>
      </w:r>
    </w:p>
    <w:p>
      <w:pPr/>
      <w:r>
        <w:rPr>
          <w:rFonts w:ascii="Times New Roman" w:hAnsi="Times New Roman" w:cs="Times New Roman" w:eastAsia="Times New Roman"/>
          <w:b w:val="0"/>
          <w:sz w:val="28"/>
        </w:rPr>
        <w:t>Сокращение среднего времени расчёта составило 90,8 %. При среднем количестве 15 расчётов в рабочий день экономия достигает 250 минут (более 4 часов) на одного оператора. Для штата из 3 операторов Doke.kg суммарная экономия доходит до 12,5 часов в день. Высвобожденное время перенаправляется на консультирование клиентов и обработку кредитных заявок.</w:t>
      </w:r>
    </w:p>
    <w:p>
      <w:pPr/>
      <w:r>
        <w:rPr>
          <w:rFonts w:ascii="Times New Roman" w:hAnsi="Times New Roman" w:cs="Times New Roman" w:eastAsia="Times New Roman"/>
          <w:b w:val="0"/>
          <w:sz w:val="28"/>
        </w:rPr>
        <w:t>Экономическая эффективность оценена через показатель окупаемости инвестиций. Стоимость разработки, включая трудозатраты аналитика и разработчика, составила 420 000 сомов при средней рыночной ставке 300 сомов за человеко-час и объёме 1400 часов. Месячная эксплуатация (аренда виртуального сервера, СУБД-хостинг, техническая поддержка) обходится в 18 000 сомов. Денежная оценка сэкономленного рабочего времени операторов при ставке 220 сомов за час составляет 55 000 сомов в месяц. Чистая экономия после вычета эксплуатационных расходов составила 37 000 сомов в месяц. Срок простой окупаемости вложений составляет около 11,3 месяца. Показатель укладывается в порог приемлемости, принятый менеджментом Doke.kg.</w:t>
      </w:r>
    </w:p>
    <w:p>
      <w:pPr/>
      <w:r>
        <w:rPr>
          <w:rFonts w:ascii="Times New Roman" w:hAnsi="Times New Roman" w:cs="Times New Roman" w:eastAsia="Times New Roman"/>
          <w:b w:val="0"/>
          <w:sz w:val="28"/>
        </w:rPr>
        <w:t>Помимо временной экономии, автоматизация устранила операционные ошибки. За период Excel-расчётов Doke.kg фиксировала в среднем 2–3 ошибки в месяц: неверную формулу при копировании ячеек или округление не по банковскому правилу. После внедрения за тестовый период четырёх недель ошибок не зафиксировано. Регуляторный риск также снижен: автоматический расчёт ЭПС и генерация детализации по формату НБКР исключают ситуации неполного раскрытия условий вклада.</w:t>
      </w:r>
    </w:p>
    <w:p>
      <w:pPr/>
      <w:r>
        <w:rPr>
          <w:rFonts w:ascii="Times New Roman" w:hAnsi="Times New Roman" w:cs="Times New Roman" w:eastAsia="Times New Roman"/>
          <w:b w:val="0"/>
          <w:sz w:val="28"/>
        </w:rPr>
        <w:t>Удовлетворённость пользователей оценена анкетой SUS (System Usability Scale) по методике Дж. Брука [43]. В опросе приняли участие три оператора Doke.kg. Итоговый балл составил 82 из 100, что соответствует уровню «хорошо» по шкале Бангора, Кортума, Миллера. Замечания операторов касались пожелания добавить массовый расчёт по списку клиентов и уведомление по электронной почте о завершении длинных расчётов. Оба пункта включены в бэклог развития. Безопасность проверена по чек-листу OWASP Top 10 редакции 2021 года: протестированы сценарии инъекции, нарушения аутентификации, раскрытия чувствительных данных, неправильной конфигурации и подделки межсайтовых запросов. Уязвимости не обнаружены. Транспортный уровень защищён TLS 1.3. Пароли хранятся как bcrypt-хэши с солью длиной 16 байт.</w:t>
      </w:r>
    </w:p>
    <w:p>
      <w:pPr/>
      <w:r>
        <w:rPr>
          <w:rFonts w:ascii="Times New Roman" w:hAnsi="Times New Roman" w:cs="Times New Roman" w:eastAsia="Times New Roman"/>
          <w:b w:val="0"/>
          <w:sz w:val="28"/>
        </w:rPr>
        <w:t>По результатам тестирования и опытной эксплуатации рекомендовано внедрение программного продукта в операционную деятельность ООО «МКК «Замат Финанс» для расчёта всех депозитных продуктов компании. Рекомендации по дальнейшему развитию включают интеграцию с бухгалтерской системой 1С для автоматической генерации проводок, добавление модуля прогнозирования поступлений по депозитному портфелю и реализацию мобильного приложения для клиентов с функцией просмотра состояния вклада.</w:t>
      </w:r>
    </w:p>
    <w:p>
      <w:pPr>
        <w:pStyle w:val="Heading1"/>
      </w:pPr>
      <w:r>
        <w:rPr>
          <w:rFonts w:ascii="Times New Roman" w:hAnsi="Times New Roman" w:cs="Times New Roman" w:eastAsia="Times New Roman"/>
        </w:rPr>
        <w:t>ЗАКЛЮЧЕНИЕ</w:t>
      </w:r>
    </w:p>
    <w:p>
      <w:pPr/>
      <w:r>
        <w:rPr>
          <w:rFonts w:ascii="Times New Roman" w:hAnsi="Times New Roman" w:cs="Times New Roman" w:eastAsia="Times New Roman"/>
          <w:b w:val="0"/>
          <w:sz w:val="28"/>
        </w:rPr>
        <w:t>Настоящая магистерская диссертация посвящена разработке программного приложения для расчёта банковского вклада с капитализацией процентов на примере ООО «МКК «Замат Финанс», работающего под торговой маркой Doke.kg. По результатам выполненной работы сформулированы следующие выводы.</w:t>
      </w:r>
    </w:p>
    <w:p>
      <w:pPr/>
      <w:r>
        <w:rPr>
          <w:rFonts w:ascii="Times New Roman" w:hAnsi="Times New Roman" w:cs="Times New Roman" w:eastAsia="Times New Roman"/>
          <w:b w:val="0"/>
          <w:sz w:val="28"/>
        </w:rPr>
        <w:t>Первая глава установила теоретическую базу исследования. Раскрыта экономическая сущность банковских вкладов и механизм капитализации процентов. Формализованы математические модели расчёта сложных процентов для четырёх режимов: дискретная капитализация с фиксированной ставкой, непрерывное начисление, модель с переменной ставкой и модель с регулярными пополнениями. Проанализирована нормативно-правовая база деятельности микрокредитных организаций Кыргызской Республики, включая требования НБКР к расчёту и раскрытию эффективной процентной ставки. Сравнительный анализ существующих программных решений выявил отсутствие инструмента, одновременно удовлетворяющего пяти критериям: точность вычислений, функциональная гибкость, адаптация к нормативам МКО КР, доступная стоимость владения и наличие API для интеграции.</w:t>
      </w:r>
    </w:p>
    <w:p>
      <w:pPr/>
      <w:r>
        <w:rPr>
          <w:rFonts w:ascii="Times New Roman" w:hAnsi="Times New Roman" w:cs="Times New Roman" w:eastAsia="Times New Roman"/>
          <w:b w:val="0"/>
          <w:sz w:val="28"/>
        </w:rPr>
        <w:t>Вторая глава реализовала проектирование программного приложения. Сформированы функциональные и нефункциональные требования на основе анализа бизнес-процессов Doke.kg. Обоснован выбор технологического стека: Python + FastAPI для бэкенда, React + TypeScript для фронтенда, PostgreSQL для хранения данных, Docker для контейнеризации. Спроектирована трёхуровневая клиент-серверная архитектура с REST API. Разработаны UML-диаграммы вариантов использования, классов вычислительного модуля с применением паттерна Strategy, последовательности и компонентов. Спроектирована ER-модель базы данных из пяти таблиц — clients, deposits, calculations, interest_rate_changes, transactions — и составлена блок-схема алгоритма расчёта вклада.</w:t>
      </w:r>
    </w:p>
    <w:p>
      <w:pPr/>
      <w:r>
        <w:rPr>
          <w:rFonts w:ascii="Times New Roman" w:hAnsi="Times New Roman" w:cs="Times New Roman" w:eastAsia="Times New Roman"/>
          <w:b w:val="0"/>
          <w:sz w:val="28"/>
        </w:rPr>
        <w:t>Третья глава описала реализацию и тестирование. Вычислительное ядро реализовано с использованием типа Decimal точностью 28 значащих цифр и банковского округления ROUND_HALF_EVEN, что обеспечило погрешность расчёта не более 0,0001 % во всех 12 контрольных примерах (максимальное абсолютное расхождение — 0,02 сомов на итоговую сумму 119 561,84 сомов). Модуль эффективной процентной ставки вычисляет ЭПС методом Ньютона–Рафсона с точностью до пятого знака после запятой. Графический интерфейс реализован на React с адаптивной раскладкой по трём контрольным точкам и включает форму расчёта, таблицу помесячной детализации, интерактивный график динамики роста вклада и функции экспорта в Excel и печати. Автоматизированное тестирование включило 67 модульных (с учётом параметризации) и 23 интеграционных тест-кейса; функциональное тестирование покрыло 8 сценариев на трёх браузерах. Нагрузочное тестирование подтвердило устойчивую работу при 300 запросах в минуту. Покрытие вычислительного ядра по строкам составило 97 %, с полным покрытием основных стратегий расчёта.</w:t>
      </w:r>
    </w:p>
    <w:p>
      <w:pPr/>
      <w:r>
        <w:rPr>
          <w:rFonts w:ascii="Times New Roman" w:hAnsi="Times New Roman" w:cs="Times New Roman" w:eastAsia="Times New Roman"/>
          <w:b w:val="0"/>
          <w:sz w:val="28"/>
        </w:rPr>
        <w:t>Экономическая эффективность подтверждена замерами: среднее время расчёта одного вклада сократилось с 18,4 минуты в Excel до 1,7 минуты в приложении, что составляет экономию 90,8 %. Для штата из 3 операторов суммарная экономия рабочего времени достигает 12,5 часов в день. За тестовый период операционные ошибки при расчёте не зафиксированы, тогда как при ручном расчёте в Excel фиксировалось 2–3 ошибки в месяц. Автоматический расчёт ЭПС и генерация детализации по формату НБКР устранили регуляторный риск неполного раскрытия условий вклада. Срок простой окупаемости инвестиций составил 11,3 месяца.</w:t>
      </w:r>
    </w:p>
    <w:p>
      <w:pPr/>
      <w:r>
        <w:rPr>
          <w:rFonts w:ascii="Times New Roman" w:hAnsi="Times New Roman" w:cs="Times New Roman" w:eastAsia="Times New Roman"/>
          <w:b w:val="0"/>
          <w:sz w:val="28"/>
        </w:rPr>
        <w:t>Научная новизна работы состоит в адаптации классических моделей финансовой математики к регуляторным особенностям микрокредитных организаций Кыргызской Республики. Предложена единая архитектура вычислительного ядра, объединяющая четыре режима начисления процентов через паттерн Strategy, что упрощает расширение набора моделей без переписывания вышележащих слоёв. Разработан алгоритм сквозного контроля категории вкладчика на этапе валидации параметров, предотвращающий нарушение статьи 14 Закона КР «О микрофинансовых организациях» при автоматизированном обслуживании.</w:t>
      </w:r>
    </w:p>
    <w:p>
      <w:pPr/>
      <w:r>
        <w:rPr>
          <w:rFonts w:ascii="Times New Roman" w:hAnsi="Times New Roman" w:cs="Times New Roman" w:eastAsia="Times New Roman"/>
          <w:b w:val="0"/>
          <w:sz w:val="28"/>
        </w:rPr>
        <w:t>Практическая значимость выражена готовым к эксплуатации программным продуктом. Приложение передано операторам Doke.kg для опытной эксплуатации, что подтверждается актом внедрения (приложение В). Исходный код размещён в приватном репозитории компании, сборка образов и развёртывание автоматизированы средствами GitHub Actions и Docker. Модульная структура кода допускает адаптацию решения под другие микрокредитные организации Кыргызской Республики: для переноса достаточно изменить фирменную палитру, логотип и параметры валидации, специфичные для организации.</w:t>
      </w:r>
    </w:p>
    <w:p>
      <w:pPr/>
      <w:r>
        <w:rPr>
          <w:rFonts w:ascii="Times New Roman" w:hAnsi="Times New Roman" w:cs="Times New Roman" w:eastAsia="Times New Roman"/>
          <w:b w:val="0"/>
          <w:sz w:val="28"/>
        </w:rPr>
        <w:t>Цель магистерской диссертации достигнута: разработано, протестировано и подготовлено к внедрению программное приложение, автоматизирующее расчёт банковского вклада с капитализацией процентов для ООО «МКК «Замат Финанс». Все семь задач, сформулированных во введении, выполнены: изучены теоретические основы финансовых расчётов, проанализирована нормативно-правовая база КР, исследованы существующие аналоги, сформированы функциональные и нефункциональные требования, спроектирована архитектура и база данных, реализовано и протестировано приложение, подготовлены рекомендации по внедрению.</w:t>
      </w:r>
    </w:p>
    <w:p>
      <w:pPr/>
      <w:r>
        <w:rPr>
          <w:rFonts w:ascii="Times New Roman" w:hAnsi="Times New Roman" w:cs="Times New Roman" w:eastAsia="Times New Roman"/>
          <w:b w:val="0"/>
          <w:sz w:val="28"/>
        </w:rPr>
        <w:t>Результаты работы прошли апробацию в операционной деятельности Doke.kg в течение четырёхнедельной опытной эксплуатации. По итогам опроса операторов по шкале SUS получен балл 82 из 100. Методика верификации математического ядра и структура контрольных примеров доложены на заседании кафедры прикладной математики и информатики КГТУ им. И. Раззакова.</w:t>
      </w:r>
    </w:p>
    <w:p>
      <w:pPr/>
      <w:r>
        <w:rPr>
          <w:rFonts w:ascii="Times New Roman" w:hAnsi="Times New Roman" w:cs="Times New Roman" w:eastAsia="Times New Roman"/>
          <w:b w:val="0"/>
          <w:sz w:val="28"/>
        </w:rPr>
        <w:t>Направления дальнейшего развития включают интеграцию с бухгалтерской системой 1С:Предприятие для автоматической генерации проводок и синхронизации остатков, разработку модуля прогнозирования поступлений по депозитному портфелю методами анализа временных рядов, создание мобильного приложения для клиентов с биометрической аутентификацией и расширение функциональности для кредитных продуктов компании. Реализация перечисленных направлений переведёт продукт из расчётного инструмента в полноценную платформу управления депозитными и кредитными операциями микрокредитной организации.</w:t>
      </w:r>
    </w:p>
    <w:p>
      <w:pPr>
        <w:pStyle w:val="Heading1"/>
      </w:pPr>
      <w:r>
        <w:rPr>
          <w:rFonts w:ascii="Times New Roman" w:hAnsi="Times New Roman" w:cs="Times New Roman" w:eastAsia="Times New Roman"/>
        </w:rPr>
        <w:t>СПИСОК ИСПОЛЬЗОВАННЫХ ИСТОЧНИКОВ</w:t>
      </w:r>
    </w:p>
    <w:p>
      <w:pPr>
        <w:ind w:firstLine="0" w:left="709"/>
      </w:pPr>
      <w:r>
        <w:rPr>
          <w:rFonts w:ascii="Times New Roman" w:hAnsi="Times New Roman" w:cs="Times New Roman" w:eastAsia="Times New Roman"/>
          <w:b w:val="0"/>
          <w:sz w:val="28"/>
        </w:rPr>
        <w:t>1. ГОСТ 7.1-2003. Библиографическая запись. Библиографическое описание. Общие требования и правила составления. — М.: Стандартинформ, 2004. — 47 с.</w:t>
      </w:r>
    </w:p>
    <w:p>
      <w:pPr>
        <w:ind w:firstLine="0" w:left="709"/>
      </w:pPr>
      <w:r>
        <w:rPr>
          <w:rFonts w:ascii="Times New Roman" w:hAnsi="Times New Roman" w:cs="Times New Roman" w:eastAsia="Times New Roman"/>
          <w:b w:val="0"/>
          <w:sz w:val="28"/>
        </w:rPr>
        <w:t>2. Закон Кыргызской Республики от 23 июля 2002 г. №124 «О микрофинансовых организациях в Кыргызской Республике» (с изм. и доп. от 20.05.2024 №87) [Электронный ресурс]. — Режим доступа: https://cbd.minjust.gov.kg/1081/edition/1236800/ru</w:t>
      </w:r>
    </w:p>
    <w:p>
      <w:pPr>
        <w:ind w:firstLine="0" w:left="709"/>
      </w:pPr>
      <w:r>
        <w:rPr>
          <w:rFonts w:ascii="Times New Roman" w:hAnsi="Times New Roman" w:cs="Times New Roman" w:eastAsia="Times New Roman"/>
          <w:b w:val="0"/>
          <w:sz w:val="28"/>
        </w:rPr>
        <w:t>3. Закон Кыргызской Республики «О защите банковских вкладов (депозитов)» (с изм. от 08.08.2019 №114) [Электронный ресурс]. — Режим доступа: https://www.nbkr.kg/index1.jsp?item=1200&amp;lang=rus</w:t>
      </w:r>
    </w:p>
    <w:p>
      <w:pPr>
        <w:ind w:firstLine="0" w:left="709"/>
      </w:pPr>
      <w:r>
        <w:rPr>
          <w:rFonts w:ascii="Times New Roman" w:hAnsi="Times New Roman" w:cs="Times New Roman" w:eastAsia="Times New Roman"/>
          <w:b w:val="0"/>
          <w:sz w:val="28"/>
        </w:rPr>
        <w:t>4. Международный стандарт финансовой отчетности (IFRS) 9 «Финансовые инструменты» (ред. 2014 г.) [Электронный ресурс]. — Режим доступа: https://www.consultant.ru/document/cons_doc_LAW_202060/</w:t>
      </w:r>
    </w:p>
    <w:p>
      <w:pPr>
        <w:ind w:firstLine="0" w:left="709"/>
      </w:pPr>
      <w:r>
        <w:rPr>
          <w:rFonts w:ascii="Times New Roman" w:hAnsi="Times New Roman" w:cs="Times New Roman" w:eastAsia="Times New Roman"/>
          <w:b w:val="0"/>
          <w:sz w:val="28"/>
        </w:rPr>
        <w:t>5. Буч Г. Объектно-ориентированный анализ и проектирование с примерами приложений / Г. Буч, Р.А. Максимчук, М.У. Энгл [и др.]; пер. с англ. — 3-е изд. — М.: Вильямс, 2008. — 720 с.</w:t>
      </w:r>
    </w:p>
    <w:p>
      <w:pPr>
        <w:ind w:firstLine="0" w:left="709"/>
      </w:pPr>
      <w:r>
        <w:rPr>
          <w:rFonts w:ascii="Times New Roman" w:hAnsi="Times New Roman" w:cs="Times New Roman" w:eastAsia="Times New Roman"/>
          <w:b w:val="0"/>
          <w:sz w:val="28"/>
        </w:rPr>
        <w:t>6. Гамма Э. Приёмы объектно-ориентированного проектирования. Паттерны проектирования / Э. Гамма, Р. Хелм, Р. Джонсон, Дж. Влиссидес; пер. с англ. — СПб.: Питер, 2020. — 368 с.</w:t>
      </w:r>
    </w:p>
    <w:p>
      <w:pPr>
        <w:ind w:firstLine="0" w:left="709"/>
      </w:pPr>
      <w:r>
        <w:rPr>
          <w:rFonts w:ascii="Times New Roman" w:hAnsi="Times New Roman" w:cs="Times New Roman" w:eastAsia="Times New Roman"/>
          <w:b w:val="0"/>
          <w:sz w:val="28"/>
        </w:rPr>
        <w:t>7. Ендовицкий Д.А. Анализ кредитоспособности организаций и группы компаний: учебное пособие / Д.А. Ендовицкий, К.В. Бахтин, Д.В. Ковтун. — М.: КноРус, 2010. — 360 с.</w:t>
      </w:r>
    </w:p>
    <w:p>
      <w:pPr>
        <w:ind w:firstLine="0" w:left="709"/>
      </w:pPr>
      <w:r>
        <w:rPr>
          <w:rFonts w:ascii="Times New Roman" w:hAnsi="Times New Roman" w:cs="Times New Roman" w:eastAsia="Times New Roman"/>
          <w:b w:val="0"/>
          <w:sz w:val="28"/>
        </w:rPr>
        <w:t>8. Канер С. Тестирование программного обеспечения. Фундаментальные концепции менеджмента бизнес-приложений / С. Канер, Дж. Фолк, Е.К. Нгуен; пер. с англ. — Киев: ДиаСофт, 2001. — 544 с.</w:t>
      </w:r>
    </w:p>
    <w:p>
      <w:pPr>
        <w:ind w:firstLine="0" w:left="709"/>
      </w:pPr>
      <w:r>
        <w:rPr>
          <w:rFonts w:ascii="Times New Roman" w:hAnsi="Times New Roman" w:cs="Times New Roman" w:eastAsia="Times New Roman"/>
          <w:b w:val="0"/>
          <w:sz w:val="28"/>
        </w:rPr>
        <w:t>9. Ковалёв В.В. Курс финансовых вычислений: учебник / В.В. Ковалёв, В.А. Уланов. — 4-е изд. — М.: Проспект, 2013. — 560 с.</w:t>
      </w:r>
    </w:p>
    <w:p>
      <w:pPr>
        <w:ind w:firstLine="0" w:left="709"/>
      </w:pPr>
      <w:r>
        <w:rPr>
          <w:rFonts w:ascii="Times New Roman" w:hAnsi="Times New Roman" w:cs="Times New Roman" w:eastAsia="Times New Roman"/>
          <w:b w:val="0"/>
          <w:sz w:val="28"/>
        </w:rPr>
        <w:t>10. Ковалёв В.В. Финансовый анализ: методы и процедуры: учебно-практическое пособие / В.В. Ковалёв. — М.: Финансы и статистика, 2002. — 560 с.</w:t>
      </w:r>
    </w:p>
    <w:p>
      <w:pPr>
        <w:ind w:firstLine="0" w:left="709"/>
      </w:pPr>
      <w:r>
        <w:rPr>
          <w:rFonts w:ascii="Times New Roman" w:hAnsi="Times New Roman" w:cs="Times New Roman" w:eastAsia="Times New Roman"/>
          <w:b w:val="0"/>
          <w:sz w:val="28"/>
        </w:rPr>
        <w:t>11. Лаврушин О.И. Банковское дело: учебник / под ред. О.И. Лаврушина. — 9-е изд., перераб. и доп. — М.: КНОРУС, 2016. — 800 с.</w:t>
      </w:r>
    </w:p>
    <w:p>
      <w:pPr>
        <w:ind w:firstLine="0" w:left="709"/>
      </w:pPr>
      <w:r>
        <w:rPr>
          <w:rFonts w:ascii="Times New Roman" w:hAnsi="Times New Roman" w:cs="Times New Roman" w:eastAsia="Times New Roman"/>
          <w:b w:val="0"/>
          <w:sz w:val="28"/>
        </w:rPr>
        <w:t>12. Лукасевич И.Я. Инвестиции: учебник / И.Я. Лукасевич. — М.: Вузовский учебник: ИНФРА-М, 2020. — 413 с.</w:t>
      </w:r>
    </w:p>
    <w:p>
      <w:pPr>
        <w:ind w:firstLine="0" w:left="709"/>
      </w:pPr>
      <w:r>
        <w:rPr>
          <w:rFonts w:ascii="Times New Roman" w:hAnsi="Times New Roman" w:cs="Times New Roman" w:eastAsia="Times New Roman"/>
          <w:b w:val="0"/>
          <w:sz w:val="28"/>
        </w:rPr>
        <w:t>13. Лукасевич И.Я. Финансовый менеджмент: учебник / И.Я. Лукасевич. — 4-е изд., перераб. и доп. — М.: Юрайт, 2023. — 680 с.</w:t>
      </w:r>
    </w:p>
    <w:p>
      <w:pPr>
        <w:ind w:firstLine="0" w:left="709"/>
      </w:pPr>
      <w:r>
        <w:rPr>
          <w:rFonts w:ascii="Times New Roman" w:hAnsi="Times New Roman" w:cs="Times New Roman" w:eastAsia="Times New Roman"/>
          <w:b w:val="0"/>
          <w:sz w:val="28"/>
        </w:rPr>
        <w:t>14. Майерс Г. Искусство тестирования программ / Г. Майерс, Т. Баджетт, К. Сандлер; пер. с англ. — 3-е изд. — М.: Вильямс, 2012. — 272 с.</w:t>
      </w:r>
    </w:p>
    <w:p>
      <w:pPr>
        <w:ind w:firstLine="0" w:left="709"/>
      </w:pPr>
      <w:r>
        <w:rPr>
          <w:rFonts w:ascii="Times New Roman" w:hAnsi="Times New Roman" w:cs="Times New Roman" w:eastAsia="Times New Roman"/>
          <w:b w:val="0"/>
          <w:sz w:val="28"/>
        </w:rPr>
        <w:t>15. Мартин Р. Чистая архитектура: искусство разработки программного обеспечения / Р. Мартин; пер. с англ. — СПб.: Питер, 2018. — 352 с.</w:t>
      </w:r>
    </w:p>
    <w:p>
      <w:pPr>
        <w:ind w:firstLine="0" w:left="709"/>
      </w:pPr>
      <w:r>
        <w:rPr>
          <w:rFonts w:ascii="Times New Roman" w:hAnsi="Times New Roman" w:cs="Times New Roman" w:eastAsia="Times New Roman"/>
          <w:b w:val="0"/>
          <w:sz w:val="28"/>
        </w:rPr>
        <w:t>16. Соммервилл И. Инженерия программного обеспечения / И. Соммервилл; пер. с англ. — 10-е изд. — М.: Вильямс, 2019. — 968 с.</w:t>
      </w:r>
    </w:p>
    <w:p>
      <w:pPr>
        <w:ind w:firstLine="0" w:left="709"/>
      </w:pPr>
      <w:r>
        <w:rPr>
          <w:rFonts w:ascii="Times New Roman" w:hAnsi="Times New Roman" w:cs="Times New Roman" w:eastAsia="Times New Roman"/>
          <w:b w:val="0"/>
          <w:sz w:val="28"/>
        </w:rPr>
        <w:t>17. Фаулер М. Шаблоны корпоративных приложений / М. Фаулер; пер. с англ. — М.: Вильямс, 2012. — 544 с.</w:t>
      </w:r>
    </w:p>
    <w:p>
      <w:pPr>
        <w:ind w:firstLine="0" w:left="709"/>
      </w:pPr>
      <w:r>
        <w:rPr>
          <w:rFonts w:ascii="Times New Roman" w:hAnsi="Times New Roman" w:cs="Times New Roman" w:eastAsia="Times New Roman"/>
          <w:b w:val="0"/>
          <w:sz w:val="28"/>
        </w:rPr>
        <w:t>18. Четыркин Е.М. Финансовая математика: учебник / Е.М. Четыркин. — 11-е изд. — М.: Изд. Дом «Дело» РАНХиГС, 2011. — 392 с.</w:t>
      </w:r>
    </w:p>
    <w:p>
      <w:pPr>
        <w:ind w:firstLine="0" w:left="709"/>
      </w:pPr>
      <w:r>
        <w:rPr>
          <w:rFonts w:ascii="Times New Roman" w:hAnsi="Times New Roman" w:cs="Times New Roman" w:eastAsia="Times New Roman"/>
          <w:b w:val="0"/>
          <w:sz w:val="28"/>
        </w:rPr>
        <w:t>19. Аникин М.С. Сравнение наращения по схеме простых и сложных процентов при кратном начислении / М.С. Аникин // Научные записки молодых исследователей. — 2013. — №2-3. — С. 20–21.</w:t>
      </w:r>
    </w:p>
    <w:p>
      <w:pPr>
        <w:ind w:firstLine="0" w:left="709"/>
      </w:pPr>
      <w:r>
        <w:rPr>
          <w:rFonts w:ascii="Times New Roman" w:hAnsi="Times New Roman" w:cs="Times New Roman" w:eastAsia="Times New Roman"/>
          <w:b w:val="0"/>
          <w:sz w:val="28"/>
        </w:rPr>
        <w:t>20. Воротников А.А. Микрокредитные организации ХХI века: специфика российского рынка, общемировые тенденции и перспективы адаптации международного опыта / А.А. Воротников, А.Ю. Изотова // Научные записки молодых исследователей. — 2016. — №6. — С. 14–20.</w:t>
      </w:r>
    </w:p>
    <w:p>
      <w:pPr>
        <w:ind w:firstLine="0" w:left="709"/>
      </w:pPr>
      <w:r>
        <w:rPr>
          <w:rFonts w:ascii="Times New Roman" w:hAnsi="Times New Roman" w:cs="Times New Roman" w:eastAsia="Times New Roman"/>
          <w:b w:val="0"/>
          <w:sz w:val="28"/>
        </w:rPr>
        <w:t>21. Гамзатова С.А. Депозитные операции коммерческих банков и их развитие в современных условиях / С.А. Гамзатова // Международный журнал гуманитарных и естественных наук. — 2019. — №11-3. — С. 124–127. — DOI: 10.24411/2500-1000-2019-11794.</w:t>
      </w:r>
    </w:p>
    <w:p>
      <w:pPr>
        <w:ind w:firstLine="0" w:left="709"/>
      </w:pPr>
      <w:r>
        <w:rPr>
          <w:rFonts w:ascii="Times New Roman" w:hAnsi="Times New Roman" w:cs="Times New Roman" w:eastAsia="Times New Roman"/>
          <w:b w:val="0"/>
          <w:sz w:val="28"/>
        </w:rPr>
        <w:t>22. Данелян Т.Я. Применение средств автоматизации в финансовых системах / Т.Я. Данелян, О.А. Козлова // Экономика строительства. — 2024. — №2. — С. 99–105.</w:t>
      </w:r>
    </w:p>
    <w:p>
      <w:pPr>
        <w:ind w:firstLine="0" w:left="709"/>
      </w:pPr>
      <w:r>
        <w:rPr>
          <w:rFonts w:ascii="Times New Roman" w:hAnsi="Times New Roman" w:cs="Times New Roman" w:eastAsia="Times New Roman"/>
          <w:b w:val="0"/>
          <w:sz w:val="28"/>
        </w:rPr>
        <w:t>23. Звонова Е.А. Банковские вклады как основной инструмент аккумуляции сбережений населения в современных условиях / Е.А. Звонова // Экономика. Налоги. Право. — 2015. — №1. — С. 27–36.</w:t>
      </w:r>
    </w:p>
    <w:p>
      <w:pPr>
        <w:ind w:firstLine="0" w:left="709"/>
      </w:pPr>
      <w:r>
        <w:rPr>
          <w:rFonts w:ascii="Times New Roman" w:hAnsi="Times New Roman" w:cs="Times New Roman" w:eastAsia="Times New Roman"/>
          <w:b w:val="0"/>
          <w:sz w:val="28"/>
        </w:rPr>
        <w:t>24. Мамин Д.В. Расчёт эффективности банковских вкладов / Д.В. Мамин // Управленец. — 2009. — №3-4. — С. 62–66.</w:t>
      </w:r>
    </w:p>
    <w:p>
      <w:pPr>
        <w:ind w:firstLine="0" w:left="709"/>
      </w:pPr>
      <w:r>
        <w:rPr>
          <w:rFonts w:ascii="Times New Roman" w:hAnsi="Times New Roman" w:cs="Times New Roman" w:eastAsia="Times New Roman"/>
          <w:b w:val="0"/>
          <w:sz w:val="28"/>
        </w:rPr>
        <w:t>25. Полтева Т.В. Основы функционирования автоматизированных банковских систем / Т.В. Полтева // Экономика и социум. — 2015. — №6-1 (19). — С. 875–878.</w:t>
      </w:r>
    </w:p>
    <w:p>
      <w:pPr>
        <w:ind w:firstLine="0" w:left="709"/>
      </w:pPr>
      <w:r>
        <w:rPr>
          <w:rFonts w:ascii="Times New Roman" w:hAnsi="Times New Roman" w:cs="Times New Roman" w:eastAsia="Times New Roman"/>
          <w:b w:val="0"/>
          <w:sz w:val="28"/>
        </w:rPr>
        <w:t>26. Чен Р.И. Цифровые технологии в банковской сфере. Российский и мировой опыт / Р.И. Чен, А.Я. Петров, Е.И. Торбеев, П.В. Лимарев // Вестник Московского университета им. С.Ю. Витте. Серия 1: Экономика и управление. — 2018. — №2 (25). — С. 42–49. — DOI: 10.21777/2587-554X-2018-2-42-49.</w:t>
      </w:r>
    </w:p>
    <w:p>
      <w:pPr>
        <w:ind w:firstLine="0" w:left="709"/>
      </w:pPr>
      <w:r>
        <w:rPr>
          <w:rFonts w:ascii="Times New Roman" w:hAnsi="Times New Roman" w:cs="Times New Roman" w:eastAsia="Times New Roman"/>
          <w:b w:val="0"/>
          <w:sz w:val="28"/>
        </w:rPr>
        <w:t>27. Benninga S. Financial Modeling / S. Benninga. — 5th ed. — Cambridge: MIT Press, 2014. — 1168 p.</w:t>
      </w:r>
    </w:p>
    <w:p>
      <w:pPr>
        <w:ind w:firstLine="0" w:left="709"/>
      </w:pPr>
      <w:r>
        <w:rPr>
          <w:rFonts w:ascii="Times New Roman" w:hAnsi="Times New Roman" w:cs="Times New Roman" w:eastAsia="Times New Roman"/>
          <w:b w:val="0"/>
          <w:sz w:val="28"/>
        </w:rPr>
        <w:t>28. Dombrovskaya H. PostgreSQL Query Optimization: The Ultimate Guide to Building Efficient Queries / H. Dombrovskaya, B. Novikov, A. Bailliekova. — New York: Apress, 2021. — 385 p.</w:t>
      </w:r>
    </w:p>
    <w:p>
      <w:pPr>
        <w:ind w:firstLine="0" w:left="709"/>
      </w:pPr>
      <w:r>
        <w:rPr>
          <w:rFonts w:ascii="Times New Roman" w:hAnsi="Times New Roman" w:cs="Times New Roman" w:eastAsia="Times New Roman"/>
          <w:b w:val="0"/>
          <w:sz w:val="28"/>
        </w:rPr>
        <w:t>29. Fabozzi F.J. Fixed Income Mathematics: Analytical &amp; Statistical Techniques / F.J. Fabozzi. — 4th ed. — New York: McGraw-Hill, 2006. — 512 p.</w:t>
      </w:r>
    </w:p>
    <w:p>
      <w:pPr>
        <w:ind w:firstLine="0" w:left="709"/>
      </w:pPr>
      <w:r>
        <w:rPr>
          <w:rFonts w:ascii="Times New Roman" w:hAnsi="Times New Roman" w:cs="Times New Roman" w:eastAsia="Times New Roman"/>
          <w:b w:val="0"/>
          <w:sz w:val="28"/>
        </w:rPr>
        <w:t>30. Hull J.C. Options, Futures, and Other Derivatives / J.C. Hull. — 11th ed. — London: Pearson, 2022. — 896 p.</w:t>
      </w:r>
    </w:p>
    <w:p>
      <w:pPr>
        <w:ind w:firstLine="0" w:left="709"/>
      </w:pPr>
      <w:r>
        <w:rPr>
          <w:rFonts w:ascii="Times New Roman" w:hAnsi="Times New Roman" w:cs="Times New Roman" w:eastAsia="Times New Roman"/>
          <w:b w:val="0"/>
          <w:sz w:val="28"/>
        </w:rPr>
        <w:t>31. Kane S. Docker: Up &amp; Running / S. Kane, K. Matthias. — 3rd ed. — Sebastopol: O'Reilly Media, 2023. — 400 p.</w:t>
      </w:r>
    </w:p>
    <w:p>
      <w:pPr>
        <w:ind w:firstLine="0" w:left="709"/>
      </w:pPr>
      <w:r>
        <w:rPr>
          <w:rFonts w:ascii="Times New Roman" w:hAnsi="Times New Roman" w:cs="Times New Roman" w:eastAsia="Times New Roman"/>
          <w:b w:val="0"/>
          <w:sz w:val="28"/>
        </w:rPr>
        <w:t>32. Lubanovic B. FastAPI: Modern Python Web Development / B. Lubanovic. — Sebastopol: O'Reilly Media, 2024. — 462 p.</w:t>
      </w:r>
    </w:p>
    <w:p>
      <w:pPr>
        <w:ind w:firstLine="0" w:left="709"/>
      </w:pPr>
      <w:r>
        <w:rPr>
          <w:rFonts w:ascii="Times New Roman" w:hAnsi="Times New Roman" w:cs="Times New Roman" w:eastAsia="Times New Roman"/>
          <w:b w:val="0"/>
          <w:sz w:val="28"/>
        </w:rPr>
        <w:t>33. Pressman R.S. Software Engineering: A Practitioner's Approach / R.S. Pressman, B.R. Maxim. — 9th ed. — New York: McGraw-Hill, 2019. — 976 p.</w:t>
      </w:r>
    </w:p>
    <w:p>
      <w:pPr>
        <w:ind w:firstLine="0" w:left="709"/>
      </w:pPr>
      <w:r>
        <w:rPr>
          <w:rFonts w:ascii="Times New Roman" w:hAnsi="Times New Roman" w:cs="Times New Roman" w:eastAsia="Times New Roman"/>
          <w:b w:val="0"/>
          <w:sz w:val="28"/>
        </w:rPr>
        <w:t>34. Richardson L. RESTful Web APIs / L. Richardson, M. Amundsen, S. Ruby. — Sebastopol: O'Reilly Media, 2013. — 406 p.</w:t>
      </w:r>
    </w:p>
    <w:p>
      <w:pPr>
        <w:ind w:firstLine="0" w:left="709"/>
      </w:pPr>
      <w:r>
        <w:rPr>
          <w:rFonts w:ascii="Times New Roman" w:hAnsi="Times New Roman" w:cs="Times New Roman" w:eastAsia="Times New Roman"/>
          <w:b w:val="0"/>
          <w:sz w:val="28"/>
        </w:rPr>
        <w:t>35. Rippon C. Learn React with TypeScript / C. Rippon. — 2nd ed. — Birmingham: Packt, 2023. — 474 p.</w:t>
      </w:r>
    </w:p>
    <w:p>
      <w:pPr>
        <w:ind w:firstLine="0" w:left="709"/>
      </w:pPr>
      <w:r>
        <w:rPr>
          <w:rFonts w:ascii="Times New Roman" w:hAnsi="Times New Roman" w:cs="Times New Roman" w:eastAsia="Times New Roman"/>
          <w:b w:val="0"/>
          <w:sz w:val="28"/>
        </w:rPr>
        <w:t>36. Wilmott P. Paul Wilmott on Quantitative Finance / P. Wilmott. — 2nd ed. — Chichester: Wiley, 2006. — 1500 p.</w:t>
      </w:r>
    </w:p>
    <w:p>
      <w:pPr>
        <w:ind w:firstLine="0" w:left="709"/>
      </w:pPr>
      <w:r>
        <w:rPr>
          <w:rFonts w:ascii="Times New Roman" w:hAnsi="Times New Roman" w:cs="Times New Roman" w:eastAsia="Times New Roman"/>
          <w:b w:val="0"/>
          <w:sz w:val="28"/>
        </w:rPr>
        <w:t>37. Banks.kg: финансовый маркетплейс Кыргызстана [Электронный ресурс]. — Режим доступа: https://banks.kg/ (дата обращения: 19.03.2026).</w:t>
      </w:r>
    </w:p>
    <w:p>
      <w:pPr>
        <w:ind w:firstLine="0" w:left="709"/>
      </w:pPr>
      <w:r>
        <w:rPr>
          <w:rFonts w:ascii="Times New Roman" w:hAnsi="Times New Roman" w:cs="Times New Roman" w:eastAsia="Times New Roman"/>
          <w:b w:val="0"/>
          <w:sz w:val="28"/>
        </w:rPr>
        <w:t>38. FastAPI: Modern Python Web Framework [Электронный ресурс]. — Режим доступа: https://fastapi.tiangolo.com/ (дата обращения: 19.03.2026).</w:t>
      </w:r>
    </w:p>
    <w:p>
      <w:pPr>
        <w:ind w:firstLine="0" w:left="709"/>
      </w:pPr>
      <w:r>
        <w:rPr>
          <w:rFonts w:ascii="Times New Roman" w:hAnsi="Times New Roman" w:cs="Times New Roman" w:eastAsia="Times New Roman"/>
          <w:b w:val="0"/>
          <w:sz w:val="28"/>
        </w:rPr>
        <w:t>39. Национальный банк Кыргызской Республики: официальный сайт [Электронный ресурс]. — Режим доступа: https://www.nbkr.kg/ (дата обращения: 19.03.2026).</w:t>
      </w:r>
    </w:p>
    <w:p>
      <w:pPr>
        <w:ind w:firstLine="0" w:left="709"/>
      </w:pPr>
      <w:r>
        <w:rPr>
          <w:rFonts w:ascii="Times New Roman" w:hAnsi="Times New Roman" w:cs="Times New Roman" w:eastAsia="Times New Roman"/>
          <w:b w:val="0"/>
          <w:sz w:val="28"/>
        </w:rPr>
        <w:t>40. Агентство по защите депозитов Кыргызской Республики: официальный сайт [Электронный ресурс]. — Режим доступа: https://www.deposit.kg/ (дата обращения: 19.03.2026).</w:t>
      </w:r>
    </w:p>
    <w:p>
      <w:pPr>
        <w:ind w:firstLine="0" w:left="709"/>
      </w:pPr>
      <w:r>
        <w:rPr>
          <w:rFonts w:ascii="Times New Roman" w:hAnsi="Times New Roman" w:cs="Times New Roman" w:eastAsia="Times New Roman"/>
          <w:b w:val="0"/>
          <w:sz w:val="28"/>
        </w:rPr>
        <w:t>41. Nielsen J. Usability Engineering / J. Nielsen. — San Francisco: Morgan Kaufmann, 1993. — 362 p.</w:t>
      </w:r>
    </w:p>
    <w:p>
      <w:pPr>
        <w:ind w:firstLine="0" w:left="709"/>
      </w:pPr>
      <w:r>
        <w:rPr>
          <w:rFonts w:ascii="Times New Roman" w:hAnsi="Times New Roman" w:cs="Times New Roman" w:eastAsia="Times New Roman"/>
          <w:b w:val="0"/>
          <w:sz w:val="28"/>
        </w:rPr>
        <w:t>42. Cohn M. Succeeding with Agile: Software Development Using Scrum / M. Cohn. — Boston: Addison-Wesley, 2010. — 504 p.</w:t>
      </w:r>
    </w:p>
    <w:p>
      <w:pPr>
        <w:ind w:firstLine="0" w:left="709"/>
      </w:pPr>
      <w:r>
        <w:rPr>
          <w:rFonts w:ascii="Times New Roman" w:hAnsi="Times New Roman" w:cs="Times New Roman" w:eastAsia="Times New Roman"/>
          <w:b w:val="0"/>
          <w:sz w:val="28"/>
        </w:rPr>
        <w:t>43. Brooke J. SUS: A "Quick and Dirty" Usability Scale / J. Brooke // Usability Evaluation in Industry / eds. P.W. Jordan [et al.]. — London: Taylor &amp; Francis, 1996. — P. 189–194.</w:t>
      </w:r>
    </w:p>
    <w:p>
      <w:pPr>
        <w:ind w:firstLine="0" w:left="709"/>
      </w:pPr>
      <w:r>
        <w:rPr>
          <w:rFonts w:ascii="Times New Roman" w:hAnsi="Times New Roman" w:cs="Times New Roman" w:eastAsia="Times New Roman"/>
          <w:b w:val="0"/>
          <w:sz w:val="28"/>
        </w:rPr>
        <w:t>44. Python Software Foundation. The Python Standard Library: decimal — Decimal fixed point and floating point arithmetic [Электронный ресурс]. — Режим доступа: https://docs.python.org/3/library/decimal.html (дата обращения: 15.04.2026).</w:t>
      </w:r>
    </w:p>
    <w:p>
      <w:pPr>
        <w:ind w:firstLine="0" w:left="709"/>
      </w:pPr>
      <w:r>
        <w:rPr>
          <w:rFonts w:ascii="Times New Roman" w:hAnsi="Times New Roman" w:cs="Times New Roman" w:eastAsia="Times New Roman"/>
          <w:b w:val="0"/>
          <w:sz w:val="28"/>
        </w:rPr>
        <w:t>45. Wiggins A. The Twelve-Factor App [Электронный ресурс]. — Режим доступа: https://12factor.net/ (дата обращения: 15.04.2026).</w:t>
      </w:r>
    </w:p>
    <w:p>
      <w:pPr>
        <w:pStyle w:val="Heading1"/>
      </w:pPr>
      <w:r>
        <w:rPr>
          <w:rFonts w:ascii="Times New Roman" w:hAnsi="Times New Roman" w:cs="Times New Roman" w:eastAsia="Times New Roman"/>
        </w:rPr>
        <w:t>ПРИЛОЖЕНИЕ А</w:t>
      </w:r>
    </w:p>
    <w:p>
      <w:pPr>
        <w:spacing w:before="120" w:after="120"/>
        <w:ind w:firstLine="0"/>
        <w:jc w:val="center"/>
      </w:pPr>
      <w:r>
        <w:rPr>
          <w:rFonts w:ascii="Times New Roman" w:hAnsi="Times New Roman" w:cs="Times New Roman" w:eastAsia="Times New Roman"/>
          <w:b/>
          <w:sz w:val="28"/>
        </w:rPr>
        <w:t>Листинги ключевых модулей программы</w:t>
      </w:r>
    </w:p>
    <w:p>
      <w:pPr>
        <w:spacing w:before="120" w:after="120"/>
        <w:ind w:firstLine="0"/>
        <w:jc w:val="center"/>
      </w:pPr>
      <w:r>
        <w:rPr>
          <w:rFonts w:ascii="Times New Roman" w:hAnsi="Times New Roman" w:cs="Times New Roman" w:eastAsia="Times New Roman"/>
          <w:b/>
          <w:sz w:val="24"/>
        </w:rPr>
        <w:t>Листинг — Базовый класс стратегий расчёта</w:t>
      </w:r>
    </w:p>
    <w:p>
      <w:pPr>
        <w:ind w:firstLine="0"/>
        <w:jc w:val="left"/>
      </w:pPr>
      <w:r>
        <w:rPr>
          <w:rFonts w:ascii="Times New Roman" w:hAnsi="Times New Roman" w:cs="Times New Roman" w:eastAsia="Times New Roman"/>
          <w:b w:val="0"/>
          <w:sz w:val="22"/>
        </w:rPr>
        <w:t>Файл: backend/app/services/strategies/base.py</w:t>
      </w:r>
    </w:p>
    <w:p>
      <w:pPr>
        <w:spacing w:line="280" w:lineRule="exact" w:before="0" w:after="0"/>
        <w:ind w:firstLine="0"/>
        <w:jc w:val="left"/>
      </w:pPr>
      <w:r>
        <w:rPr>
          <w:rFonts w:ascii="Consolas" w:hAnsi="Consolas" w:cs="Consolas" w:eastAsia="Consolas"/>
          <w:b w:val="0"/>
          <w:sz w:val="20"/>
        </w:rPr>
        <w:t>from abc import ABC, abstractmethod</w:t>
      </w:r>
    </w:p>
    <w:p>
      <w:pPr>
        <w:spacing w:line="280" w:lineRule="exact" w:before="0" w:after="0"/>
        <w:ind w:firstLine="0"/>
        <w:jc w:val="left"/>
      </w:pPr>
      <w:r>
        <w:rPr>
          <w:rFonts w:ascii="Consolas" w:hAnsi="Consolas" w:cs="Consolas" w:eastAsia="Consolas"/>
          <w:b w:val="0"/>
          <w:sz w:val="20"/>
        </w:rPr>
        <w:t>from decimal import ROUND_HALF_EVEN, Decimal, getcontext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from app.schemas.calculation import CalculationResult, DepositParams</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getcontext().prec = 28</w:t>
      </w:r>
    </w:p>
    <w:p>
      <w:pPr>
        <w:spacing w:line="280" w:lineRule="exact" w:before="0" w:after="0"/>
        <w:ind w:firstLine="0"/>
        <w:jc w:val="left"/>
      </w:pPr>
      <w:r>
        <w:rPr>
          <w:rFonts w:ascii="Consolas" w:hAnsi="Consolas" w:cs="Consolas" w:eastAsia="Consolas"/>
          <w:b w:val="0"/>
          <w:sz w:val="20"/>
        </w:rPr>
        <w:t>getcontext().rounding = ROUND_HALF_EVEN</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MONEY_QUANT = Decimal("0.01")</w:t>
      </w:r>
    </w:p>
    <w:p>
      <w:pPr>
        <w:spacing w:line="280" w:lineRule="exact" w:before="0" w:after="0"/>
        <w:ind w:firstLine="0"/>
        <w:jc w:val="left"/>
      </w:pPr>
      <w:r>
        <w:rPr>
          <w:rFonts w:ascii="Consolas" w:hAnsi="Consolas" w:cs="Consolas" w:eastAsia="Consolas"/>
          <w:b w:val="0"/>
          <w:sz w:val="20"/>
        </w:rPr>
        <w:t>RATE_QUANT = Decimal("0.000001")</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class Strategy(ABC):</w:t>
      </w:r>
    </w:p>
    <w:p>
      <w:pPr>
        <w:spacing w:line="280" w:lineRule="exact" w:before="0" w:after="0"/>
        <w:ind w:firstLine="0"/>
        <w:jc w:val="left"/>
      </w:pPr>
      <w:r>
        <w:rPr>
          <w:rFonts w:ascii="Consolas" w:hAnsi="Consolas" w:cs="Consolas" w:eastAsia="Consolas"/>
          <w:b w:val="0"/>
          <w:sz w:val="20"/>
        </w:rPr>
        <w:t xml:space="preserve">    @abstractmethod</w:t>
      </w:r>
    </w:p>
    <w:p>
      <w:pPr>
        <w:spacing w:line="280" w:lineRule="exact" w:before="0" w:after="0"/>
        <w:ind w:firstLine="0"/>
        <w:jc w:val="left"/>
      </w:pPr>
      <w:r>
        <w:rPr>
          <w:rFonts w:ascii="Consolas" w:hAnsi="Consolas" w:cs="Consolas" w:eastAsia="Consolas"/>
          <w:b w:val="0"/>
          <w:sz w:val="20"/>
        </w:rPr>
        <w:t xml:space="preserve">    def calculate(self, params: DepositParams) -&gt; CalculationResult: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before="120" w:after="120"/>
        <w:ind w:firstLine="0"/>
        <w:jc w:val="center"/>
      </w:pPr>
      <w:r>
        <w:rPr>
          <w:rFonts w:ascii="Times New Roman" w:hAnsi="Times New Roman" w:cs="Times New Roman" w:eastAsia="Times New Roman"/>
          <w:b/>
          <w:sz w:val="24"/>
        </w:rPr>
        <w:t>Листинг — Стратегия дискретной капитализации</w:t>
      </w:r>
    </w:p>
    <w:p>
      <w:pPr>
        <w:ind w:firstLine="0"/>
        <w:jc w:val="left"/>
      </w:pPr>
      <w:r>
        <w:rPr>
          <w:rFonts w:ascii="Times New Roman" w:hAnsi="Times New Roman" w:cs="Times New Roman" w:eastAsia="Times New Roman"/>
          <w:b w:val="0"/>
          <w:sz w:val="22"/>
        </w:rPr>
        <w:t>Файл: backend/app/services/strategies/discrete.py</w:t>
      </w:r>
    </w:p>
    <w:p>
      <w:pPr>
        <w:spacing w:line="280" w:lineRule="exact" w:before="0" w:after="0"/>
        <w:ind w:firstLine="0"/>
        <w:jc w:val="left"/>
      </w:pPr>
      <w:r>
        <w:rPr>
          <w:rFonts w:ascii="Consolas" w:hAnsi="Consolas" w:cs="Consolas" w:eastAsia="Consolas"/>
          <w:b w:val="0"/>
          <w:sz w:val="20"/>
        </w:rPr>
        <w:t>from collections.abc import Iterable</w:t>
      </w:r>
    </w:p>
    <w:p>
      <w:pPr>
        <w:spacing w:line="280" w:lineRule="exact" w:before="0" w:after="0"/>
        <w:ind w:firstLine="0"/>
        <w:jc w:val="left"/>
      </w:pPr>
      <w:r>
        <w:rPr>
          <w:rFonts w:ascii="Consolas" w:hAnsi="Consolas" w:cs="Consolas" w:eastAsia="Consolas"/>
          <w:b w:val="0"/>
          <w:sz w:val="20"/>
        </w:rPr>
        <w:t>from datetime import date</w:t>
      </w:r>
    </w:p>
    <w:p>
      <w:pPr>
        <w:spacing w:line="280" w:lineRule="exact" w:before="0" w:after="0"/>
        <w:ind w:firstLine="0"/>
        <w:jc w:val="left"/>
      </w:pPr>
      <w:r>
        <w:rPr>
          <w:rFonts w:ascii="Consolas" w:hAnsi="Consolas" w:cs="Consolas" w:eastAsia="Consolas"/>
          <w:b w:val="0"/>
          <w:sz w:val="20"/>
        </w:rPr>
        <w:t>from decimal import Decimal</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from dateutil.relativedelta import relativedelta</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from app.models import CapitalizationPeriod</w:t>
      </w:r>
    </w:p>
    <w:p>
      <w:pPr>
        <w:spacing w:line="280" w:lineRule="exact" w:before="0" w:after="0"/>
        <w:ind w:firstLine="0"/>
        <w:jc w:val="left"/>
      </w:pPr>
      <w:r>
        <w:rPr>
          <w:rFonts w:ascii="Consolas" w:hAnsi="Consolas" w:cs="Consolas" w:eastAsia="Consolas"/>
          <w:b w:val="0"/>
          <w:sz w:val="20"/>
        </w:rPr>
        <w:t>from app.schemas.calculation import (</w:t>
      </w:r>
    </w:p>
    <w:p>
      <w:pPr>
        <w:spacing w:line="280" w:lineRule="exact" w:before="0" w:after="0"/>
        <w:ind w:firstLine="0"/>
        <w:jc w:val="left"/>
      </w:pPr>
      <w:r>
        <w:rPr>
          <w:rFonts w:ascii="Consolas" w:hAnsi="Consolas" w:cs="Consolas" w:eastAsia="Consolas"/>
          <w:b w:val="0"/>
          <w:sz w:val="20"/>
        </w:rPr>
        <w:t xml:space="preserve">    CalculationResult,</w:t>
      </w:r>
    </w:p>
    <w:p>
      <w:pPr>
        <w:spacing w:line="280" w:lineRule="exact" w:before="0" w:after="0"/>
        <w:ind w:firstLine="0"/>
        <w:jc w:val="left"/>
      </w:pPr>
      <w:r>
        <w:rPr>
          <w:rFonts w:ascii="Consolas" w:hAnsi="Consolas" w:cs="Consolas" w:eastAsia="Consolas"/>
          <w:b w:val="0"/>
          <w:sz w:val="20"/>
        </w:rPr>
        <w:t xml:space="preserve">    DepositParams,</w:t>
      </w:r>
    </w:p>
    <w:p>
      <w:pPr>
        <w:spacing w:line="280" w:lineRule="exact" w:before="0" w:after="0"/>
        <w:ind w:firstLine="0"/>
        <w:jc w:val="left"/>
      </w:pPr>
      <w:r>
        <w:rPr>
          <w:rFonts w:ascii="Consolas" w:hAnsi="Consolas" w:cs="Consolas" w:eastAsia="Consolas"/>
          <w:b w:val="0"/>
          <w:sz w:val="20"/>
        </w:rPr>
        <w:t xml:space="preserve">    PeriodBreakdown,</w:t>
      </w:r>
    </w:p>
    <w:p>
      <w:pPr>
        <w:spacing w:line="280" w:lineRule="exact" w:before="0" w:after="0"/>
        <w:ind w:firstLine="0"/>
        <w:jc w:val="left"/>
      </w:pPr>
      <w:r>
        <w:rPr>
          <w:rFonts w:ascii="Consolas" w:hAnsi="Consolas" w:cs="Consolas" w:eastAsia="Consolas"/>
          <w:b w:val="0"/>
          <w:sz w:val="20"/>
        </w:rPr>
        <w:t xml:space="preserve">    TopUp,</w:t>
      </w:r>
    </w:p>
    <w:p>
      <w:pPr>
        <w:spacing w:line="280" w:lineRule="exact" w:before="0" w:after="0"/>
        <w:ind w:firstLine="0"/>
        <w:jc w:val="left"/>
      </w:pPr>
      <w:r>
        <w:rPr>
          <w:rFonts w:ascii="Consolas" w:hAnsi="Consolas" w:cs="Consolas" w:eastAsia="Consolas"/>
          <w:b w:val="0"/>
          <w:sz w:val="20"/>
        </w:rPr>
        <w:t xml:space="preserve">    Withdrawal,</w:t>
      </w:r>
    </w:p>
    <w:p>
      <w:pPr>
        <w:spacing w:line="280" w:lineRule="exact" w:before="0" w:after="0"/>
        <w:ind w:firstLine="0"/>
        <w:jc w:val="left"/>
      </w:pPr>
      <w:r>
        <w:rPr>
          <w:rFonts w:ascii="Consolas" w:hAnsi="Consolas" w:cs="Consolas" w:eastAsia="Consolas"/>
          <w:b w:val="0"/>
          <w:sz w:val="20"/>
        </w:rPr>
        <w:t>)</w:t>
      </w:r>
    </w:p>
    <w:p>
      <w:pPr>
        <w:spacing w:line="280" w:lineRule="exact" w:before="0" w:after="0"/>
        <w:ind w:firstLine="0"/>
        <w:jc w:val="left"/>
      </w:pPr>
      <w:r>
        <w:rPr>
          <w:rFonts w:ascii="Consolas" w:hAnsi="Consolas" w:cs="Consolas" w:eastAsia="Consolas"/>
          <w:b w:val="0"/>
          <w:sz w:val="20"/>
        </w:rPr>
        <w:t>from app.services.strategies.base import MONEY_QUANT, Strategy</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MONTHS_PER_PERIOD: dict[CapitalizationPeriod, int] = {</w:t>
      </w:r>
    </w:p>
    <w:p>
      <w:pPr>
        <w:spacing w:line="280" w:lineRule="exact" w:before="0" w:after="0"/>
        <w:ind w:firstLine="0"/>
        <w:jc w:val="left"/>
      </w:pPr>
      <w:r>
        <w:rPr>
          <w:rFonts w:ascii="Consolas" w:hAnsi="Consolas" w:cs="Consolas" w:eastAsia="Consolas"/>
          <w:b w:val="0"/>
          <w:sz w:val="20"/>
        </w:rPr>
        <w:t xml:space="preserve">    CapitalizationPeriod.MONTHLY: 1,</w:t>
      </w:r>
    </w:p>
    <w:p>
      <w:pPr>
        <w:spacing w:line="280" w:lineRule="exact" w:before="0" w:after="0"/>
        <w:ind w:firstLine="0"/>
        <w:jc w:val="left"/>
      </w:pPr>
      <w:r>
        <w:rPr>
          <w:rFonts w:ascii="Consolas" w:hAnsi="Consolas" w:cs="Consolas" w:eastAsia="Consolas"/>
          <w:b w:val="0"/>
          <w:sz w:val="20"/>
        </w:rPr>
        <w:t xml:space="preserve">    CapitalizationPeriod.QUARTERLY: 3,</w:t>
      </w:r>
    </w:p>
    <w:p>
      <w:pPr>
        <w:spacing w:line="280" w:lineRule="exact" w:before="0" w:after="0"/>
        <w:ind w:firstLine="0"/>
        <w:jc w:val="left"/>
      </w:pPr>
      <w:r>
        <w:rPr>
          <w:rFonts w:ascii="Consolas" w:hAnsi="Consolas" w:cs="Consolas" w:eastAsia="Consolas"/>
          <w:b w:val="0"/>
          <w:sz w:val="20"/>
        </w:rPr>
        <w:t xml:space="preserve">    CapitalizationPeriod.YEARLY: 12,</w:t>
      </w:r>
    </w:p>
    <w:p>
      <w:pPr>
        <w:spacing w:line="280" w:lineRule="exact" w:before="0" w:after="0"/>
        <w:ind w:firstLine="0"/>
        <w:jc w:val="left"/>
      </w:pPr>
      <w:r>
        <w:rPr>
          <w:rFonts w:ascii="Consolas" w:hAnsi="Consolas" w:cs="Consolas" w:eastAsia="Consolas"/>
          <w:b w:val="0"/>
          <w:sz w:val="20"/>
        </w:rPr>
        <w: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PERIODS_PER_YEAR: dict[CapitalizationPeriod, int] = {</w:t>
      </w:r>
    </w:p>
    <w:p>
      <w:pPr>
        <w:spacing w:line="280" w:lineRule="exact" w:before="0" w:after="0"/>
        <w:ind w:firstLine="0"/>
        <w:jc w:val="left"/>
      </w:pPr>
      <w:r>
        <w:rPr>
          <w:rFonts w:ascii="Consolas" w:hAnsi="Consolas" w:cs="Consolas" w:eastAsia="Consolas"/>
          <w:b w:val="0"/>
          <w:sz w:val="20"/>
        </w:rPr>
        <w:t xml:space="preserve">    CapitalizationPeriod.MONTHLY: 12,</w:t>
      </w:r>
    </w:p>
    <w:p>
      <w:pPr>
        <w:spacing w:line="280" w:lineRule="exact" w:before="0" w:after="0"/>
        <w:ind w:firstLine="0"/>
        <w:jc w:val="left"/>
      </w:pPr>
      <w:r>
        <w:rPr>
          <w:rFonts w:ascii="Consolas" w:hAnsi="Consolas" w:cs="Consolas" w:eastAsia="Consolas"/>
          <w:b w:val="0"/>
          <w:sz w:val="20"/>
        </w:rPr>
        <w:t xml:space="preserve">    CapitalizationPeriod.QUARTERLY: 4,</w:t>
      </w:r>
    </w:p>
    <w:p>
      <w:pPr>
        <w:spacing w:line="280" w:lineRule="exact" w:before="0" w:after="0"/>
        <w:ind w:firstLine="0"/>
        <w:jc w:val="left"/>
      </w:pPr>
      <w:r>
        <w:rPr>
          <w:rFonts w:ascii="Consolas" w:hAnsi="Consolas" w:cs="Consolas" w:eastAsia="Consolas"/>
          <w:b w:val="0"/>
          <w:sz w:val="20"/>
        </w:rPr>
        <w:t xml:space="preserve">    CapitalizationPeriod.YEARLY: 1,</w:t>
      </w:r>
    </w:p>
    <w:p>
      <w:pPr>
        <w:spacing w:line="280" w:lineRule="exact" w:before="0" w:after="0"/>
        <w:ind w:firstLine="0"/>
        <w:jc w:val="left"/>
      </w:pPr>
      <w:r>
        <w:rPr>
          <w:rFonts w:ascii="Consolas" w:hAnsi="Consolas" w:cs="Consolas" w:eastAsia="Consolas"/>
          <w:b w:val="0"/>
          <w:sz w:val="20"/>
        </w:rPr>
        <w: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class DiscreteCapitalizationStrategy(Strategy):</w:t>
      </w:r>
    </w:p>
    <w:p>
      <w:pPr>
        <w:spacing w:line="280" w:lineRule="exact" w:before="0" w:after="0"/>
        <w:ind w:firstLine="0"/>
        <w:jc w:val="left"/>
      </w:pPr>
      <w:r>
        <w:rPr>
          <w:rFonts w:ascii="Consolas" w:hAnsi="Consolas" w:cs="Consolas" w:eastAsia="Consolas"/>
          <w:b w:val="0"/>
          <w:sz w:val="20"/>
        </w:rPr>
        <w:t xml:space="preserve">    def calculate(self, params: DepositParams) -&gt; CalculationResult:</w:t>
      </w:r>
    </w:p>
    <w:p>
      <w:pPr>
        <w:spacing w:line="280" w:lineRule="exact" w:before="0" w:after="0"/>
        <w:ind w:firstLine="0"/>
        <w:jc w:val="left"/>
      </w:pPr>
      <w:r>
        <w:rPr>
          <w:rFonts w:ascii="Consolas" w:hAnsi="Consolas" w:cs="Consolas" w:eastAsia="Consolas"/>
          <w:b w:val="0"/>
          <w:sz w:val="20"/>
        </w:rPr>
        <w:t xml:space="preserve">        if params.capitalization_period == CapitalizationPeriod.CONTINUOUS:</w:t>
      </w:r>
    </w:p>
    <w:p>
      <w:pPr>
        <w:spacing w:line="280" w:lineRule="exact" w:before="0" w:after="0"/>
        <w:ind w:firstLine="0"/>
        <w:jc w:val="left"/>
      </w:pPr>
      <w:r>
        <w:rPr>
          <w:rFonts w:ascii="Consolas" w:hAnsi="Consolas" w:cs="Consolas" w:eastAsia="Consolas"/>
          <w:b w:val="0"/>
          <w:sz w:val="20"/>
        </w:rPr>
        <w:t xml:space="preserve">            raise ValueError("DiscreteStrategy не применима к непрерывной капитализации")</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months_per_period = MONTHS_PER_PERIOD[params.capitalization_period]</w:t>
      </w:r>
    </w:p>
    <w:p>
      <w:pPr>
        <w:spacing w:line="280" w:lineRule="exact" w:before="0" w:after="0"/>
        <w:ind w:firstLine="0"/>
        <w:jc w:val="left"/>
      </w:pPr>
      <w:r>
        <w:rPr>
          <w:rFonts w:ascii="Consolas" w:hAnsi="Consolas" w:cs="Consolas" w:eastAsia="Consolas"/>
          <w:b w:val="0"/>
          <w:sz w:val="20"/>
        </w:rPr>
        <w:t xml:space="preserve">        periods_per_year = PERIODS_PER_YEAR[params.capitalization_period]</w:t>
      </w:r>
    </w:p>
    <w:p>
      <w:pPr>
        <w:spacing w:line="280" w:lineRule="exact" w:before="0" w:after="0"/>
        <w:ind w:firstLine="0"/>
        <w:jc w:val="left"/>
      </w:pPr>
      <w:r>
        <w:rPr>
          <w:rFonts w:ascii="Consolas" w:hAnsi="Consolas" w:cs="Consolas" w:eastAsia="Consolas"/>
          <w:b w:val="0"/>
          <w:sz w:val="20"/>
        </w:rPr>
        <w:t xml:space="preserve">        total_periods = params.term_months // months_per_period</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if params.term_months % months_per_period != 0:</w:t>
      </w:r>
    </w:p>
    <w:p>
      <w:pPr>
        <w:spacing w:line="280" w:lineRule="exact" w:before="0" w:after="0"/>
        <w:ind w:firstLine="0"/>
        <w:jc w:val="left"/>
      </w:pPr>
      <w:r>
        <w:rPr>
          <w:rFonts w:ascii="Consolas" w:hAnsi="Consolas" w:cs="Consolas" w:eastAsia="Consolas"/>
          <w:b w:val="0"/>
          <w:sz w:val="20"/>
        </w:rPr>
        <w:t xml:space="preserve">            raise ValueError(</w:t>
      </w:r>
    </w:p>
    <w:p>
      <w:pPr>
        <w:spacing w:line="280" w:lineRule="exact" w:before="0" w:after="0"/>
        <w:ind w:firstLine="0"/>
        <w:jc w:val="left"/>
      </w:pPr>
      <w:r>
        <w:rPr>
          <w:rFonts w:ascii="Consolas" w:hAnsi="Consolas" w:cs="Consolas" w:eastAsia="Consolas"/>
          <w:b w:val="0"/>
          <w:sz w:val="20"/>
        </w:rPr>
        <w:t xml:space="preserve">                f"Срок {params.term_months} месяцев не делится на период "</w:t>
      </w:r>
    </w:p>
    <w:p>
      <w:pPr>
        <w:spacing w:line="280" w:lineRule="exact" w:before="0" w:after="0"/>
        <w:ind w:firstLine="0"/>
        <w:jc w:val="left"/>
      </w:pPr>
      <w:r>
        <w:rPr>
          <w:rFonts w:ascii="Consolas" w:hAnsi="Consolas" w:cs="Consolas" w:eastAsia="Consolas"/>
          <w:b w:val="0"/>
          <w:sz w:val="20"/>
        </w:rPr>
        <w:t xml:space="preserve">                f"капитализации {months_per_period} месяцев"</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balance = params.initial_amount</w:t>
      </w:r>
    </w:p>
    <w:p>
      <w:pPr>
        <w:spacing w:line="280" w:lineRule="exact" w:before="0" w:after="0"/>
        <w:ind w:firstLine="0"/>
        <w:jc w:val="left"/>
      </w:pPr>
      <w:r>
        <w:rPr>
          <w:rFonts w:ascii="Consolas" w:hAnsi="Consolas" w:cs="Consolas" w:eastAsia="Consolas"/>
          <w:b w:val="0"/>
          <w:sz w:val="20"/>
        </w:rPr>
        <w:t xml:space="preserve">        total_interest = Decimal(0)</w:t>
      </w:r>
    </w:p>
    <w:p>
      <w:pPr>
        <w:spacing w:line="280" w:lineRule="exact" w:before="0" w:after="0"/>
        <w:ind w:firstLine="0"/>
        <w:jc w:val="left"/>
      </w:pPr>
      <w:r>
        <w:rPr>
          <w:rFonts w:ascii="Consolas" w:hAnsi="Consolas" w:cs="Consolas" w:eastAsia="Consolas"/>
          <w:b w:val="0"/>
          <w:sz w:val="20"/>
        </w:rPr>
        <w:t xml:space="preserve">        total_tax = Decimal(0)</w:t>
      </w:r>
    </w:p>
    <w:p>
      <w:pPr>
        <w:spacing w:line="280" w:lineRule="exact" w:before="0" w:after="0"/>
        <w:ind w:firstLine="0"/>
        <w:jc w:val="left"/>
      </w:pPr>
      <w:r>
        <w:rPr>
          <w:rFonts w:ascii="Consolas" w:hAnsi="Consolas" w:cs="Consolas" w:eastAsia="Consolas"/>
          <w:b w:val="0"/>
          <w:sz w:val="20"/>
        </w:rPr>
        <w:t xml:space="preserve">        breakdown: list[PeriodBreakdown] =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period_start = params.start_date</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for period in range(1, total_periods + 1):</w:t>
      </w:r>
    </w:p>
    <w:p>
      <w:pPr>
        <w:spacing w:line="280" w:lineRule="exact" w:before="0" w:after="0"/>
        <w:ind w:firstLine="0"/>
        <w:jc w:val="left"/>
      </w:pPr>
      <w:r>
        <w:rPr>
          <w:rFonts w:ascii="Consolas" w:hAnsi="Consolas" w:cs="Consolas" w:eastAsia="Consolas"/>
          <w:b w:val="0"/>
          <w:sz w:val="20"/>
        </w:rPr>
        <w:t xml:space="preserve">            period_end = params.start_date + relativedelta(months=months_per_period * period)</w:t>
      </w:r>
    </w:p>
    <w:p>
      <w:pPr>
        <w:spacing w:line="280" w:lineRule="exact" w:before="0" w:after="0"/>
        <w:ind w:firstLine="0"/>
        <w:jc w:val="left"/>
      </w:pPr>
      <w:r>
        <w:rPr>
          <w:rFonts w:ascii="Consolas" w:hAnsi="Consolas" w:cs="Consolas" w:eastAsia="Consolas"/>
          <w:b w:val="0"/>
          <w:sz w:val="20"/>
        </w:rPr>
        <w:t xml:space="preserve">            opening = balance</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period_top_up = self._sum_in_period(params.top_ups, period_start, period_end)</w:t>
      </w:r>
    </w:p>
    <w:p>
      <w:pPr>
        <w:spacing w:line="280" w:lineRule="exact" w:before="0" w:after="0"/>
        <w:ind w:firstLine="0"/>
        <w:jc w:val="left"/>
      </w:pPr>
      <w:r>
        <w:rPr>
          <w:rFonts w:ascii="Consolas" w:hAnsi="Consolas" w:cs="Consolas" w:eastAsia="Consolas"/>
          <w:b w:val="0"/>
          <w:sz w:val="20"/>
        </w:rPr>
        <w:t xml:space="preserve">            period_withdrawal = self._sum_in_period(</w:t>
      </w:r>
    </w:p>
    <w:p>
      <w:pPr>
        <w:spacing w:line="280" w:lineRule="exact" w:before="0" w:after="0"/>
        <w:ind w:firstLine="0"/>
        <w:jc w:val="left"/>
      </w:pPr>
      <w:r>
        <w:rPr>
          <w:rFonts w:ascii="Consolas" w:hAnsi="Consolas" w:cs="Consolas" w:eastAsia="Consolas"/>
          <w:b w:val="0"/>
          <w:sz w:val="20"/>
        </w:rPr>
        <w:t xml:space="preserve">                params.withdrawals, period_start, period_end</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if balance + period_top_up - period_withdrawal &lt; 0:</w:t>
      </w:r>
    </w:p>
    <w:p>
      <w:pPr>
        <w:spacing w:line="280" w:lineRule="exact" w:before="0" w:after="0"/>
        <w:ind w:firstLine="0"/>
        <w:jc w:val="left"/>
      </w:pPr>
      <w:r>
        <w:rPr>
          <w:rFonts w:ascii="Consolas" w:hAnsi="Consolas" w:cs="Consolas" w:eastAsia="Consolas"/>
          <w:b w:val="0"/>
          <w:sz w:val="20"/>
        </w:rPr>
        <w:t xml:space="preserve">                raise ValueError(</w:t>
      </w:r>
    </w:p>
    <w:p>
      <w:pPr>
        <w:spacing w:line="280" w:lineRule="exact" w:before="0" w:after="0"/>
        <w:ind w:firstLine="0"/>
        <w:jc w:val="left"/>
      </w:pPr>
      <w:r>
        <w:rPr>
          <w:rFonts w:ascii="Consolas" w:hAnsi="Consolas" w:cs="Consolas" w:eastAsia="Consolas"/>
          <w:b w:val="0"/>
          <w:sz w:val="20"/>
        </w:rPr>
        <w:t xml:space="preserve">                    f"Период {period}: снятие {period_withdrawal} превышает доступный "</w:t>
      </w:r>
    </w:p>
    <w:p>
      <w:pPr>
        <w:spacing w:line="280" w:lineRule="exact" w:before="0" w:after="0"/>
        <w:ind w:firstLine="0"/>
        <w:jc w:val="left"/>
      </w:pPr>
      <w:r>
        <w:rPr>
          <w:rFonts w:ascii="Consolas" w:hAnsi="Consolas" w:cs="Consolas" w:eastAsia="Consolas"/>
          <w:b w:val="0"/>
          <w:sz w:val="20"/>
        </w:rPr>
        <w:t xml:space="preserve">                    f"баланс {balance + period_top_up}"</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balance = balance + period_top_up - period_withdrawal</w:t>
      </w:r>
    </w:p>
    <w:p>
      <w:pPr>
        <w:spacing w:line="280" w:lineRule="exact" w:before="0" w:after="0"/>
        <w:ind w:firstLine="0"/>
        <w:jc w:val="left"/>
      </w:pPr>
      <w:r>
        <w:rPr>
          <w:rFonts w:ascii="Consolas" w:hAnsi="Consolas" w:cs="Consolas" w:eastAsia="Consolas"/>
          <w:b w:val="0"/>
          <w:sz w:val="20"/>
        </w:rPr>
        <w:t xml:space="preserve">            interest_base = balance</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period_rate = self._period_rate(params, period_end, periods_per_year)</w:t>
      </w:r>
    </w:p>
    <w:p>
      <w:pPr>
        <w:spacing w:line="280" w:lineRule="exact" w:before="0" w:after="0"/>
        <w:ind w:firstLine="0"/>
        <w:jc w:val="left"/>
      </w:pPr>
      <w:r>
        <w:rPr>
          <w:rFonts w:ascii="Consolas" w:hAnsi="Consolas" w:cs="Consolas" w:eastAsia="Consolas"/>
          <w:b w:val="0"/>
          <w:sz w:val="20"/>
        </w:rPr>
        <w:t xml:space="preserve">            interest_gross = (interest_base * period_rate).quantize(MONEY_QUANT)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tax = (interest_gross * params.tax_rate / Decimal(100)).quantize(MONEY_QUANT)</w:t>
      </w:r>
    </w:p>
    <w:p>
      <w:pPr>
        <w:spacing w:line="280" w:lineRule="exact" w:before="0" w:after="0"/>
        <w:ind w:firstLine="0"/>
        <w:jc w:val="left"/>
      </w:pPr>
      <w:r>
        <w:rPr>
          <w:rFonts w:ascii="Consolas" w:hAnsi="Consolas" w:cs="Consolas" w:eastAsia="Consolas"/>
          <w:b w:val="0"/>
          <w:sz w:val="20"/>
        </w:rPr>
        <w:t xml:space="preserve">            interest_net = interest_gross - tax</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balance = (balance + interest_net).quantize(MONEY_QUANT)</w:t>
      </w:r>
    </w:p>
    <w:p>
      <w:pPr>
        <w:spacing w:line="280" w:lineRule="exact" w:before="0" w:after="0"/>
        <w:ind w:firstLine="0"/>
        <w:jc w:val="left"/>
      </w:pPr>
      <w:r>
        <w:rPr>
          <w:rFonts w:ascii="Consolas" w:hAnsi="Consolas" w:cs="Consolas" w:eastAsia="Consolas"/>
          <w:b w:val="0"/>
          <w:sz w:val="20"/>
        </w:rPr>
        <w:t xml:space="preserve">            total_interest += interest_net</w:t>
      </w:r>
    </w:p>
    <w:p>
      <w:pPr>
        <w:spacing w:line="280" w:lineRule="exact" w:before="0" w:after="0"/>
        <w:ind w:firstLine="0"/>
        <w:jc w:val="left"/>
      </w:pPr>
      <w:r>
        <w:rPr>
          <w:rFonts w:ascii="Consolas" w:hAnsi="Consolas" w:cs="Consolas" w:eastAsia="Consolas"/>
          <w:b w:val="0"/>
          <w:sz w:val="20"/>
        </w:rPr>
        <w:t xml:space="preserve">            total_tax += tax</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breakdown.append(</w:t>
      </w:r>
    </w:p>
    <w:p>
      <w:pPr>
        <w:spacing w:line="280" w:lineRule="exact" w:before="0" w:after="0"/>
        <w:ind w:firstLine="0"/>
        <w:jc w:val="left"/>
      </w:pPr>
      <w:r>
        <w:rPr>
          <w:rFonts w:ascii="Consolas" w:hAnsi="Consolas" w:cs="Consolas" w:eastAsia="Consolas"/>
          <w:b w:val="0"/>
          <w:sz w:val="20"/>
        </w:rPr>
        <w:t xml:space="preserve">                PeriodBreakdown(</w:t>
      </w:r>
    </w:p>
    <w:p>
      <w:pPr>
        <w:spacing w:line="280" w:lineRule="exact" w:before="0" w:after="0"/>
        <w:ind w:firstLine="0"/>
        <w:jc w:val="left"/>
      </w:pPr>
      <w:r>
        <w:rPr>
          <w:rFonts w:ascii="Consolas" w:hAnsi="Consolas" w:cs="Consolas" w:eastAsia="Consolas"/>
          <w:b w:val="0"/>
          <w:sz w:val="20"/>
        </w:rPr>
        <w:t xml:space="preserve">                    period=period,</w:t>
      </w:r>
    </w:p>
    <w:p>
      <w:pPr>
        <w:spacing w:line="280" w:lineRule="exact" w:before="0" w:after="0"/>
        <w:ind w:firstLine="0"/>
        <w:jc w:val="left"/>
      </w:pPr>
      <w:r>
        <w:rPr>
          <w:rFonts w:ascii="Consolas" w:hAnsi="Consolas" w:cs="Consolas" w:eastAsia="Consolas"/>
          <w:b w:val="0"/>
          <w:sz w:val="20"/>
        </w:rPr>
        <w:t xml:space="preserve">                    period_date=period_end,</w:t>
      </w:r>
    </w:p>
    <w:p>
      <w:pPr>
        <w:spacing w:line="280" w:lineRule="exact" w:before="0" w:after="0"/>
        <w:ind w:firstLine="0"/>
        <w:jc w:val="left"/>
      </w:pPr>
      <w:r>
        <w:rPr>
          <w:rFonts w:ascii="Consolas" w:hAnsi="Consolas" w:cs="Consolas" w:eastAsia="Consolas"/>
          <w:b w:val="0"/>
          <w:sz w:val="20"/>
        </w:rPr>
        <w:t xml:space="preserve">                    opening_balance=opening.quantize(MONEY_QUANT),</w:t>
      </w:r>
    </w:p>
    <w:p>
      <w:pPr>
        <w:spacing w:line="280" w:lineRule="exact" w:before="0" w:after="0"/>
        <w:ind w:firstLine="0"/>
        <w:jc w:val="left"/>
      </w:pPr>
      <w:r>
        <w:rPr>
          <w:rFonts w:ascii="Consolas" w:hAnsi="Consolas" w:cs="Consolas" w:eastAsia="Consolas"/>
          <w:b w:val="0"/>
          <w:sz w:val="20"/>
        </w:rPr>
        <w:t xml:space="preserve">                    top_up=period_top_up.quantize(MONEY_QUANT),</w:t>
      </w:r>
    </w:p>
    <w:p>
      <w:pPr>
        <w:spacing w:line="280" w:lineRule="exact" w:before="0" w:after="0"/>
        <w:ind w:firstLine="0"/>
        <w:jc w:val="left"/>
      </w:pPr>
      <w:r>
        <w:rPr>
          <w:rFonts w:ascii="Consolas" w:hAnsi="Consolas" w:cs="Consolas" w:eastAsia="Consolas"/>
          <w:b w:val="0"/>
          <w:sz w:val="20"/>
        </w:rPr>
        <w:t xml:space="preserve">                    withdrawal=period_withdrawal.quantize(MONEY_QUANT),</w:t>
      </w:r>
    </w:p>
    <w:p>
      <w:pPr>
        <w:spacing w:line="280" w:lineRule="exact" w:before="0" w:after="0"/>
        <w:ind w:firstLine="0"/>
        <w:jc w:val="left"/>
      </w:pPr>
      <w:r>
        <w:rPr>
          <w:rFonts w:ascii="Consolas" w:hAnsi="Consolas" w:cs="Consolas" w:eastAsia="Consolas"/>
          <w:b w:val="0"/>
          <w:sz w:val="20"/>
        </w:rPr>
        <w:t xml:space="preserve">                    interest_base=interest_base.quantize(MONEY_QUANT),</w:t>
      </w:r>
    </w:p>
    <w:p>
      <w:pPr>
        <w:spacing w:line="280" w:lineRule="exact" w:before="0" w:after="0"/>
        <w:ind w:firstLine="0"/>
        <w:jc w:val="left"/>
      </w:pPr>
      <w:r>
        <w:rPr>
          <w:rFonts w:ascii="Consolas" w:hAnsi="Consolas" w:cs="Consolas" w:eastAsia="Consolas"/>
          <w:b w:val="0"/>
          <w:sz w:val="20"/>
        </w:rPr>
        <w:t xml:space="preserve">                    interest_accrued=interest_gross,</w:t>
      </w:r>
    </w:p>
    <w:p>
      <w:pPr>
        <w:spacing w:line="280" w:lineRule="exact" w:before="0" w:after="0"/>
        <w:ind w:firstLine="0"/>
        <w:jc w:val="left"/>
      </w:pPr>
      <w:r>
        <w:rPr>
          <w:rFonts w:ascii="Consolas" w:hAnsi="Consolas" w:cs="Consolas" w:eastAsia="Consolas"/>
          <w:b w:val="0"/>
          <w:sz w:val="20"/>
        </w:rPr>
        <w:t xml:space="preserve">                    tax_withheld=tax,</w:t>
      </w:r>
    </w:p>
    <w:p>
      <w:pPr>
        <w:spacing w:line="280" w:lineRule="exact" w:before="0" w:after="0"/>
        <w:ind w:firstLine="0"/>
        <w:jc w:val="left"/>
      </w:pPr>
      <w:r>
        <w:rPr>
          <w:rFonts w:ascii="Consolas" w:hAnsi="Consolas" w:cs="Consolas" w:eastAsia="Consolas"/>
          <w:b w:val="0"/>
          <w:sz w:val="20"/>
        </w:rPr>
        <w:t xml:space="preserve">                    closing_balance=balance,</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period_start = period_end</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return CalculationResult(</w:t>
      </w:r>
    </w:p>
    <w:p>
      <w:pPr>
        <w:spacing w:line="280" w:lineRule="exact" w:before="0" w:after="0"/>
        <w:ind w:firstLine="0"/>
        <w:jc w:val="left"/>
      </w:pPr>
      <w:r>
        <w:rPr>
          <w:rFonts w:ascii="Consolas" w:hAnsi="Consolas" w:cs="Consolas" w:eastAsia="Consolas"/>
          <w:b w:val="0"/>
          <w:sz w:val="20"/>
        </w:rPr>
        <w:t xml:space="preserve">            initial_amount=params.initial_amount,</w:t>
      </w:r>
    </w:p>
    <w:p>
      <w:pPr>
        <w:spacing w:line="280" w:lineRule="exact" w:before="0" w:after="0"/>
        <w:ind w:firstLine="0"/>
        <w:jc w:val="left"/>
      </w:pPr>
      <w:r>
        <w:rPr>
          <w:rFonts w:ascii="Consolas" w:hAnsi="Consolas" w:cs="Consolas" w:eastAsia="Consolas"/>
          <w:b w:val="0"/>
          <w:sz w:val="20"/>
        </w:rPr>
        <w:t xml:space="preserve">            annual_rate=params.annual_rate,</w:t>
      </w:r>
    </w:p>
    <w:p>
      <w:pPr>
        <w:spacing w:line="280" w:lineRule="exact" w:before="0" w:after="0"/>
        <w:ind w:firstLine="0"/>
        <w:jc w:val="left"/>
      </w:pPr>
      <w:r>
        <w:rPr>
          <w:rFonts w:ascii="Consolas" w:hAnsi="Consolas" w:cs="Consolas" w:eastAsia="Consolas"/>
          <w:b w:val="0"/>
          <w:sz w:val="20"/>
        </w:rPr>
        <w:t xml:space="preserve">            term_months=params.term_months,</w:t>
      </w:r>
    </w:p>
    <w:p>
      <w:pPr>
        <w:spacing w:line="280" w:lineRule="exact" w:before="0" w:after="0"/>
        <w:ind w:firstLine="0"/>
        <w:jc w:val="left"/>
      </w:pPr>
      <w:r>
        <w:rPr>
          <w:rFonts w:ascii="Consolas" w:hAnsi="Consolas" w:cs="Consolas" w:eastAsia="Consolas"/>
          <w:b w:val="0"/>
          <w:sz w:val="20"/>
        </w:rPr>
        <w:t xml:space="preserve">            capitalization_period=params.capitalization_period,</w:t>
      </w:r>
    </w:p>
    <w:p>
      <w:pPr>
        <w:spacing w:line="280" w:lineRule="exact" w:before="0" w:after="0"/>
        <w:ind w:firstLine="0"/>
        <w:jc w:val="left"/>
      </w:pPr>
      <w:r>
        <w:rPr>
          <w:rFonts w:ascii="Consolas" w:hAnsi="Consolas" w:cs="Consolas" w:eastAsia="Consolas"/>
          <w:b w:val="0"/>
          <w:sz w:val="20"/>
        </w:rPr>
        <w:t xml:space="preserve">            future_value=balance,</w:t>
      </w:r>
    </w:p>
    <w:p>
      <w:pPr>
        <w:spacing w:line="280" w:lineRule="exact" w:before="0" w:after="0"/>
        <w:ind w:firstLine="0"/>
        <w:jc w:val="left"/>
      </w:pPr>
      <w:r>
        <w:rPr>
          <w:rFonts w:ascii="Consolas" w:hAnsi="Consolas" w:cs="Consolas" w:eastAsia="Consolas"/>
          <w:b w:val="0"/>
          <w:sz w:val="20"/>
        </w:rPr>
        <w:t xml:space="preserve">            total_interest=total_interest.quantize(MONEY_QUANT),</w:t>
      </w:r>
    </w:p>
    <w:p>
      <w:pPr>
        <w:spacing w:line="280" w:lineRule="exact" w:before="0" w:after="0"/>
        <w:ind w:firstLine="0"/>
        <w:jc w:val="left"/>
      </w:pPr>
      <w:r>
        <w:rPr>
          <w:rFonts w:ascii="Consolas" w:hAnsi="Consolas" w:cs="Consolas" w:eastAsia="Consolas"/>
          <w:b w:val="0"/>
          <w:sz w:val="20"/>
        </w:rPr>
        <w:t xml:space="preserve">            total_tax=total_tax.quantize(MONEY_QUANT),</w:t>
      </w:r>
    </w:p>
    <w:p>
      <w:pPr>
        <w:spacing w:line="280" w:lineRule="exact" w:before="0" w:after="0"/>
        <w:ind w:firstLine="0"/>
        <w:jc w:val="left"/>
      </w:pPr>
      <w:r>
        <w:rPr>
          <w:rFonts w:ascii="Consolas" w:hAnsi="Consolas" w:cs="Consolas" w:eastAsia="Consolas"/>
          <w:b w:val="0"/>
          <w:sz w:val="20"/>
        </w:rPr>
        <w:t xml:space="preserve">            effective_rate=Decimal(0),</w:t>
      </w:r>
    </w:p>
    <w:p>
      <w:pPr>
        <w:spacing w:line="280" w:lineRule="exact" w:before="0" w:after="0"/>
        <w:ind w:firstLine="0"/>
        <w:jc w:val="left"/>
      </w:pPr>
      <w:r>
        <w:rPr>
          <w:rFonts w:ascii="Consolas" w:hAnsi="Consolas" w:cs="Consolas" w:eastAsia="Consolas"/>
          <w:b w:val="0"/>
          <w:sz w:val="20"/>
        </w:rPr>
        <w:t xml:space="preserve">            monthly_breakdown=breakdown,</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@staticmethod</w:t>
      </w:r>
    </w:p>
    <w:p>
      <w:pPr>
        <w:spacing w:line="280" w:lineRule="exact" w:before="0" w:after="0"/>
        <w:ind w:firstLine="0"/>
        <w:jc w:val="left"/>
      </w:pPr>
      <w:r>
        <w:rPr>
          <w:rFonts w:ascii="Consolas" w:hAnsi="Consolas" w:cs="Consolas" w:eastAsia="Consolas"/>
          <w:b w:val="0"/>
          <w:sz w:val="20"/>
        </w:rPr>
        <w:t xml:space="preserve">    def _sum_in_period(</w:t>
      </w:r>
    </w:p>
    <w:p>
      <w:pPr>
        <w:spacing w:line="280" w:lineRule="exact" w:before="0" w:after="0"/>
        <w:ind w:firstLine="0"/>
        <w:jc w:val="left"/>
      </w:pPr>
      <w:r>
        <w:rPr>
          <w:rFonts w:ascii="Consolas" w:hAnsi="Consolas" w:cs="Consolas" w:eastAsia="Consolas"/>
          <w:b w:val="0"/>
          <w:sz w:val="20"/>
        </w:rPr>
        <w:t xml:space="preserve">        ops: Iterable[TopUp | Withdrawal], start: date, end: date</w:t>
      </w:r>
    </w:p>
    <w:p>
      <w:pPr>
        <w:spacing w:line="280" w:lineRule="exact" w:before="0" w:after="0"/>
        <w:ind w:firstLine="0"/>
        <w:jc w:val="left"/>
      </w:pPr>
      <w:r>
        <w:rPr>
          <w:rFonts w:ascii="Consolas" w:hAnsi="Consolas" w:cs="Consolas" w:eastAsia="Consolas"/>
          <w:b w:val="0"/>
          <w:sz w:val="20"/>
        </w:rPr>
        <w:t xml:space="preserve">    ) -&gt; Decimal:</w:t>
      </w:r>
    </w:p>
    <w:p>
      <w:pPr>
        <w:spacing w:line="280" w:lineRule="exact" w:before="0" w:after="0"/>
        <w:ind w:firstLine="0"/>
        <w:jc w:val="left"/>
      </w:pPr>
      <w:r>
        <w:rPr>
          <w:rFonts w:ascii="Consolas" w:hAnsi="Consolas" w:cs="Consolas" w:eastAsia="Consolas"/>
          <w:b w:val="0"/>
          <w:sz w:val="20"/>
        </w:rPr>
        <w:t xml:space="preserve">        return sum((op.amount for op in ops if start &lt; op.date &lt;= end), Decimal(0))</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def _period_rate(</w:t>
      </w:r>
    </w:p>
    <w:p>
      <w:pPr>
        <w:spacing w:line="280" w:lineRule="exact" w:before="0" w:after="0"/>
        <w:ind w:firstLine="0"/>
        <w:jc w:val="left"/>
      </w:pPr>
      <w:r>
        <w:rPr>
          <w:rFonts w:ascii="Consolas" w:hAnsi="Consolas" w:cs="Consolas" w:eastAsia="Consolas"/>
          <w:b w:val="0"/>
          <w:sz w:val="20"/>
        </w:rPr>
        <w:t xml:space="preserve">        self,</w:t>
      </w:r>
    </w:p>
    <w:p>
      <w:pPr>
        <w:spacing w:line="280" w:lineRule="exact" w:before="0" w:after="0"/>
        <w:ind w:firstLine="0"/>
        <w:jc w:val="left"/>
      </w:pPr>
      <w:r>
        <w:rPr>
          <w:rFonts w:ascii="Consolas" w:hAnsi="Consolas" w:cs="Consolas" w:eastAsia="Consolas"/>
          <w:b w:val="0"/>
          <w:sz w:val="20"/>
        </w:rPr>
        <w:t xml:space="preserve">        params: DepositParams,</w:t>
      </w:r>
    </w:p>
    <w:p>
      <w:pPr>
        <w:spacing w:line="280" w:lineRule="exact" w:before="0" w:after="0"/>
        <w:ind w:firstLine="0"/>
        <w:jc w:val="left"/>
      </w:pPr>
      <w:r>
        <w:rPr>
          <w:rFonts w:ascii="Consolas" w:hAnsi="Consolas" w:cs="Consolas" w:eastAsia="Consolas"/>
          <w:b w:val="0"/>
          <w:sz w:val="20"/>
        </w:rPr>
        <w:t xml:space="preserve">        period_end: date,</w:t>
      </w:r>
    </w:p>
    <w:p>
      <w:pPr>
        <w:spacing w:line="280" w:lineRule="exact" w:before="0" w:after="0"/>
        <w:ind w:firstLine="0"/>
        <w:jc w:val="left"/>
      </w:pPr>
      <w:r>
        <w:rPr>
          <w:rFonts w:ascii="Consolas" w:hAnsi="Consolas" w:cs="Consolas" w:eastAsia="Consolas"/>
          <w:b w:val="0"/>
          <w:sz w:val="20"/>
        </w:rPr>
        <w:t xml:space="preserve">        periods_per_year: int,</w:t>
      </w:r>
    </w:p>
    <w:p>
      <w:pPr>
        <w:spacing w:line="280" w:lineRule="exact" w:before="0" w:after="0"/>
        <w:ind w:firstLine="0"/>
        <w:jc w:val="left"/>
      </w:pPr>
      <w:r>
        <w:rPr>
          <w:rFonts w:ascii="Consolas" w:hAnsi="Consolas" w:cs="Consolas" w:eastAsia="Consolas"/>
          <w:b w:val="0"/>
          <w:sz w:val="20"/>
        </w:rPr>
        <w:t xml:space="preserve">    ) -&gt; Decimal:</w:t>
      </w:r>
    </w:p>
    <w:p>
      <w:pPr>
        <w:spacing w:line="280" w:lineRule="exact" w:before="0" w:after="0"/>
        <w:ind w:firstLine="0"/>
        <w:jc w:val="left"/>
      </w:pPr>
      <w:r>
        <w:rPr>
          <w:rFonts w:ascii="Consolas" w:hAnsi="Consolas" w:cs="Consolas" w:eastAsia="Consolas"/>
          <w:b w:val="0"/>
          <w:sz w:val="20"/>
        </w:rPr>
        <w:t xml:space="preserve">        return params.annual_rate / Decimal(100) / Decimal(periods_per_year)</w:t>
      </w:r>
    </w:p>
    <w:p>
      <w:pPr>
        <w:spacing w:line="280" w:lineRule="exact" w:before="0" w:after="0"/>
        <w:ind w:firstLine="0"/>
        <w:jc w:val="left"/>
      </w:pPr>
      <w:r>
        <w:rPr>
          <w:rFonts w:ascii="Consolas" w:hAnsi="Consolas" w:cs="Consolas" w:eastAsia="Consolas"/>
          <w:b w:val="0"/>
          <w:sz w:val="20"/>
        </w:rPr>
        <w:t xml:space="preserve"> </w:t>
      </w:r>
    </w:p>
    <w:p>
      <w:pPr>
        <w:spacing w:before="120" w:after="120"/>
        <w:ind w:firstLine="0"/>
        <w:jc w:val="center"/>
      </w:pPr>
      <w:r>
        <w:rPr>
          <w:rFonts w:ascii="Times New Roman" w:hAnsi="Times New Roman" w:cs="Times New Roman" w:eastAsia="Times New Roman"/>
          <w:b/>
          <w:sz w:val="24"/>
        </w:rPr>
        <w:t>Листинг — Стратегия непрерывной капитализации</w:t>
      </w:r>
    </w:p>
    <w:p>
      <w:pPr>
        <w:ind w:firstLine="0"/>
        <w:jc w:val="left"/>
      </w:pPr>
      <w:r>
        <w:rPr>
          <w:rFonts w:ascii="Times New Roman" w:hAnsi="Times New Roman" w:cs="Times New Roman" w:eastAsia="Times New Roman"/>
          <w:b w:val="0"/>
          <w:sz w:val="22"/>
        </w:rPr>
        <w:t>Файл: backend/app/services/strategies/continuous.py</w:t>
      </w:r>
    </w:p>
    <w:p>
      <w:pPr>
        <w:spacing w:line="280" w:lineRule="exact" w:before="0" w:after="0"/>
        <w:ind w:firstLine="0"/>
        <w:jc w:val="left"/>
      </w:pPr>
      <w:r>
        <w:rPr>
          <w:rFonts w:ascii="Consolas" w:hAnsi="Consolas" w:cs="Consolas" w:eastAsia="Consolas"/>
          <w:b w:val="0"/>
          <w:sz w:val="20"/>
        </w:rPr>
        <w:t>from decimal import Decimal</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import mpmath</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from app.schemas.calculation import (</w:t>
      </w:r>
    </w:p>
    <w:p>
      <w:pPr>
        <w:spacing w:line="280" w:lineRule="exact" w:before="0" w:after="0"/>
        <w:ind w:firstLine="0"/>
        <w:jc w:val="left"/>
      </w:pPr>
      <w:r>
        <w:rPr>
          <w:rFonts w:ascii="Consolas" w:hAnsi="Consolas" w:cs="Consolas" w:eastAsia="Consolas"/>
          <w:b w:val="0"/>
          <w:sz w:val="20"/>
        </w:rPr>
        <w:t xml:space="preserve">    CalculationResult,</w:t>
      </w:r>
    </w:p>
    <w:p>
      <w:pPr>
        <w:spacing w:line="280" w:lineRule="exact" w:before="0" w:after="0"/>
        <w:ind w:firstLine="0"/>
        <w:jc w:val="left"/>
      </w:pPr>
      <w:r>
        <w:rPr>
          <w:rFonts w:ascii="Consolas" w:hAnsi="Consolas" w:cs="Consolas" w:eastAsia="Consolas"/>
          <w:b w:val="0"/>
          <w:sz w:val="20"/>
        </w:rPr>
        <w:t xml:space="preserve">    DepositParams,</w:t>
      </w:r>
    </w:p>
    <w:p>
      <w:pPr>
        <w:spacing w:line="280" w:lineRule="exact" w:before="0" w:after="0"/>
        <w:ind w:firstLine="0"/>
        <w:jc w:val="left"/>
      </w:pPr>
      <w:r>
        <w:rPr>
          <w:rFonts w:ascii="Consolas" w:hAnsi="Consolas" w:cs="Consolas" w:eastAsia="Consolas"/>
          <w:b w:val="0"/>
          <w:sz w:val="20"/>
        </w:rPr>
        <w:t xml:space="preserve">    PeriodBreakdown,</w:t>
      </w:r>
    </w:p>
    <w:p>
      <w:pPr>
        <w:spacing w:line="280" w:lineRule="exact" w:before="0" w:after="0"/>
        <w:ind w:firstLine="0"/>
        <w:jc w:val="left"/>
      </w:pPr>
      <w:r>
        <w:rPr>
          <w:rFonts w:ascii="Consolas" w:hAnsi="Consolas" w:cs="Consolas" w:eastAsia="Consolas"/>
          <w:b w:val="0"/>
          <w:sz w:val="20"/>
        </w:rPr>
        <w:t>)</w:t>
      </w:r>
    </w:p>
    <w:p>
      <w:pPr>
        <w:spacing w:line="280" w:lineRule="exact" w:before="0" w:after="0"/>
        <w:ind w:firstLine="0"/>
        <w:jc w:val="left"/>
      </w:pPr>
      <w:r>
        <w:rPr>
          <w:rFonts w:ascii="Consolas" w:hAnsi="Consolas" w:cs="Consolas" w:eastAsia="Consolas"/>
          <w:b w:val="0"/>
          <w:sz w:val="20"/>
        </w:rPr>
        <w:t>from app.services.strategies.base import MONEY_QUANT, Strategy</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mpmath.mp.dps = 50</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class ContinuousCapitalizationStrategy(Strategy):</w:t>
      </w:r>
    </w:p>
    <w:p>
      <w:pPr>
        <w:spacing w:line="280" w:lineRule="exact" w:before="0" w:after="0"/>
        <w:ind w:firstLine="0"/>
        <w:jc w:val="left"/>
      </w:pPr>
      <w:r>
        <w:rPr>
          <w:rFonts w:ascii="Consolas" w:hAnsi="Consolas" w:cs="Consolas" w:eastAsia="Consolas"/>
          <w:b w:val="0"/>
          <w:sz w:val="20"/>
        </w:rPr>
        <w:t xml:space="preserve">    def calculate(self, params: DepositParams) -&gt; CalculationResult:</w:t>
      </w:r>
    </w:p>
    <w:p>
      <w:pPr>
        <w:spacing w:line="280" w:lineRule="exact" w:before="0" w:after="0"/>
        <w:ind w:firstLine="0"/>
        <w:jc w:val="left"/>
      </w:pPr>
      <w:r>
        <w:rPr>
          <w:rFonts w:ascii="Consolas" w:hAnsi="Consolas" w:cs="Consolas" w:eastAsia="Consolas"/>
          <w:b w:val="0"/>
          <w:sz w:val="20"/>
        </w:rPr>
        <w:t xml:space="preserve">        if params.top_ups or params.withdrawals or params.variable_rates:</w:t>
      </w:r>
    </w:p>
    <w:p>
      <w:pPr>
        <w:spacing w:line="280" w:lineRule="exact" w:before="0" w:after="0"/>
        <w:ind w:firstLine="0"/>
        <w:jc w:val="left"/>
      </w:pPr>
      <w:r>
        <w:rPr>
          <w:rFonts w:ascii="Consolas" w:hAnsi="Consolas" w:cs="Consolas" w:eastAsia="Consolas"/>
          <w:b w:val="0"/>
          <w:sz w:val="20"/>
        </w:rPr>
        <w:t xml:space="preserve">            raise ValueError(</w:t>
      </w:r>
    </w:p>
    <w:p>
      <w:pPr>
        <w:spacing w:line="280" w:lineRule="exact" w:before="0" w:after="0"/>
        <w:ind w:firstLine="0"/>
        <w:jc w:val="left"/>
      </w:pPr>
      <w:r>
        <w:rPr>
          <w:rFonts w:ascii="Consolas" w:hAnsi="Consolas" w:cs="Consolas" w:eastAsia="Consolas"/>
          <w:b w:val="0"/>
          <w:sz w:val="20"/>
        </w:rPr>
        <w:t xml:space="preserve">                "Непрерывная капитализация не поддерживает пополнения, снятия "</w:t>
      </w:r>
    </w:p>
    <w:p>
      <w:pPr>
        <w:spacing w:line="280" w:lineRule="exact" w:before="0" w:after="0"/>
        <w:ind w:firstLine="0"/>
        <w:jc w:val="left"/>
      </w:pPr>
      <w:r>
        <w:rPr>
          <w:rFonts w:ascii="Consolas" w:hAnsi="Consolas" w:cs="Consolas" w:eastAsia="Consolas"/>
          <w:b w:val="0"/>
          <w:sz w:val="20"/>
        </w:rPr>
        <w:t xml:space="preserve">                "и переменные ставки"</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t = mpmath.mpf(params.term_months) / mpmath.mpf(12)</w:t>
      </w:r>
    </w:p>
    <w:p>
      <w:pPr>
        <w:spacing w:line="280" w:lineRule="exact" w:before="0" w:after="0"/>
        <w:ind w:firstLine="0"/>
        <w:jc w:val="left"/>
      </w:pPr>
      <w:r>
        <w:rPr>
          <w:rFonts w:ascii="Consolas" w:hAnsi="Consolas" w:cs="Consolas" w:eastAsia="Consolas"/>
          <w:b w:val="0"/>
          <w:sz w:val="20"/>
        </w:rPr>
        <w:t xml:space="preserve">        r = mpmath.mpf(str(params.annual_rate)) / mpmath.mpf(100)</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growth_factor = mpmath.exp(r * t)</w:t>
      </w:r>
    </w:p>
    <w:p>
      <w:pPr>
        <w:spacing w:line="280" w:lineRule="exact" w:before="0" w:after="0"/>
        <w:ind w:firstLine="0"/>
        <w:jc w:val="left"/>
      </w:pPr>
      <w:r>
        <w:rPr>
          <w:rFonts w:ascii="Consolas" w:hAnsi="Consolas" w:cs="Consolas" w:eastAsia="Consolas"/>
          <w:b w:val="0"/>
          <w:sz w:val="20"/>
        </w:rPr>
        <w:t xml:space="preserve">        future_value_mp = mpmath.mpf(str(params.initial_amount)) * growth_factor</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future_value = Decimal(mpmath.nstr(future_value_mp, 20, strip_zeros=False)).quantize(</w:t>
      </w:r>
    </w:p>
    <w:p>
      <w:pPr>
        <w:spacing w:line="280" w:lineRule="exact" w:before="0" w:after="0"/>
        <w:ind w:firstLine="0"/>
        <w:jc w:val="left"/>
      </w:pPr>
      <w:r>
        <w:rPr>
          <w:rFonts w:ascii="Consolas" w:hAnsi="Consolas" w:cs="Consolas" w:eastAsia="Consolas"/>
          <w:b w:val="0"/>
          <w:sz w:val="20"/>
        </w:rPr>
        <w:t xml:space="preserve">            MONEY_QUANT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total_interest = (future_value - params.initial_amount).quantize(MONEY_QUANT)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tax = (total_interest * params.tax_rate / Decimal(100)).quantize(MONEY_QUANT)</w:t>
      </w:r>
    </w:p>
    <w:p>
      <w:pPr>
        <w:spacing w:line="280" w:lineRule="exact" w:before="0" w:after="0"/>
        <w:ind w:firstLine="0"/>
        <w:jc w:val="left"/>
      </w:pPr>
      <w:r>
        <w:rPr>
          <w:rFonts w:ascii="Consolas" w:hAnsi="Consolas" w:cs="Consolas" w:eastAsia="Consolas"/>
          <w:b w:val="0"/>
          <w:sz w:val="20"/>
        </w:rPr>
        <w:t xml:space="preserve">        future_value_after_tax = (future_value - tax).quantize(MONEY_QUANT)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breakdown = [</w:t>
      </w:r>
    </w:p>
    <w:p>
      <w:pPr>
        <w:spacing w:line="280" w:lineRule="exact" w:before="0" w:after="0"/>
        <w:ind w:firstLine="0"/>
        <w:jc w:val="left"/>
      </w:pPr>
      <w:r>
        <w:rPr>
          <w:rFonts w:ascii="Consolas" w:hAnsi="Consolas" w:cs="Consolas" w:eastAsia="Consolas"/>
          <w:b w:val="0"/>
          <w:sz w:val="20"/>
        </w:rPr>
        <w:t xml:space="preserve">            PeriodBreakdown(</w:t>
      </w:r>
    </w:p>
    <w:p>
      <w:pPr>
        <w:spacing w:line="280" w:lineRule="exact" w:before="0" w:after="0"/>
        <w:ind w:firstLine="0"/>
        <w:jc w:val="left"/>
      </w:pPr>
      <w:r>
        <w:rPr>
          <w:rFonts w:ascii="Consolas" w:hAnsi="Consolas" w:cs="Consolas" w:eastAsia="Consolas"/>
          <w:b w:val="0"/>
          <w:sz w:val="20"/>
        </w:rPr>
        <w:t xml:space="preserve">                period=1,</w:t>
      </w:r>
    </w:p>
    <w:p>
      <w:pPr>
        <w:spacing w:line="280" w:lineRule="exact" w:before="0" w:after="0"/>
        <w:ind w:firstLine="0"/>
        <w:jc w:val="left"/>
      </w:pPr>
      <w:r>
        <w:rPr>
          <w:rFonts w:ascii="Consolas" w:hAnsi="Consolas" w:cs="Consolas" w:eastAsia="Consolas"/>
          <w:b w:val="0"/>
          <w:sz w:val="20"/>
        </w:rPr>
        <w:t xml:space="preserve">                period_date=params.start_date,</w:t>
      </w:r>
    </w:p>
    <w:p>
      <w:pPr>
        <w:spacing w:line="280" w:lineRule="exact" w:before="0" w:after="0"/>
        <w:ind w:firstLine="0"/>
        <w:jc w:val="left"/>
      </w:pPr>
      <w:r>
        <w:rPr>
          <w:rFonts w:ascii="Consolas" w:hAnsi="Consolas" w:cs="Consolas" w:eastAsia="Consolas"/>
          <w:b w:val="0"/>
          <w:sz w:val="20"/>
        </w:rPr>
        <w:t xml:space="preserve">                opening_balance=params.initial_amount.quantize(MONEY_QUANT),</w:t>
      </w:r>
    </w:p>
    <w:p>
      <w:pPr>
        <w:spacing w:line="280" w:lineRule="exact" w:before="0" w:after="0"/>
        <w:ind w:firstLine="0"/>
        <w:jc w:val="left"/>
      </w:pPr>
      <w:r>
        <w:rPr>
          <w:rFonts w:ascii="Consolas" w:hAnsi="Consolas" w:cs="Consolas" w:eastAsia="Consolas"/>
          <w:b w:val="0"/>
          <w:sz w:val="20"/>
        </w:rPr>
        <w:t xml:space="preserve">                top_up=Decimal("0.00"),</w:t>
      </w:r>
    </w:p>
    <w:p>
      <w:pPr>
        <w:spacing w:line="280" w:lineRule="exact" w:before="0" w:after="0"/>
        <w:ind w:firstLine="0"/>
        <w:jc w:val="left"/>
      </w:pPr>
      <w:r>
        <w:rPr>
          <w:rFonts w:ascii="Consolas" w:hAnsi="Consolas" w:cs="Consolas" w:eastAsia="Consolas"/>
          <w:b w:val="0"/>
          <w:sz w:val="20"/>
        </w:rPr>
        <w:t xml:space="preserve">                withdrawal=Decimal("0.00"),</w:t>
      </w:r>
    </w:p>
    <w:p>
      <w:pPr>
        <w:spacing w:line="280" w:lineRule="exact" w:before="0" w:after="0"/>
        <w:ind w:firstLine="0"/>
        <w:jc w:val="left"/>
      </w:pPr>
      <w:r>
        <w:rPr>
          <w:rFonts w:ascii="Consolas" w:hAnsi="Consolas" w:cs="Consolas" w:eastAsia="Consolas"/>
          <w:b w:val="0"/>
          <w:sz w:val="20"/>
        </w:rPr>
        <w:t xml:space="preserve">                interest_base=params.initial_amount.quantize(MONEY_QUANT),</w:t>
      </w:r>
    </w:p>
    <w:p>
      <w:pPr>
        <w:spacing w:line="280" w:lineRule="exact" w:before="0" w:after="0"/>
        <w:ind w:firstLine="0"/>
        <w:jc w:val="left"/>
      </w:pPr>
      <w:r>
        <w:rPr>
          <w:rFonts w:ascii="Consolas" w:hAnsi="Consolas" w:cs="Consolas" w:eastAsia="Consolas"/>
          <w:b w:val="0"/>
          <w:sz w:val="20"/>
        </w:rPr>
        <w:t xml:space="preserve">                interest_accrued=total_interest,</w:t>
      </w:r>
    </w:p>
    <w:p>
      <w:pPr>
        <w:spacing w:line="280" w:lineRule="exact" w:before="0" w:after="0"/>
        <w:ind w:firstLine="0"/>
        <w:jc w:val="left"/>
      </w:pPr>
      <w:r>
        <w:rPr>
          <w:rFonts w:ascii="Consolas" w:hAnsi="Consolas" w:cs="Consolas" w:eastAsia="Consolas"/>
          <w:b w:val="0"/>
          <w:sz w:val="20"/>
        </w:rPr>
        <w:t xml:space="preserve">                tax_withheld=tax,</w:t>
      </w:r>
    </w:p>
    <w:p>
      <w:pPr>
        <w:spacing w:line="280" w:lineRule="exact" w:before="0" w:after="0"/>
        <w:ind w:firstLine="0"/>
        <w:jc w:val="left"/>
      </w:pPr>
      <w:r>
        <w:rPr>
          <w:rFonts w:ascii="Consolas" w:hAnsi="Consolas" w:cs="Consolas" w:eastAsia="Consolas"/>
          <w:b w:val="0"/>
          <w:sz w:val="20"/>
        </w:rPr>
        <w:t xml:space="preserve">                closing_balance=future_value_after_tax,</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return CalculationResult(</w:t>
      </w:r>
    </w:p>
    <w:p>
      <w:pPr>
        <w:spacing w:line="280" w:lineRule="exact" w:before="0" w:after="0"/>
        <w:ind w:firstLine="0"/>
        <w:jc w:val="left"/>
      </w:pPr>
      <w:r>
        <w:rPr>
          <w:rFonts w:ascii="Consolas" w:hAnsi="Consolas" w:cs="Consolas" w:eastAsia="Consolas"/>
          <w:b w:val="0"/>
          <w:sz w:val="20"/>
        </w:rPr>
        <w:t xml:space="preserve">            initial_amount=params.initial_amount,</w:t>
      </w:r>
    </w:p>
    <w:p>
      <w:pPr>
        <w:spacing w:line="280" w:lineRule="exact" w:before="0" w:after="0"/>
        <w:ind w:firstLine="0"/>
        <w:jc w:val="left"/>
      </w:pPr>
      <w:r>
        <w:rPr>
          <w:rFonts w:ascii="Consolas" w:hAnsi="Consolas" w:cs="Consolas" w:eastAsia="Consolas"/>
          <w:b w:val="0"/>
          <w:sz w:val="20"/>
        </w:rPr>
        <w:t xml:space="preserve">            annual_rate=params.annual_rate,</w:t>
      </w:r>
    </w:p>
    <w:p>
      <w:pPr>
        <w:spacing w:line="280" w:lineRule="exact" w:before="0" w:after="0"/>
        <w:ind w:firstLine="0"/>
        <w:jc w:val="left"/>
      </w:pPr>
      <w:r>
        <w:rPr>
          <w:rFonts w:ascii="Consolas" w:hAnsi="Consolas" w:cs="Consolas" w:eastAsia="Consolas"/>
          <w:b w:val="0"/>
          <w:sz w:val="20"/>
        </w:rPr>
        <w:t xml:space="preserve">            term_months=params.term_months,</w:t>
      </w:r>
    </w:p>
    <w:p>
      <w:pPr>
        <w:spacing w:line="280" w:lineRule="exact" w:before="0" w:after="0"/>
        <w:ind w:firstLine="0"/>
        <w:jc w:val="left"/>
      </w:pPr>
      <w:r>
        <w:rPr>
          <w:rFonts w:ascii="Consolas" w:hAnsi="Consolas" w:cs="Consolas" w:eastAsia="Consolas"/>
          <w:b w:val="0"/>
          <w:sz w:val="20"/>
        </w:rPr>
        <w:t xml:space="preserve">            capitalization_period=params.capitalization_period,</w:t>
      </w:r>
    </w:p>
    <w:p>
      <w:pPr>
        <w:spacing w:line="280" w:lineRule="exact" w:before="0" w:after="0"/>
        <w:ind w:firstLine="0"/>
        <w:jc w:val="left"/>
      </w:pPr>
      <w:r>
        <w:rPr>
          <w:rFonts w:ascii="Consolas" w:hAnsi="Consolas" w:cs="Consolas" w:eastAsia="Consolas"/>
          <w:b w:val="0"/>
          <w:sz w:val="20"/>
        </w:rPr>
        <w:t xml:space="preserve">            future_value=future_value_after_tax,</w:t>
      </w:r>
    </w:p>
    <w:p>
      <w:pPr>
        <w:spacing w:line="280" w:lineRule="exact" w:before="0" w:after="0"/>
        <w:ind w:firstLine="0"/>
        <w:jc w:val="left"/>
      </w:pPr>
      <w:r>
        <w:rPr>
          <w:rFonts w:ascii="Consolas" w:hAnsi="Consolas" w:cs="Consolas" w:eastAsia="Consolas"/>
          <w:b w:val="0"/>
          <w:sz w:val="20"/>
        </w:rPr>
        <w:t xml:space="preserve">            total_interest=(total_interest - tax).quantize(MONEY_QUANT),</w:t>
      </w:r>
    </w:p>
    <w:p>
      <w:pPr>
        <w:spacing w:line="280" w:lineRule="exact" w:before="0" w:after="0"/>
        <w:ind w:firstLine="0"/>
        <w:jc w:val="left"/>
      </w:pPr>
      <w:r>
        <w:rPr>
          <w:rFonts w:ascii="Consolas" w:hAnsi="Consolas" w:cs="Consolas" w:eastAsia="Consolas"/>
          <w:b w:val="0"/>
          <w:sz w:val="20"/>
        </w:rPr>
        <w:t xml:space="preserve">            total_tax=tax,</w:t>
      </w:r>
    </w:p>
    <w:p>
      <w:pPr>
        <w:spacing w:line="280" w:lineRule="exact" w:before="0" w:after="0"/>
        <w:ind w:firstLine="0"/>
        <w:jc w:val="left"/>
      </w:pPr>
      <w:r>
        <w:rPr>
          <w:rFonts w:ascii="Consolas" w:hAnsi="Consolas" w:cs="Consolas" w:eastAsia="Consolas"/>
          <w:b w:val="0"/>
          <w:sz w:val="20"/>
        </w:rPr>
        <w:t xml:space="preserve">            effective_rate=Decimal(0),</w:t>
      </w:r>
    </w:p>
    <w:p>
      <w:pPr>
        <w:spacing w:line="280" w:lineRule="exact" w:before="0" w:after="0"/>
        <w:ind w:firstLine="0"/>
        <w:jc w:val="left"/>
      </w:pPr>
      <w:r>
        <w:rPr>
          <w:rFonts w:ascii="Consolas" w:hAnsi="Consolas" w:cs="Consolas" w:eastAsia="Consolas"/>
          <w:b w:val="0"/>
          <w:sz w:val="20"/>
        </w:rPr>
        <w:t xml:space="preserve">            monthly_breakdown=breakdown,</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before="120" w:after="120"/>
        <w:ind w:firstLine="0"/>
        <w:jc w:val="center"/>
      </w:pPr>
      <w:r>
        <w:rPr>
          <w:rFonts w:ascii="Times New Roman" w:hAnsi="Times New Roman" w:cs="Times New Roman" w:eastAsia="Times New Roman"/>
          <w:b/>
          <w:sz w:val="24"/>
        </w:rPr>
        <w:t>Листинг — Стратегия с переменной процентной ставкой</w:t>
      </w:r>
    </w:p>
    <w:p>
      <w:pPr>
        <w:ind w:firstLine="0"/>
        <w:jc w:val="left"/>
      </w:pPr>
      <w:r>
        <w:rPr>
          <w:rFonts w:ascii="Times New Roman" w:hAnsi="Times New Roman" w:cs="Times New Roman" w:eastAsia="Times New Roman"/>
          <w:b w:val="0"/>
          <w:sz w:val="22"/>
        </w:rPr>
        <w:t>Файл: backend/app/services/strategies/variable_rate.py</w:t>
      </w:r>
    </w:p>
    <w:p>
      <w:pPr>
        <w:spacing w:line="280" w:lineRule="exact" w:before="0" w:after="0"/>
        <w:ind w:firstLine="0"/>
        <w:jc w:val="left"/>
      </w:pPr>
      <w:r>
        <w:rPr>
          <w:rFonts w:ascii="Consolas" w:hAnsi="Consolas" w:cs="Consolas" w:eastAsia="Consolas"/>
          <w:b w:val="0"/>
          <w:sz w:val="20"/>
        </w:rPr>
        <w:t>from datetime import date</w:t>
      </w:r>
    </w:p>
    <w:p>
      <w:pPr>
        <w:spacing w:line="280" w:lineRule="exact" w:before="0" w:after="0"/>
        <w:ind w:firstLine="0"/>
        <w:jc w:val="left"/>
      </w:pPr>
      <w:r>
        <w:rPr>
          <w:rFonts w:ascii="Consolas" w:hAnsi="Consolas" w:cs="Consolas" w:eastAsia="Consolas"/>
          <w:b w:val="0"/>
          <w:sz w:val="20"/>
        </w:rPr>
        <w:t>from decimal import Decimal</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from app.schemas.calculation import DepositParams</w:t>
      </w:r>
    </w:p>
    <w:p>
      <w:pPr>
        <w:spacing w:line="280" w:lineRule="exact" w:before="0" w:after="0"/>
        <w:ind w:firstLine="0"/>
        <w:jc w:val="left"/>
      </w:pPr>
      <w:r>
        <w:rPr>
          <w:rFonts w:ascii="Consolas" w:hAnsi="Consolas" w:cs="Consolas" w:eastAsia="Consolas"/>
          <w:b w:val="0"/>
          <w:sz w:val="20"/>
        </w:rPr>
        <w:t>from app.services.strategies.discrete import DiscreteCapitalizationStrategy</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class VariableRateStrategy(DiscreteCapitalizationStrategy):</w:t>
      </w:r>
    </w:p>
    <w:p>
      <w:pPr>
        <w:spacing w:line="280" w:lineRule="exact" w:before="0" w:after="0"/>
        <w:ind w:firstLine="0"/>
        <w:jc w:val="left"/>
      </w:pPr>
      <w:r>
        <w:rPr>
          <w:rFonts w:ascii="Consolas" w:hAnsi="Consolas" w:cs="Consolas" w:eastAsia="Consolas"/>
          <w:b w:val="0"/>
          <w:sz w:val="20"/>
        </w:rPr>
        <w:t xml:space="preserve">    def _period_rate(</w:t>
      </w:r>
    </w:p>
    <w:p>
      <w:pPr>
        <w:spacing w:line="280" w:lineRule="exact" w:before="0" w:after="0"/>
        <w:ind w:firstLine="0"/>
        <w:jc w:val="left"/>
      </w:pPr>
      <w:r>
        <w:rPr>
          <w:rFonts w:ascii="Consolas" w:hAnsi="Consolas" w:cs="Consolas" w:eastAsia="Consolas"/>
          <w:b w:val="0"/>
          <w:sz w:val="20"/>
        </w:rPr>
        <w:t xml:space="preserve">        self,</w:t>
      </w:r>
    </w:p>
    <w:p>
      <w:pPr>
        <w:spacing w:line="280" w:lineRule="exact" w:before="0" w:after="0"/>
        <w:ind w:firstLine="0"/>
        <w:jc w:val="left"/>
      </w:pPr>
      <w:r>
        <w:rPr>
          <w:rFonts w:ascii="Consolas" w:hAnsi="Consolas" w:cs="Consolas" w:eastAsia="Consolas"/>
          <w:b w:val="0"/>
          <w:sz w:val="20"/>
        </w:rPr>
        <w:t xml:space="preserve">        params: DepositParams,</w:t>
      </w:r>
    </w:p>
    <w:p>
      <w:pPr>
        <w:spacing w:line="280" w:lineRule="exact" w:before="0" w:after="0"/>
        <w:ind w:firstLine="0"/>
        <w:jc w:val="left"/>
      </w:pPr>
      <w:r>
        <w:rPr>
          <w:rFonts w:ascii="Consolas" w:hAnsi="Consolas" w:cs="Consolas" w:eastAsia="Consolas"/>
          <w:b w:val="0"/>
          <w:sz w:val="20"/>
        </w:rPr>
        <w:t xml:space="preserve">        period_end: date,</w:t>
      </w:r>
    </w:p>
    <w:p>
      <w:pPr>
        <w:spacing w:line="280" w:lineRule="exact" w:before="0" w:after="0"/>
        <w:ind w:firstLine="0"/>
        <w:jc w:val="left"/>
      </w:pPr>
      <w:r>
        <w:rPr>
          <w:rFonts w:ascii="Consolas" w:hAnsi="Consolas" w:cs="Consolas" w:eastAsia="Consolas"/>
          <w:b w:val="0"/>
          <w:sz w:val="20"/>
        </w:rPr>
        <w:t xml:space="preserve">        periods_per_year: int,</w:t>
      </w:r>
    </w:p>
    <w:p>
      <w:pPr>
        <w:spacing w:line="280" w:lineRule="exact" w:before="0" w:after="0"/>
        <w:ind w:firstLine="0"/>
        <w:jc w:val="left"/>
      </w:pPr>
      <w:r>
        <w:rPr>
          <w:rFonts w:ascii="Consolas" w:hAnsi="Consolas" w:cs="Consolas" w:eastAsia="Consolas"/>
          <w:b w:val="0"/>
          <w:sz w:val="20"/>
        </w:rPr>
        <w:t xml:space="preserve">    ) -&gt; Decimal:</w:t>
      </w:r>
    </w:p>
    <w:p>
      <w:pPr>
        <w:spacing w:line="280" w:lineRule="exact" w:before="0" w:after="0"/>
        <w:ind w:firstLine="0"/>
        <w:jc w:val="left"/>
      </w:pPr>
      <w:r>
        <w:rPr>
          <w:rFonts w:ascii="Consolas" w:hAnsi="Consolas" w:cs="Consolas" w:eastAsia="Consolas"/>
          <w:b w:val="0"/>
          <w:sz w:val="20"/>
        </w:rPr>
        <w:t xml:space="preserve">        applicable_rate = params.annual_rate</w:t>
      </w:r>
    </w:p>
    <w:p>
      <w:pPr>
        <w:spacing w:line="280" w:lineRule="exact" w:before="0" w:after="0"/>
        <w:ind w:firstLine="0"/>
        <w:jc w:val="left"/>
      </w:pPr>
      <w:r>
        <w:rPr>
          <w:rFonts w:ascii="Consolas" w:hAnsi="Consolas" w:cs="Consolas" w:eastAsia="Consolas"/>
          <w:b w:val="0"/>
          <w:sz w:val="20"/>
        </w:rPr>
        <w:t xml:space="preserve">        for rc in sorted(params.variable_rates, key=lambda r: r.change_date):</w:t>
      </w:r>
    </w:p>
    <w:p>
      <w:pPr>
        <w:spacing w:line="280" w:lineRule="exact" w:before="0" w:after="0"/>
        <w:ind w:firstLine="0"/>
        <w:jc w:val="left"/>
      </w:pPr>
      <w:r>
        <w:rPr>
          <w:rFonts w:ascii="Consolas" w:hAnsi="Consolas" w:cs="Consolas" w:eastAsia="Consolas"/>
          <w:b w:val="0"/>
          <w:sz w:val="20"/>
        </w:rPr>
        <w:t xml:space="preserve">            if rc.change_date &lt;= period_end:</w:t>
      </w:r>
    </w:p>
    <w:p>
      <w:pPr>
        <w:spacing w:line="280" w:lineRule="exact" w:before="0" w:after="0"/>
        <w:ind w:firstLine="0"/>
        <w:jc w:val="left"/>
      </w:pPr>
      <w:r>
        <w:rPr>
          <w:rFonts w:ascii="Consolas" w:hAnsi="Consolas" w:cs="Consolas" w:eastAsia="Consolas"/>
          <w:b w:val="0"/>
          <w:sz w:val="20"/>
        </w:rPr>
        <w:t xml:space="preserve">                applicable_rate = rc.new_rate</w:t>
      </w:r>
    </w:p>
    <w:p>
      <w:pPr>
        <w:spacing w:line="280" w:lineRule="exact" w:before="0" w:after="0"/>
        <w:ind w:firstLine="0"/>
        <w:jc w:val="left"/>
      </w:pPr>
      <w:r>
        <w:rPr>
          <w:rFonts w:ascii="Consolas" w:hAnsi="Consolas" w:cs="Consolas" w:eastAsia="Consolas"/>
          <w:b w:val="0"/>
          <w:sz w:val="20"/>
        </w:rPr>
        <w:t xml:space="preserve">            else:</w:t>
      </w:r>
    </w:p>
    <w:p>
      <w:pPr>
        <w:spacing w:line="280" w:lineRule="exact" w:before="0" w:after="0"/>
        <w:ind w:firstLine="0"/>
        <w:jc w:val="left"/>
      </w:pPr>
      <w:r>
        <w:rPr>
          <w:rFonts w:ascii="Consolas" w:hAnsi="Consolas" w:cs="Consolas" w:eastAsia="Consolas"/>
          <w:b w:val="0"/>
          <w:sz w:val="20"/>
        </w:rPr>
        <w:t xml:space="preserve">                break</w:t>
      </w:r>
    </w:p>
    <w:p>
      <w:pPr>
        <w:spacing w:line="280" w:lineRule="exact" w:before="0" w:after="0"/>
        <w:ind w:firstLine="0"/>
        <w:jc w:val="left"/>
      </w:pPr>
      <w:r>
        <w:rPr>
          <w:rFonts w:ascii="Consolas" w:hAnsi="Consolas" w:cs="Consolas" w:eastAsia="Consolas"/>
          <w:b w:val="0"/>
          <w:sz w:val="20"/>
        </w:rPr>
        <w:t xml:space="preserve">        return applicable_rate / Decimal(100) / Decimal(periods_per_year)</w:t>
      </w:r>
    </w:p>
    <w:p>
      <w:pPr>
        <w:spacing w:line="280" w:lineRule="exact" w:before="0" w:after="0"/>
        <w:ind w:firstLine="0"/>
        <w:jc w:val="left"/>
      </w:pPr>
      <w:r>
        <w:rPr>
          <w:rFonts w:ascii="Consolas" w:hAnsi="Consolas" w:cs="Consolas" w:eastAsia="Consolas"/>
          <w:b w:val="0"/>
          <w:sz w:val="20"/>
        </w:rPr>
        <w:t xml:space="preserve"> </w:t>
      </w:r>
    </w:p>
    <w:p>
      <w:pPr>
        <w:spacing w:before="120" w:after="120"/>
        <w:ind w:firstLine="0"/>
        <w:jc w:val="center"/>
      </w:pPr>
      <w:r>
        <w:rPr>
          <w:rFonts w:ascii="Times New Roman" w:hAnsi="Times New Roman" w:cs="Times New Roman" w:eastAsia="Times New Roman"/>
          <w:b/>
          <w:sz w:val="24"/>
        </w:rPr>
        <w:t>Листинг — Расчёт эффективной процентной ставки методом Ньютона–Рафсона</w:t>
      </w:r>
    </w:p>
    <w:p>
      <w:pPr>
        <w:ind w:firstLine="0"/>
        <w:jc w:val="left"/>
      </w:pPr>
      <w:r>
        <w:rPr>
          <w:rFonts w:ascii="Times New Roman" w:hAnsi="Times New Roman" w:cs="Times New Roman" w:eastAsia="Times New Roman"/>
          <w:b w:val="0"/>
          <w:sz w:val="22"/>
        </w:rPr>
        <w:t>Файл: backend/app/services/eps_calculator.py</w:t>
      </w:r>
    </w:p>
    <w:p>
      <w:pPr>
        <w:spacing w:line="280" w:lineRule="exact" w:before="0" w:after="0"/>
        <w:ind w:firstLine="0"/>
        <w:jc w:val="left"/>
      </w:pPr>
      <w:r>
        <w:rPr>
          <w:rFonts w:ascii="Consolas" w:hAnsi="Consolas" w:cs="Consolas" w:eastAsia="Consolas"/>
          <w:b w:val="0"/>
          <w:sz w:val="20"/>
        </w:rPr>
        <w:t>from datetime import date</w:t>
      </w:r>
    </w:p>
    <w:p>
      <w:pPr>
        <w:spacing w:line="280" w:lineRule="exact" w:before="0" w:after="0"/>
        <w:ind w:firstLine="0"/>
        <w:jc w:val="left"/>
      </w:pPr>
      <w:r>
        <w:rPr>
          <w:rFonts w:ascii="Consolas" w:hAnsi="Consolas" w:cs="Consolas" w:eastAsia="Consolas"/>
          <w:b w:val="0"/>
          <w:sz w:val="20"/>
        </w:rPr>
        <w:t>from decimal import Decimal</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from dateutil.relativedelta import relativedelta</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from app.schemas.calculation import TopUp, Withdrawal</w:t>
      </w:r>
    </w:p>
    <w:p>
      <w:pPr>
        <w:spacing w:line="280" w:lineRule="exact" w:before="0" w:after="0"/>
        <w:ind w:firstLine="0"/>
        <w:jc w:val="left"/>
      </w:pPr>
      <w:r>
        <w:rPr>
          <w:rFonts w:ascii="Consolas" w:hAnsi="Consolas" w:cs="Consolas" w:eastAsia="Consolas"/>
          <w:b w:val="0"/>
          <w:sz w:val="20"/>
        </w:rPr>
        <w:t>from app.services.strategies.base import RATE_QUANT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def _year_fraction(anchor: date, d: date) -&gt; float:</w:t>
      </w:r>
    </w:p>
    <w:p>
      <w:pPr>
        <w:spacing w:line="280" w:lineRule="exact" w:before="0" w:after="0"/>
        <w:ind w:firstLine="0"/>
        <w:jc w:val="left"/>
      </w:pPr>
      <w:r>
        <w:rPr>
          <w:rFonts w:ascii="Consolas" w:hAnsi="Consolas" w:cs="Consolas" w:eastAsia="Consolas"/>
          <w:b w:val="0"/>
          <w:sz w:val="20"/>
        </w:rPr>
        <w:t xml:space="preserve">    return (d - anchor).days / 365.0</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def compute_effective_rate(</w:t>
      </w:r>
    </w:p>
    <w:p>
      <w:pPr>
        <w:spacing w:line="280" w:lineRule="exact" w:before="0" w:after="0"/>
        <w:ind w:firstLine="0"/>
        <w:jc w:val="left"/>
      </w:pPr>
      <w:r>
        <w:rPr>
          <w:rFonts w:ascii="Consolas" w:hAnsi="Consolas" w:cs="Consolas" w:eastAsia="Consolas"/>
          <w:b w:val="0"/>
          <w:sz w:val="20"/>
        </w:rPr>
        <w:t xml:space="preserve">    initial_amount: Decimal,</w:t>
      </w:r>
    </w:p>
    <w:p>
      <w:pPr>
        <w:spacing w:line="280" w:lineRule="exact" w:before="0" w:after="0"/>
        <w:ind w:firstLine="0"/>
        <w:jc w:val="left"/>
      </w:pPr>
      <w:r>
        <w:rPr>
          <w:rFonts w:ascii="Consolas" w:hAnsi="Consolas" w:cs="Consolas" w:eastAsia="Consolas"/>
          <w:b w:val="0"/>
          <w:sz w:val="20"/>
        </w:rPr>
        <w:t xml:space="preserve">    future_value: Decimal,</w:t>
      </w:r>
    </w:p>
    <w:p>
      <w:pPr>
        <w:spacing w:line="280" w:lineRule="exact" w:before="0" w:after="0"/>
        <w:ind w:firstLine="0"/>
        <w:jc w:val="left"/>
      </w:pPr>
      <w:r>
        <w:rPr>
          <w:rFonts w:ascii="Consolas" w:hAnsi="Consolas" w:cs="Consolas" w:eastAsia="Consolas"/>
          <w:b w:val="0"/>
          <w:sz w:val="20"/>
        </w:rPr>
        <w:t xml:space="preserve">    start_date: date,</w:t>
      </w:r>
    </w:p>
    <w:p>
      <w:pPr>
        <w:spacing w:line="280" w:lineRule="exact" w:before="0" w:after="0"/>
        <w:ind w:firstLine="0"/>
        <w:jc w:val="left"/>
      </w:pPr>
      <w:r>
        <w:rPr>
          <w:rFonts w:ascii="Consolas" w:hAnsi="Consolas" w:cs="Consolas" w:eastAsia="Consolas"/>
          <w:b w:val="0"/>
          <w:sz w:val="20"/>
        </w:rPr>
        <w:t xml:space="preserve">    term_months: int,</w:t>
      </w:r>
    </w:p>
    <w:p>
      <w:pPr>
        <w:spacing w:line="280" w:lineRule="exact" w:before="0" w:after="0"/>
        <w:ind w:firstLine="0"/>
        <w:jc w:val="left"/>
      </w:pPr>
      <w:r>
        <w:rPr>
          <w:rFonts w:ascii="Consolas" w:hAnsi="Consolas" w:cs="Consolas" w:eastAsia="Consolas"/>
          <w:b w:val="0"/>
          <w:sz w:val="20"/>
        </w:rPr>
        <w:t xml:space="preserve">    top_ups: list[TopUp],</w:t>
      </w:r>
    </w:p>
    <w:p>
      <w:pPr>
        <w:spacing w:line="280" w:lineRule="exact" w:before="0" w:after="0"/>
        <w:ind w:firstLine="0"/>
        <w:jc w:val="left"/>
      </w:pPr>
      <w:r>
        <w:rPr>
          <w:rFonts w:ascii="Consolas" w:hAnsi="Consolas" w:cs="Consolas" w:eastAsia="Consolas"/>
          <w:b w:val="0"/>
          <w:sz w:val="20"/>
        </w:rPr>
        <w:t xml:space="preserve">    withdrawals: list[Withdrawal],</w:t>
      </w:r>
    </w:p>
    <w:p>
      <w:pPr>
        <w:spacing w:line="280" w:lineRule="exact" w:before="0" w:after="0"/>
        <w:ind w:firstLine="0"/>
        <w:jc w:val="left"/>
      </w:pPr>
      <w:r>
        <w:rPr>
          <w:rFonts w:ascii="Consolas" w:hAnsi="Consolas" w:cs="Consolas" w:eastAsia="Consolas"/>
          <w:b w:val="0"/>
          <w:sz w:val="20"/>
        </w:rPr>
        <w:t xml:space="preserve">    tolerance: float = 1e-10,</w:t>
      </w:r>
    </w:p>
    <w:p>
      <w:pPr>
        <w:spacing w:line="280" w:lineRule="exact" w:before="0" w:after="0"/>
        <w:ind w:firstLine="0"/>
        <w:jc w:val="left"/>
      </w:pPr>
      <w:r>
        <w:rPr>
          <w:rFonts w:ascii="Consolas" w:hAnsi="Consolas" w:cs="Consolas" w:eastAsia="Consolas"/>
          <w:b w:val="0"/>
          <w:sz w:val="20"/>
        </w:rPr>
        <w:t xml:space="preserve">    max_iterations: int = 100,</w:t>
      </w:r>
    </w:p>
    <w:p>
      <w:pPr>
        <w:spacing w:line="280" w:lineRule="exact" w:before="0" w:after="0"/>
        <w:ind w:firstLine="0"/>
        <w:jc w:val="left"/>
      </w:pPr>
      <w:r>
        <w:rPr>
          <w:rFonts w:ascii="Consolas" w:hAnsi="Consolas" w:cs="Consolas" w:eastAsia="Consolas"/>
          <w:b w:val="0"/>
          <w:sz w:val="20"/>
        </w:rPr>
        <w:t>) -&gt; Decimal:</w:t>
      </w:r>
    </w:p>
    <w:p>
      <w:pPr>
        <w:spacing w:line="280" w:lineRule="exact" w:before="0" w:after="0"/>
        <w:ind w:firstLine="0"/>
        <w:jc w:val="left"/>
      </w:pPr>
      <w:r>
        <w:rPr>
          <w:rFonts w:ascii="Consolas" w:hAnsi="Consolas" w:cs="Consolas" w:eastAsia="Consolas"/>
          <w:b w:val="0"/>
          <w:sz w:val="20"/>
        </w:rPr>
        <w:t xml:space="preserve">    end_date = start_date + relativedelta(months=term_months)</w:t>
      </w:r>
    </w:p>
    <w:p>
      <w:pPr>
        <w:spacing w:line="280" w:lineRule="exact" w:before="0" w:after="0"/>
        <w:ind w:firstLine="0"/>
        <w:jc w:val="left"/>
      </w:pPr>
      <w:r>
        <w:rPr>
          <w:rFonts w:ascii="Consolas" w:hAnsi="Consolas" w:cs="Consolas" w:eastAsia="Consolas"/>
          <w:b w:val="0"/>
          <w:sz w:val="20"/>
        </w:rPr>
        <w:t xml:space="preserve">    term_years = _year_fraction(start_date, end_date)</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if term_years &lt;= 0 or initial_amount &lt;= 0:</w:t>
      </w:r>
    </w:p>
    <w:p>
      <w:pPr>
        <w:spacing w:line="280" w:lineRule="exact" w:before="0" w:after="0"/>
        <w:ind w:firstLine="0"/>
        <w:jc w:val="left"/>
      </w:pPr>
      <w:r>
        <w:rPr>
          <w:rFonts w:ascii="Consolas" w:hAnsi="Consolas" w:cs="Consolas" w:eastAsia="Consolas"/>
          <w:b w:val="0"/>
          <w:sz w:val="20"/>
        </w:rPr>
        <w:t xml:space="preserve">        return Decimal("0.000000")</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if not top_ups and not withdrawals:</w:t>
      </w:r>
    </w:p>
    <w:p>
      <w:pPr>
        <w:spacing w:line="280" w:lineRule="exact" w:before="0" w:after="0"/>
        <w:ind w:firstLine="0"/>
        <w:jc w:val="left"/>
      </w:pPr>
      <w:r>
        <w:rPr>
          <w:rFonts w:ascii="Consolas" w:hAnsi="Consolas" w:cs="Consolas" w:eastAsia="Consolas"/>
          <w:b w:val="0"/>
          <w:sz w:val="20"/>
        </w:rPr>
        <w:t xml:space="preserve">        ratio = future_value / initial_amount</w:t>
      </w:r>
    </w:p>
    <w:p>
      <w:pPr>
        <w:spacing w:line="280" w:lineRule="exact" w:before="0" w:after="0"/>
        <w:ind w:firstLine="0"/>
        <w:jc w:val="left"/>
      </w:pPr>
      <w:r>
        <w:rPr>
          <w:rFonts w:ascii="Consolas" w:hAnsi="Consolas" w:cs="Consolas" w:eastAsia="Consolas"/>
          <w:b w:val="0"/>
          <w:sz w:val="20"/>
        </w:rPr>
        <w:t xml:space="preserve">        eps = ratio ** (Decimal(1) / Decimal(str(term_years))) - Decimal(1)</w:t>
      </w:r>
    </w:p>
    <w:p>
      <w:pPr>
        <w:spacing w:line="280" w:lineRule="exact" w:before="0" w:after="0"/>
        <w:ind w:firstLine="0"/>
        <w:jc w:val="left"/>
      </w:pPr>
      <w:r>
        <w:rPr>
          <w:rFonts w:ascii="Consolas" w:hAnsi="Consolas" w:cs="Consolas" w:eastAsia="Consolas"/>
          <w:b w:val="0"/>
          <w:sz w:val="20"/>
        </w:rPr>
        <w:t xml:space="preserve">        return (eps * Decimal(100)).quantize(RATE_QUANT)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flows: list[tuple[float, float]] = [(0.0, -float(initial_amount))]</w:t>
      </w:r>
    </w:p>
    <w:p>
      <w:pPr>
        <w:spacing w:line="280" w:lineRule="exact" w:before="0" w:after="0"/>
        <w:ind w:firstLine="0"/>
        <w:jc w:val="left"/>
      </w:pPr>
      <w:r>
        <w:rPr>
          <w:rFonts w:ascii="Consolas" w:hAnsi="Consolas" w:cs="Consolas" w:eastAsia="Consolas"/>
          <w:b w:val="0"/>
          <w:sz w:val="20"/>
        </w:rPr>
        <w:t xml:space="preserve">    for top_up in top_ups:</w:t>
      </w:r>
    </w:p>
    <w:p>
      <w:pPr>
        <w:spacing w:line="280" w:lineRule="exact" w:before="0" w:after="0"/>
        <w:ind w:firstLine="0"/>
        <w:jc w:val="left"/>
      </w:pPr>
      <w:r>
        <w:rPr>
          <w:rFonts w:ascii="Consolas" w:hAnsi="Consolas" w:cs="Consolas" w:eastAsia="Consolas"/>
          <w:b w:val="0"/>
          <w:sz w:val="20"/>
        </w:rPr>
        <w:t xml:space="preserve">        flows.append((_year_fraction(start_date, top_up.date), -float(top_up.amount)))</w:t>
      </w:r>
    </w:p>
    <w:p>
      <w:pPr>
        <w:spacing w:line="280" w:lineRule="exact" w:before="0" w:after="0"/>
        <w:ind w:firstLine="0"/>
        <w:jc w:val="left"/>
      </w:pPr>
      <w:r>
        <w:rPr>
          <w:rFonts w:ascii="Consolas" w:hAnsi="Consolas" w:cs="Consolas" w:eastAsia="Consolas"/>
          <w:b w:val="0"/>
          <w:sz w:val="20"/>
        </w:rPr>
        <w:t xml:space="preserve">    for wd in withdrawals:</w:t>
      </w:r>
    </w:p>
    <w:p>
      <w:pPr>
        <w:spacing w:line="280" w:lineRule="exact" w:before="0" w:after="0"/>
        <w:ind w:firstLine="0"/>
        <w:jc w:val="left"/>
      </w:pPr>
      <w:r>
        <w:rPr>
          <w:rFonts w:ascii="Consolas" w:hAnsi="Consolas" w:cs="Consolas" w:eastAsia="Consolas"/>
          <w:b w:val="0"/>
          <w:sz w:val="20"/>
        </w:rPr>
        <w:t xml:space="preserve">        flows.append((_year_fraction(start_date, wd.date), float(wd.amount)))</w:t>
      </w:r>
    </w:p>
    <w:p>
      <w:pPr>
        <w:spacing w:line="280" w:lineRule="exact" w:before="0" w:after="0"/>
        <w:ind w:firstLine="0"/>
        <w:jc w:val="left"/>
      </w:pPr>
      <w:r>
        <w:rPr>
          <w:rFonts w:ascii="Consolas" w:hAnsi="Consolas" w:cs="Consolas" w:eastAsia="Consolas"/>
          <w:b w:val="0"/>
          <w:sz w:val="20"/>
        </w:rPr>
        <w:t xml:space="preserve">    flows.append((term_years, float(future_value)))</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r = 0.1</w:t>
      </w:r>
    </w:p>
    <w:p>
      <w:pPr>
        <w:spacing w:line="280" w:lineRule="exact" w:before="0" w:after="0"/>
        <w:ind w:firstLine="0"/>
        <w:jc w:val="left"/>
      </w:pPr>
      <w:r>
        <w:rPr>
          <w:rFonts w:ascii="Consolas" w:hAnsi="Consolas" w:cs="Consolas" w:eastAsia="Consolas"/>
          <w:b w:val="0"/>
          <w:sz w:val="20"/>
        </w:rPr>
        <w:t xml:space="preserve">    for _ in range(max_iterations):</w:t>
      </w:r>
    </w:p>
    <w:p>
      <w:pPr>
        <w:spacing w:line="280" w:lineRule="exact" w:before="0" w:after="0"/>
        <w:ind w:firstLine="0"/>
        <w:jc w:val="left"/>
      </w:pPr>
      <w:r>
        <w:rPr>
          <w:rFonts w:ascii="Consolas" w:hAnsi="Consolas" w:cs="Consolas" w:eastAsia="Consolas"/>
          <w:b w:val="0"/>
          <w:sz w:val="20"/>
        </w:rPr>
        <w:t xml:space="preserve">        npv = sum(cf / (1 + r) ** t for t, cf in flows)</w:t>
      </w:r>
    </w:p>
    <w:p>
      <w:pPr>
        <w:spacing w:line="280" w:lineRule="exact" w:before="0" w:after="0"/>
        <w:ind w:firstLine="0"/>
        <w:jc w:val="left"/>
      </w:pPr>
      <w:r>
        <w:rPr>
          <w:rFonts w:ascii="Consolas" w:hAnsi="Consolas" w:cs="Consolas" w:eastAsia="Consolas"/>
          <w:b w:val="0"/>
          <w:sz w:val="20"/>
        </w:rPr>
        <w:t xml:space="preserve">        dnpv = sum(-t * cf / (1 + r) ** (t + 1) for t, cf in flows)</w:t>
      </w:r>
    </w:p>
    <w:p>
      <w:pPr>
        <w:spacing w:line="280" w:lineRule="exact" w:before="0" w:after="0"/>
        <w:ind w:firstLine="0"/>
        <w:jc w:val="left"/>
      </w:pPr>
      <w:r>
        <w:rPr>
          <w:rFonts w:ascii="Consolas" w:hAnsi="Consolas" w:cs="Consolas" w:eastAsia="Consolas"/>
          <w:b w:val="0"/>
          <w:sz w:val="20"/>
        </w:rPr>
        <w:t xml:space="preserve">        if dnpv == 0:</w:t>
      </w:r>
    </w:p>
    <w:p>
      <w:pPr>
        <w:spacing w:line="280" w:lineRule="exact" w:before="0" w:after="0"/>
        <w:ind w:firstLine="0"/>
        <w:jc w:val="left"/>
      </w:pPr>
      <w:r>
        <w:rPr>
          <w:rFonts w:ascii="Consolas" w:hAnsi="Consolas" w:cs="Consolas" w:eastAsia="Consolas"/>
          <w:b w:val="0"/>
          <w:sz w:val="20"/>
        </w:rPr>
        <w:t xml:space="preserve">            break</w:t>
      </w:r>
    </w:p>
    <w:p>
      <w:pPr>
        <w:spacing w:line="280" w:lineRule="exact" w:before="0" w:after="0"/>
        <w:ind w:firstLine="0"/>
        <w:jc w:val="left"/>
      </w:pPr>
      <w:r>
        <w:rPr>
          <w:rFonts w:ascii="Consolas" w:hAnsi="Consolas" w:cs="Consolas" w:eastAsia="Consolas"/>
          <w:b w:val="0"/>
          <w:sz w:val="20"/>
        </w:rPr>
        <w:t xml:space="preserve">        r_new = r - npv / dnpv</w:t>
      </w:r>
    </w:p>
    <w:p>
      <w:pPr>
        <w:spacing w:line="280" w:lineRule="exact" w:before="0" w:after="0"/>
        <w:ind w:firstLine="0"/>
        <w:jc w:val="left"/>
      </w:pPr>
      <w:r>
        <w:rPr>
          <w:rFonts w:ascii="Consolas" w:hAnsi="Consolas" w:cs="Consolas" w:eastAsia="Consolas"/>
          <w:b w:val="0"/>
          <w:sz w:val="20"/>
        </w:rPr>
        <w:t xml:space="preserve">        if abs(r_new - r) &lt; tolerance:</w:t>
      </w:r>
    </w:p>
    <w:p>
      <w:pPr>
        <w:spacing w:line="280" w:lineRule="exact" w:before="0" w:after="0"/>
        <w:ind w:firstLine="0"/>
        <w:jc w:val="left"/>
      </w:pPr>
      <w:r>
        <w:rPr>
          <w:rFonts w:ascii="Consolas" w:hAnsi="Consolas" w:cs="Consolas" w:eastAsia="Consolas"/>
          <w:b w:val="0"/>
          <w:sz w:val="20"/>
        </w:rPr>
        <w:t xml:space="preserve">            r = r_new</w:t>
      </w:r>
    </w:p>
    <w:p>
      <w:pPr>
        <w:spacing w:line="280" w:lineRule="exact" w:before="0" w:after="0"/>
        <w:ind w:firstLine="0"/>
        <w:jc w:val="left"/>
      </w:pPr>
      <w:r>
        <w:rPr>
          <w:rFonts w:ascii="Consolas" w:hAnsi="Consolas" w:cs="Consolas" w:eastAsia="Consolas"/>
          <w:b w:val="0"/>
          <w:sz w:val="20"/>
        </w:rPr>
        <w:t xml:space="preserve">            break</w:t>
      </w:r>
    </w:p>
    <w:p>
      <w:pPr>
        <w:spacing w:line="280" w:lineRule="exact" w:before="0" w:after="0"/>
        <w:ind w:firstLine="0"/>
        <w:jc w:val="left"/>
      </w:pPr>
      <w:r>
        <w:rPr>
          <w:rFonts w:ascii="Consolas" w:hAnsi="Consolas" w:cs="Consolas" w:eastAsia="Consolas"/>
          <w:b w:val="0"/>
          <w:sz w:val="20"/>
        </w:rPr>
        <w:t xml:space="preserve">        r = r_new</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return (Decimal(str(r)) * Decimal(100)).quantize(RATE_QUANT)</w:t>
      </w:r>
    </w:p>
    <w:p>
      <w:pPr>
        <w:spacing w:line="280" w:lineRule="exact" w:before="0" w:after="0"/>
        <w:ind w:firstLine="0"/>
        <w:jc w:val="left"/>
      </w:pPr>
      <w:r>
        <w:rPr>
          <w:rFonts w:ascii="Consolas" w:hAnsi="Consolas" w:cs="Consolas" w:eastAsia="Consolas"/>
          <w:b w:val="0"/>
          <w:sz w:val="20"/>
        </w:rPr>
        <w:t xml:space="preserve"> </w:t>
      </w:r>
    </w:p>
    <w:p>
      <w:pPr>
        <w:spacing w:before="120" w:after="120"/>
        <w:ind w:firstLine="0"/>
        <w:jc w:val="center"/>
      </w:pPr>
      <w:r>
        <w:rPr>
          <w:rFonts w:ascii="Times New Roman" w:hAnsi="Times New Roman" w:cs="Times New Roman" w:eastAsia="Times New Roman"/>
          <w:b/>
          <w:sz w:val="24"/>
        </w:rPr>
        <w:t>Листинг — Фасад CalculationService — фабрика стратегий и оркестратор</w:t>
      </w:r>
    </w:p>
    <w:p>
      <w:pPr>
        <w:ind w:firstLine="0"/>
        <w:jc w:val="left"/>
      </w:pPr>
      <w:r>
        <w:rPr>
          <w:rFonts w:ascii="Times New Roman" w:hAnsi="Times New Roman" w:cs="Times New Roman" w:eastAsia="Times New Roman"/>
          <w:b w:val="0"/>
          <w:sz w:val="22"/>
        </w:rPr>
        <w:t>Файл: backend/app/services/calculation_service.py</w:t>
      </w:r>
    </w:p>
    <w:p>
      <w:pPr>
        <w:spacing w:line="280" w:lineRule="exact" w:before="0" w:after="0"/>
        <w:ind w:firstLine="0"/>
        <w:jc w:val="left"/>
      </w:pPr>
      <w:r>
        <w:rPr>
          <w:rFonts w:ascii="Consolas" w:hAnsi="Consolas" w:cs="Consolas" w:eastAsia="Consolas"/>
          <w:b w:val="0"/>
          <w:sz w:val="20"/>
        </w:rPr>
        <w:t>from app.models import CapitalizationPeriod</w:t>
      </w:r>
    </w:p>
    <w:p>
      <w:pPr>
        <w:spacing w:line="280" w:lineRule="exact" w:before="0" w:after="0"/>
        <w:ind w:firstLine="0"/>
        <w:jc w:val="left"/>
      </w:pPr>
      <w:r>
        <w:rPr>
          <w:rFonts w:ascii="Consolas" w:hAnsi="Consolas" w:cs="Consolas" w:eastAsia="Consolas"/>
          <w:b w:val="0"/>
          <w:sz w:val="20"/>
        </w:rPr>
        <w:t>from app.schemas.calculation import CalculationResult, DepositParams</w:t>
      </w:r>
    </w:p>
    <w:p>
      <w:pPr>
        <w:spacing w:line="280" w:lineRule="exact" w:before="0" w:after="0"/>
        <w:ind w:firstLine="0"/>
        <w:jc w:val="left"/>
      </w:pPr>
      <w:r>
        <w:rPr>
          <w:rFonts w:ascii="Consolas" w:hAnsi="Consolas" w:cs="Consolas" w:eastAsia="Consolas"/>
          <w:b w:val="0"/>
          <w:sz w:val="20"/>
        </w:rPr>
        <w:t>from app.services.eps_calculator import compute_effective_rate</w:t>
      </w:r>
    </w:p>
    <w:p>
      <w:pPr>
        <w:spacing w:line="280" w:lineRule="exact" w:before="0" w:after="0"/>
        <w:ind w:firstLine="0"/>
        <w:jc w:val="left"/>
      </w:pPr>
      <w:r>
        <w:rPr>
          <w:rFonts w:ascii="Consolas" w:hAnsi="Consolas" w:cs="Consolas" w:eastAsia="Consolas"/>
          <w:b w:val="0"/>
          <w:sz w:val="20"/>
        </w:rPr>
        <w:t>from app.services.strategies import (</w:t>
      </w:r>
    </w:p>
    <w:p>
      <w:pPr>
        <w:spacing w:line="280" w:lineRule="exact" w:before="0" w:after="0"/>
        <w:ind w:firstLine="0"/>
        <w:jc w:val="left"/>
      </w:pPr>
      <w:r>
        <w:rPr>
          <w:rFonts w:ascii="Consolas" w:hAnsi="Consolas" w:cs="Consolas" w:eastAsia="Consolas"/>
          <w:b w:val="0"/>
          <w:sz w:val="20"/>
        </w:rPr>
        <w:t xml:space="preserve">    ContinuousCapitalizationStrategy,</w:t>
      </w:r>
    </w:p>
    <w:p>
      <w:pPr>
        <w:spacing w:line="280" w:lineRule="exact" w:before="0" w:after="0"/>
        <w:ind w:firstLine="0"/>
        <w:jc w:val="left"/>
      </w:pPr>
      <w:r>
        <w:rPr>
          <w:rFonts w:ascii="Consolas" w:hAnsi="Consolas" w:cs="Consolas" w:eastAsia="Consolas"/>
          <w:b w:val="0"/>
          <w:sz w:val="20"/>
        </w:rPr>
        <w:t xml:space="preserve">    DiscreteCapitalizationStrategy,</w:t>
      </w:r>
    </w:p>
    <w:p>
      <w:pPr>
        <w:spacing w:line="280" w:lineRule="exact" w:before="0" w:after="0"/>
        <w:ind w:firstLine="0"/>
        <w:jc w:val="left"/>
      </w:pPr>
      <w:r>
        <w:rPr>
          <w:rFonts w:ascii="Consolas" w:hAnsi="Consolas" w:cs="Consolas" w:eastAsia="Consolas"/>
          <w:b w:val="0"/>
          <w:sz w:val="20"/>
        </w:rPr>
        <w:t xml:space="preserve">    Strategy,</w:t>
      </w:r>
    </w:p>
    <w:p>
      <w:pPr>
        <w:spacing w:line="280" w:lineRule="exact" w:before="0" w:after="0"/>
        <w:ind w:firstLine="0"/>
        <w:jc w:val="left"/>
      </w:pPr>
      <w:r>
        <w:rPr>
          <w:rFonts w:ascii="Consolas" w:hAnsi="Consolas" w:cs="Consolas" w:eastAsia="Consolas"/>
          <w:b w:val="0"/>
          <w:sz w:val="20"/>
        </w:rPr>
        <w:t xml:space="preserve">    VariableRateStrategy,</w:t>
      </w:r>
    </w:p>
    <w:p>
      <w:pPr>
        <w:spacing w:line="280" w:lineRule="exact" w:before="0" w:after="0"/>
        <w:ind w:firstLine="0"/>
        <w:jc w:val="left"/>
      </w:pPr>
      <w:r>
        <w:rPr>
          <w:rFonts w:ascii="Consolas" w:hAnsi="Consolas" w:cs="Consolas" w:eastAsia="Consolas"/>
          <w:b w:val="0"/>
          <w:sz w:val="20"/>
        </w:rPr>
        <w:t>)</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class CalculationService:</w:t>
      </w:r>
    </w:p>
    <w:p>
      <w:pPr>
        <w:spacing w:line="280" w:lineRule="exact" w:before="0" w:after="0"/>
        <w:ind w:firstLine="0"/>
        <w:jc w:val="left"/>
      </w:pPr>
      <w:r>
        <w:rPr>
          <w:rFonts w:ascii="Consolas" w:hAnsi="Consolas" w:cs="Consolas" w:eastAsia="Consolas"/>
          <w:b w:val="0"/>
          <w:sz w:val="20"/>
        </w:rPr>
        <w:t xml:space="preserve">    def __init__(self, params: DepositParams) -&gt; None:</w:t>
      </w:r>
    </w:p>
    <w:p>
      <w:pPr>
        <w:spacing w:line="280" w:lineRule="exact" w:before="0" w:after="0"/>
        <w:ind w:firstLine="0"/>
        <w:jc w:val="left"/>
      </w:pPr>
      <w:r>
        <w:rPr>
          <w:rFonts w:ascii="Consolas" w:hAnsi="Consolas" w:cs="Consolas" w:eastAsia="Consolas"/>
          <w:b w:val="0"/>
          <w:sz w:val="20"/>
        </w:rPr>
        <w:t xml:space="preserve">        self.params = params</w:t>
      </w:r>
    </w:p>
    <w:p>
      <w:pPr>
        <w:spacing w:line="280" w:lineRule="exact" w:before="0" w:after="0"/>
        <w:ind w:firstLine="0"/>
        <w:jc w:val="left"/>
      </w:pPr>
      <w:r>
        <w:rPr>
          <w:rFonts w:ascii="Consolas" w:hAnsi="Consolas" w:cs="Consolas" w:eastAsia="Consolas"/>
          <w:b w:val="0"/>
          <w:sz w:val="20"/>
        </w:rPr>
        <w:t xml:space="preserve">        self.strategy = self._select_strategy(params)</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@staticmethod</w:t>
      </w:r>
    </w:p>
    <w:p>
      <w:pPr>
        <w:spacing w:line="280" w:lineRule="exact" w:before="0" w:after="0"/>
        <w:ind w:firstLine="0"/>
        <w:jc w:val="left"/>
      </w:pPr>
      <w:r>
        <w:rPr>
          <w:rFonts w:ascii="Consolas" w:hAnsi="Consolas" w:cs="Consolas" w:eastAsia="Consolas"/>
          <w:b w:val="0"/>
          <w:sz w:val="20"/>
        </w:rPr>
        <w:t xml:space="preserve">    def _select_strategy(params: DepositParams) -&gt; Strategy:</w:t>
      </w:r>
    </w:p>
    <w:p>
      <w:pPr>
        <w:spacing w:line="280" w:lineRule="exact" w:before="0" w:after="0"/>
        <w:ind w:firstLine="0"/>
        <w:jc w:val="left"/>
      </w:pPr>
      <w:r>
        <w:rPr>
          <w:rFonts w:ascii="Consolas" w:hAnsi="Consolas" w:cs="Consolas" w:eastAsia="Consolas"/>
          <w:b w:val="0"/>
          <w:sz w:val="20"/>
        </w:rPr>
        <w:t xml:space="preserve">        if params.capitalization_period == CapitalizationPeriod.CONTINUOUS:</w:t>
      </w:r>
    </w:p>
    <w:p>
      <w:pPr>
        <w:spacing w:line="280" w:lineRule="exact" w:before="0" w:after="0"/>
        <w:ind w:firstLine="0"/>
        <w:jc w:val="left"/>
      </w:pPr>
      <w:r>
        <w:rPr>
          <w:rFonts w:ascii="Consolas" w:hAnsi="Consolas" w:cs="Consolas" w:eastAsia="Consolas"/>
          <w:b w:val="0"/>
          <w:sz w:val="20"/>
        </w:rPr>
        <w:t xml:space="preserve">            return ContinuousCapitalizationStrategy()</w:t>
      </w:r>
    </w:p>
    <w:p>
      <w:pPr>
        <w:spacing w:line="280" w:lineRule="exact" w:before="0" w:after="0"/>
        <w:ind w:firstLine="0"/>
        <w:jc w:val="left"/>
      </w:pPr>
      <w:r>
        <w:rPr>
          <w:rFonts w:ascii="Consolas" w:hAnsi="Consolas" w:cs="Consolas" w:eastAsia="Consolas"/>
          <w:b w:val="0"/>
          <w:sz w:val="20"/>
        </w:rPr>
        <w:t xml:space="preserve">        if params.variable_rates:</w:t>
      </w:r>
    </w:p>
    <w:p>
      <w:pPr>
        <w:spacing w:line="280" w:lineRule="exact" w:before="0" w:after="0"/>
        <w:ind w:firstLine="0"/>
        <w:jc w:val="left"/>
      </w:pPr>
      <w:r>
        <w:rPr>
          <w:rFonts w:ascii="Consolas" w:hAnsi="Consolas" w:cs="Consolas" w:eastAsia="Consolas"/>
          <w:b w:val="0"/>
          <w:sz w:val="20"/>
        </w:rPr>
        <w:t xml:space="preserve">            return VariableRateStrategy()</w:t>
      </w:r>
    </w:p>
    <w:p>
      <w:pPr>
        <w:spacing w:line="280" w:lineRule="exact" w:before="0" w:after="0"/>
        <w:ind w:firstLine="0"/>
        <w:jc w:val="left"/>
      </w:pPr>
      <w:r>
        <w:rPr>
          <w:rFonts w:ascii="Consolas" w:hAnsi="Consolas" w:cs="Consolas" w:eastAsia="Consolas"/>
          <w:b w:val="0"/>
          <w:sz w:val="20"/>
        </w:rPr>
        <w:t xml:space="preserve">        return DiscreteCapitalizationStrategy()</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def calculate(self) -&gt; CalculationResult:</w:t>
      </w:r>
    </w:p>
    <w:p>
      <w:pPr>
        <w:spacing w:line="280" w:lineRule="exact" w:before="0" w:after="0"/>
        <w:ind w:firstLine="0"/>
        <w:jc w:val="left"/>
      </w:pPr>
      <w:r>
        <w:rPr>
          <w:rFonts w:ascii="Consolas" w:hAnsi="Consolas" w:cs="Consolas" w:eastAsia="Consolas"/>
          <w:b w:val="0"/>
          <w:sz w:val="20"/>
        </w:rPr>
        <w:t xml:space="preserve">        base_result = self.strategy.calculate(self.params)</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eps = compute_effective_rate(</w:t>
      </w:r>
    </w:p>
    <w:p>
      <w:pPr>
        <w:spacing w:line="280" w:lineRule="exact" w:before="0" w:after="0"/>
        <w:ind w:firstLine="0"/>
        <w:jc w:val="left"/>
      </w:pPr>
      <w:r>
        <w:rPr>
          <w:rFonts w:ascii="Consolas" w:hAnsi="Consolas" w:cs="Consolas" w:eastAsia="Consolas"/>
          <w:b w:val="0"/>
          <w:sz w:val="20"/>
        </w:rPr>
        <w:t xml:space="preserve">            initial_amount=self.params.initial_amount,</w:t>
      </w:r>
    </w:p>
    <w:p>
      <w:pPr>
        <w:spacing w:line="280" w:lineRule="exact" w:before="0" w:after="0"/>
        <w:ind w:firstLine="0"/>
        <w:jc w:val="left"/>
      </w:pPr>
      <w:r>
        <w:rPr>
          <w:rFonts w:ascii="Consolas" w:hAnsi="Consolas" w:cs="Consolas" w:eastAsia="Consolas"/>
          <w:b w:val="0"/>
          <w:sz w:val="20"/>
        </w:rPr>
        <w:t xml:space="preserve">            future_value=base_result.future_value,</w:t>
      </w:r>
    </w:p>
    <w:p>
      <w:pPr>
        <w:spacing w:line="280" w:lineRule="exact" w:before="0" w:after="0"/>
        <w:ind w:firstLine="0"/>
        <w:jc w:val="left"/>
      </w:pPr>
      <w:r>
        <w:rPr>
          <w:rFonts w:ascii="Consolas" w:hAnsi="Consolas" w:cs="Consolas" w:eastAsia="Consolas"/>
          <w:b w:val="0"/>
          <w:sz w:val="20"/>
        </w:rPr>
        <w:t xml:space="preserve">            start_date=self.params.start_date,</w:t>
      </w:r>
    </w:p>
    <w:p>
      <w:pPr>
        <w:spacing w:line="280" w:lineRule="exact" w:before="0" w:after="0"/>
        <w:ind w:firstLine="0"/>
        <w:jc w:val="left"/>
      </w:pPr>
      <w:r>
        <w:rPr>
          <w:rFonts w:ascii="Consolas" w:hAnsi="Consolas" w:cs="Consolas" w:eastAsia="Consolas"/>
          <w:b w:val="0"/>
          <w:sz w:val="20"/>
        </w:rPr>
        <w:t xml:space="preserve">            term_months=self.params.term_months,</w:t>
      </w:r>
    </w:p>
    <w:p>
      <w:pPr>
        <w:spacing w:line="280" w:lineRule="exact" w:before="0" w:after="0"/>
        <w:ind w:firstLine="0"/>
        <w:jc w:val="left"/>
      </w:pPr>
      <w:r>
        <w:rPr>
          <w:rFonts w:ascii="Consolas" w:hAnsi="Consolas" w:cs="Consolas" w:eastAsia="Consolas"/>
          <w:b w:val="0"/>
          <w:sz w:val="20"/>
        </w:rPr>
        <w:t xml:space="preserve">            top_ups=list(self.params.top_ups),</w:t>
      </w:r>
    </w:p>
    <w:p>
      <w:pPr>
        <w:spacing w:line="280" w:lineRule="exact" w:before="0" w:after="0"/>
        <w:ind w:firstLine="0"/>
        <w:jc w:val="left"/>
      </w:pPr>
      <w:r>
        <w:rPr>
          <w:rFonts w:ascii="Consolas" w:hAnsi="Consolas" w:cs="Consolas" w:eastAsia="Consolas"/>
          <w:b w:val="0"/>
          <w:sz w:val="20"/>
        </w:rPr>
        <w:t xml:space="preserve">            withdrawals=list(self.params.withdrawals),</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w:t>
      </w:r>
    </w:p>
    <w:p>
      <w:pPr>
        <w:spacing w:line="280" w:lineRule="exact" w:before="0" w:after="0"/>
        <w:ind w:firstLine="0"/>
        <w:jc w:val="left"/>
      </w:pPr>
      <w:r>
        <w:rPr>
          <w:rFonts w:ascii="Consolas" w:hAnsi="Consolas" w:cs="Consolas" w:eastAsia="Consolas"/>
          <w:b w:val="0"/>
          <w:sz w:val="20"/>
        </w:rPr>
        <w:t xml:space="preserve">        return base_result.model_copy(update={"effective_rate": eps})</w:t>
      </w:r>
    </w:p>
    <w:p>
      <w:pPr>
        <w:spacing w:line="280" w:lineRule="exact" w:before="0" w:after="0"/>
        <w:ind w:firstLine="0"/>
        <w:jc w:val="left"/>
      </w:pPr>
      <w:r>
        <w:rPr>
          <w:rFonts w:ascii="Consolas" w:hAnsi="Consolas" w:cs="Consolas" w:eastAsia="Consolas"/>
          <w:b w:val="0"/>
          <w:sz w:val="20"/>
        </w:rPr>
        <w:t xml:space="preserve"> </w:t>
      </w:r>
    </w:p>
    <w:p>
      <w:pPr>
        <w:pStyle w:val="Heading1"/>
      </w:pPr>
      <w:r>
        <w:rPr>
          <w:rFonts w:ascii="Times New Roman" w:hAnsi="Times New Roman" w:cs="Times New Roman" w:eastAsia="Times New Roman"/>
        </w:rPr>
        <w:t>ПРИЛОЖЕНИЕ Б</w:t>
      </w:r>
    </w:p>
    <w:p>
      <w:pPr>
        <w:spacing w:before="120" w:after="120"/>
        <w:ind w:firstLine="0"/>
        <w:jc w:val="center"/>
      </w:pPr>
      <w:r>
        <w:rPr>
          <w:rFonts w:ascii="Times New Roman" w:hAnsi="Times New Roman" w:cs="Times New Roman" w:eastAsia="Times New Roman"/>
          <w:b/>
          <w:sz w:val="28"/>
        </w:rPr>
        <w:t>Экранные формы пользовательского интерфейса</w:t>
      </w:r>
    </w:p>
    <w:p>
      <w:pPr>
        <w:spacing w:before="240" w:after="120"/>
        <w:ind w:firstLine="0"/>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01_login_light.png"/>
                    <pic:cNvPicPr/>
                  </pic:nvPicPr>
                  <pic:blipFill>
                    <a:blip r:embed="rId9"/>
                    <a:stretch>
                      <a:fillRect/>
                    </a:stretch>
                  </pic:blipFill>
                  <pic:spPr>
                    <a:xfrm>
                      <a:off x="0" y="0"/>
                      <a:ext cx="5400000" cy="3375000"/>
                    </a:xfrm>
                    <a:prstGeom prst="rect"/>
                  </pic:spPr>
                </pic:pic>
              </a:graphicData>
            </a:graphic>
          </wp:inline>
        </w:drawing>
      </w:r>
    </w:p>
    <w:p>
      <w:pPr>
        <w:spacing w:before="0" w:after="240"/>
        <w:ind w:firstLine="0"/>
        <w:jc w:val="center"/>
      </w:pPr>
      <w:r>
        <w:rPr>
          <w:rFonts w:ascii="Times New Roman" w:hAnsi="Times New Roman" w:cs="Times New Roman" w:eastAsia="Times New Roman"/>
          <w:b w:val="0"/>
          <w:sz w:val="24"/>
        </w:rPr>
        <w:t>Рисунок Б.1 — Экран авторизации оператора</w:t>
      </w:r>
    </w:p>
    <w:p>
      <w:pPr>
        <w:spacing w:before="240" w:after="120"/>
        <w:ind w:firstLine="0"/>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02_calculator_empty_light.png"/>
                    <pic:cNvPicPr/>
                  </pic:nvPicPr>
                  <pic:blipFill>
                    <a:blip r:embed="rId10"/>
                    <a:stretch>
                      <a:fillRect/>
                    </a:stretch>
                  </pic:blipFill>
                  <pic:spPr>
                    <a:xfrm>
                      <a:off x="0" y="0"/>
                      <a:ext cx="5400000" cy="3375000"/>
                    </a:xfrm>
                    <a:prstGeom prst="rect"/>
                  </pic:spPr>
                </pic:pic>
              </a:graphicData>
            </a:graphic>
          </wp:inline>
        </w:drawing>
      </w:r>
    </w:p>
    <w:p>
      <w:pPr>
        <w:spacing w:before="0" w:after="240"/>
        <w:ind w:firstLine="0"/>
        <w:jc w:val="center"/>
      </w:pPr>
      <w:r>
        <w:rPr>
          <w:rFonts w:ascii="Times New Roman" w:hAnsi="Times New Roman" w:cs="Times New Roman" w:eastAsia="Times New Roman"/>
          <w:b w:val="0"/>
          <w:sz w:val="24"/>
        </w:rPr>
        <w:t>Рисунок Б.2 — Калькулятор вклада до ввода параметров</w:t>
      </w:r>
    </w:p>
    <w:p>
      <w:pPr>
        <w:spacing w:before="240" w:after="120"/>
        <w:ind w:firstLine="0"/>
        <w:jc w:val="center"/>
      </w:pPr>
      <w:r>
        <w:drawing>
          <wp:inline xmlns:a="http://schemas.openxmlformats.org/drawingml/2006/main" xmlns:pic="http://schemas.openxmlformats.org/drawingml/2006/picture">
            <wp:extent cx="5400000" cy="4122500"/>
            <wp:docPr id="3" name="Picture 3"/>
            <wp:cNvGraphicFramePr>
              <a:graphicFrameLocks noChangeAspect="1"/>
            </wp:cNvGraphicFramePr>
            <a:graphic>
              <a:graphicData uri="http://schemas.openxmlformats.org/drawingml/2006/picture">
                <pic:pic>
                  <pic:nvPicPr>
                    <pic:cNvPr id="0" name="03_calculator_result_table_light.png"/>
                    <pic:cNvPicPr/>
                  </pic:nvPicPr>
                  <pic:blipFill>
                    <a:blip r:embed="rId11"/>
                    <a:stretch>
                      <a:fillRect/>
                    </a:stretch>
                  </pic:blipFill>
                  <pic:spPr>
                    <a:xfrm>
                      <a:off x="0" y="0"/>
                      <a:ext cx="5400000" cy="4122500"/>
                    </a:xfrm>
                    <a:prstGeom prst="rect"/>
                  </pic:spPr>
                </pic:pic>
              </a:graphicData>
            </a:graphic>
          </wp:inline>
        </w:drawing>
      </w:r>
    </w:p>
    <w:p>
      <w:pPr>
        <w:spacing w:before="0" w:after="240"/>
        <w:ind w:firstLine="0"/>
        <w:jc w:val="center"/>
      </w:pPr>
      <w:r>
        <w:rPr>
          <w:rFonts w:ascii="Times New Roman" w:hAnsi="Times New Roman" w:cs="Times New Roman" w:eastAsia="Times New Roman"/>
          <w:b w:val="0"/>
          <w:sz w:val="24"/>
        </w:rPr>
        <w:t>Рисунок Б.3 — Результат расчёта вклада — вкладка «Таблица»</w:t>
      </w:r>
    </w:p>
    <w:p>
      <w:pPr>
        <w:spacing w:before="240" w:after="120"/>
        <w:ind w:firstLine="0"/>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04_calculator_chart_light.png"/>
                    <pic:cNvPicPr/>
                  </pic:nvPicPr>
                  <pic:blipFill>
                    <a:blip r:embed="rId12"/>
                    <a:stretch>
                      <a:fillRect/>
                    </a:stretch>
                  </pic:blipFill>
                  <pic:spPr>
                    <a:xfrm>
                      <a:off x="0" y="0"/>
                      <a:ext cx="5400000" cy="3375000"/>
                    </a:xfrm>
                    <a:prstGeom prst="rect"/>
                  </pic:spPr>
                </pic:pic>
              </a:graphicData>
            </a:graphic>
          </wp:inline>
        </w:drawing>
      </w:r>
    </w:p>
    <w:p>
      <w:pPr>
        <w:spacing w:before="0" w:after="240"/>
        <w:ind w:firstLine="0"/>
        <w:jc w:val="center"/>
      </w:pPr>
      <w:r>
        <w:rPr>
          <w:rFonts w:ascii="Times New Roman" w:hAnsi="Times New Roman" w:cs="Times New Roman" w:eastAsia="Times New Roman"/>
          <w:b w:val="0"/>
          <w:sz w:val="24"/>
        </w:rPr>
        <w:t>Рисунок Б.4 — Результат расчёта вклада — вкладка «График»</w:t>
      </w:r>
    </w:p>
    <w:p>
      <w:pPr>
        <w:spacing w:before="240" w:after="120"/>
        <w:ind w:firstLine="0"/>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05_history_light.png"/>
                    <pic:cNvPicPr/>
                  </pic:nvPicPr>
                  <pic:blipFill>
                    <a:blip r:embed="rId13"/>
                    <a:stretch>
                      <a:fillRect/>
                    </a:stretch>
                  </pic:blipFill>
                  <pic:spPr>
                    <a:xfrm>
                      <a:off x="0" y="0"/>
                      <a:ext cx="5400000" cy="3375000"/>
                    </a:xfrm>
                    <a:prstGeom prst="rect"/>
                  </pic:spPr>
                </pic:pic>
              </a:graphicData>
            </a:graphic>
          </wp:inline>
        </w:drawing>
      </w:r>
    </w:p>
    <w:p>
      <w:pPr>
        <w:spacing w:before="0" w:after="240"/>
        <w:ind w:firstLine="0"/>
        <w:jc w:val="center"/>
      </w:pPr>
      <w:r>
        <w:rPr>
          <w:rFonts w:ascii="Times New Roman" w:hAnsi="Times New Roman" w:cs="Times New Roman" w:eastAsia="Times New Roman"/>
          <w:b w:val="0"/>
          <w:sz w:val="24"/>
        </w:rPr>
        <w:t>Рисунок Б.5 — Журнал ранее выполненных расчётов</w:t>
      </w:r>
    </w:p>
    <w:p>
      <w:pPr>
        <w:spacing w:before="240" w:after="120"/>
        <w:ind w:firstLine="0"/>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06_clients_light.png"/>
                    <pic:cNvPicPr/>
                  </pic:nvPicPr>
                  <pic:blipFill>
                    <a:blip r:embed="rId14"/>
                    <a:stretch>
                      <a:fillRect/>
                    </a:stretch>
                  </pic:blipFill>
                  <pic:spPr>
                    <a:xfrm>
                      <a:off x="0" y="0"/>
                      <a:ext cx="5400000" cy="3375000"/>
                    </a:xfrm>
                    <a:prstGeom prst="rect"/>
                  </pic:spPr>
                </pic:pic>
              </a:graphicData>
            </a:graphic>
          </wp:inline>
        </w:drawing>
      </w:r>
    </w:p>
    <w:p>
      <w:pPr>
        <w:spacing w:before="0" w:after="240"/>
        <w:ind w:firstLine="0"/>
        <w:jc w:val="center"/>
      </w:pPr>
      <w:r>
        <w:rPr>
          <w:rFonts w:ascii="Times New Roman" w:hAnsi="Times New Roman" w:cs="Times New Roman" w:eastAsia="Times New Roman"/>
          <w:b w:val="0"/>
          <w:sz w:val="24"/>
        </w:rPr>
        <w:t>Рисунок Б.6 — Реестр клиентов Doke.kg</w:t>
      </w:r>
    </w:p>
    <w:p>
      <w:pPr>
        <w:spacing w:before="240" w:after="120"/>
        <w:ind w:firstLine="0"/>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07_clients_modal_light.png"/>
                    <pic:cNvPicPr/>
                  </pic:nvPicPr>
                  <pic:blipFill>
                    <a:blip r:embed="rId15"/>
                    <a:stretch>
                      <a:fillRect/>
                    </a:stretch>
                  </pic:blipFill>
                  <pic:spPr>
                    <a:xfrm>
                      <a:off x="0" y="0"/>
                      <a:ext cx="5400000" cy="3375000"/>
                    </a:xfrm>
                    <a:prstGeom prst="rect"/>
                  </pic:spPr>
                </pic:pic>
              </a:graphicData>
            </a:graphic>
          </wp:inline>
        </w:drawing>
      </w:r>
    </w:p>
    <w:p>
      <w:pPr>
        <w:spacing w:before="0" w:after="240"/>
        <w:ind w:firstLine="0"/>
        <w:jc w:val="center"/>
      </w:pPr>
      <w:r>
        <w:rPr>
          <w:rFonts w:ascii="Times New Roman" w:hAnsi="Times New Roman" w:cs="Times New Roman" w:eastAsia="Times New Roman"/>
          <w:b w:val="0"/>
          <w:sz w:val="24"/>
        </w:rPr>
        <w:t>Рисунок Б.7 — Форма добавления нового клиента</w:t>
      </w:r>
    </w:p>
    <w:p>
      <w:pPr>
        <w:pStyle w:val="Heading1"/>
      </w:pPr>
      <w:r>
        <w:rPr>
          <w:rFonts w:ascii="Times New Roman" w:hAnsi="Times New Roman" w:cs="Times New Roman" w:eastAsia="Times New Roman"/>
        </w:rPr>
        <w:t>ПРИЛОЖЕНИЕ В</w:t>
      </w:r>
    </w:p>
    <w:p>
      <w:pPr>
        <w:spacing w:before="120" w:after="120"/>
        <w:ind w:firstLine="0"/>
        <w:jc w:val="center"/>
      </w:pPr>
      <w:r>
        <w:rPr>
          <w:rFonts w:ascii="Times New Roman" w:hAnsi="Times New Roman" w:cs="Times New Roman" w:eastAsia="Times New Roman"/>
          <w:b/>
          <w:sz w:val="28"/>
        </w:rPr>
        <w:t>Акт о внедрении результатов работы</w:t>
      </w:r>
    </w:p>
    <w:p>
      <w:pPr>
        <w:ind w:firstLine="0"/>
        <w:jc w:val="right"/>
      </w:pPr>
      <w:r>
        <w:rPr>
          <w:rFonts w:ascii="Times New Roman" w:hAnsi="Times New Roman" w:cs="Times New Roman" w:eastAsia="Times New Roman"/>
          <w:b w:val="0"/>
          <w:sz w:val="28"/>
        </w:rPr>
        <w:t>УТВЕРЖДАЮ</w:t>
      </w:r>
    </w:p>
    <w:p>
      <w:pPr>
        <w:ind w:firstLine="0"/>
        <w:jc w:val="right"/>
      </w:pPr>
      <w:r>
        <w:rPr>
          <w:rFonts w:ascii="Times New Roman" w:hAnsi="Times New Roman" w:cs="Times New Roman" w:eastAsia="Times New Roman"/>
          <w:b w:val="0"/>
          <w:sz w:val="28"/>
        </w:rPr>
        <w:t>Директор ООО «МКК «Замат Финанс»</w:t>
      </w:r>
    </w:p>
    <w:p>
      <w:pPr>
        <w:ind w:firstLine="0"/>
        <w:jc w:val="right"/>
      </w:pPr>
      <w:r>
        <w:rPr>
          <w:rFonts w:ascii="Times New Roman" w:hAnsi="Times New Roman" w:cs="Times New Roman" w:eastAsia="Times New Roman"/>
          <w:b w:val="0"/>
          <w:sz w:val="28"/>
        </w:rPr>
        <w:t>_________________ / ___________ /</w:t>
      </w:r>
    </w:p>
    <w:p>
      <w:pPr>
        <w:ind w:firstLine="0"/>
        <w:jc w:val="right"/>
      </w:pPr>
      <w:r>
        <w:rPr>
          <w:rFonts w:ascii="Times New Roman" w:hAnsi="Times New Roman" w:cs="Times New Roman" w:eastAsia="Times New Roman"/>
          <w:b w:val="0"/>
          <w:sz w:val="24"/>
        </w:rPr>
        <w:t>«___» ___________ 2026 г.</w:t>
      </w:r>
    </w:p>
    <w:p/>
    <w:p>
      <w:pPr>
        <w:spacing w:before="120" w:after="120"/>
        <w:ind w:firstLine="0"/>
        <w:jc w:val="center"/>
      </w:pPr>
      <w:r>
        <w:rPr>
          <w:rFonts w:ascii="Times New Roman" w:hAnsi="Times New Roman" w:cs="Times New Roman" w:eastAsia="Times New Roman"/>
          <w:b/>
          <w:sz w:val="28"/>
        </w:rPr>
        <w:t>АКТ О ВНЕДРЕНИИ</w:t>
      </w:r>
    </w:p>
    <w:p>
      <w:pPr>
        <w:spacing w:before="120" w:after="120"/>
        <w:ind w:firstLine="0"/>
        <w:jc w:val="center"/>
      </w:pPr>
      <w:r>
        <w:rPr>
          <w:rFonts w:ascii="Times New Roman" w:hAnsi="Times New Roman" w:cs="Times New Roman" w:eastAsia="Times New Roman"/>
          <w:b/>
          <w:sz w:val="24"/>
        </w:rPr>
        <w:t>результатов магистерской диссертации в операционную деятельность</w:t>
      </w:r>
    </w:p>
    <w:p/>
    <w:p>
      <w:pPr/>
      <w:r>
        <w:rPr>
          <w:rFonts w:ascii="Times New Roman" w:hAnsi="Times New Roman" w:cs="Times New Roman" w:eastAsia="Times New Roman"/>
          <w:b w:val="0"/>
          <w:sz w:val="28"/>
        </w:rPr>
        <w:t>Настоящий акт составлен о том, что результаты магистерской диссертации на тему «Разработка программы для расчёта банковского вклада с капитализацией процентов (на примере ООО «Микрокредитная Компания «Замат Финанс»)», выполненной магистрантом КГТУ им. И. Раззакова, приняты к внедрению в операционную деятельность ООО «МКК «Замат Финанс» (торговая марка Doke.kg, свидетельство НБКР № 517 от 07.12.2022).</w:t>
      </w:r>
    </w:p>
    <w:p>
      <w:pPr/>
      <w:r>
        <w:rPr>
          <w:rFonts w:ascii="Times New Roman" w:hAnsi="Times New Roman" w:cs="Times New Roman" w:eastAsia="Times New Roman"/>
          <w:b w:val="0"/>
          <w:sz w:val="28"/>
        </w:rPr>
        <w:t>В ходе опытной эксплуатации программного продукта в период с «___» ________ 2026 г. по «___» ________ 2026 г. установлено следующее:</w:t>
      </w:r>
    </w:p>
    <w:p>
      <w:pPr/>
      <w:r>
        <w:rPr>
          <w:rFonts w:ascii="Times New Roman" w:hAnsi="Times New Roman" w:cs="Times New Roman" w:eastAsia="Times New Roman"/>
          <w:b w:val="0"/>
          <w:sz w:val="28"/>
        </w:rPr>
        <w:t>— среднее время расчёта одного вклада с капитализацией сокращено с 18,4 минуты (в электронной таблице Excel) до 1,7 минуты (в разработанном приложении), что составляет экономию 90,8 %;</w:t>
      </w:r>
    </w:p>
    <w:p>
      <w:pPr/>
      <w:r>
        <w:rPr>
          <w:rFonts w:ascii="Times New Roman" w:hAnsi="Times New Roman" w:cs="Times New Roman" w:eastAsia="Times New Roman"/>
          <w:b w:val="0"/>
          <w:sz w:val="28"/>
        </w:rPr>
        <w:t>— погрешность программного расчёта по 12 контрольным примерам не превысила 0,0001 %, что соответствует требованию точности, установленному техническим заданием;</w:t>
      </w:r>
    </w:p>
    <w:p>
      <w:pPr/>
      <w:r>
        <w:rPr>
          <w:rFonts w:ascii="Times New Roman" w:hAnsi="Times New Roman" w:cs="Times New Roman" w:eastAsia="Times New Roman"/>
          <w:b w:val="0"/>
          <w:sz w:val="28"/>
        </w:rPr>
        <w:t>— автоматизированный расчёт эффективной процентной ставки и помесячной детализации в формате НБКР устранил регуляторный риск неполного раскрытия условий вклада;</w:t>
      </w:r>
    </w:p>
    <w:p>
      <w:pPr/>
      <w:r>
        <w:rPr>
          <w:rFonts w:ascii="Times New Roman" w:hAnsi="Times New Roman" w:cs="Times New Roman" w:eastAsia="Times New Roman"/>
          <w:b w:val="0"/>
          <w:sz w:val="28"/>
        </w:rPr>
        <w:t>— за период опытной эксплуатации операционные ошибки при расчёте не зафиксированы, тогда как при ручном расчёте в Excel фиксировалось 2–3 ошибки в месяц.</w:t>
      </w:r>
    </w:p>
    <w:p>
      <w:pPr/>
      <w:r>
        <w:rPr>
          <w:rFonts w:ascii="Times New Roman" w:hAnsi="Times New Roman" w:cs="Times New Roman" w:eastAsia="Times New Roman"/>
          <w:b w:val="0"/>
          <w:sz w:val="28"/>
        </w:rPr>
        <w:t>Рекомендовано внедрить разработанный программный продукт в штатную эксплуатацию для расчёта депозитных продуктов компании.</w:t>
      </w:r>
    </w:p>
    <w:p/>
    <w:p>
      <w:pPr/>
      <w:r>
        <w:rPr>
          <w:rFonts w:ascii="Times New Roman" w:hAnsi="Times New Roman" w:cs="Times New Roman" w:eastAsia="Times New Roman"/>
          <w:b w:val="0"/>
          <w:sz w:val="28"/>
        </w:rPr>
        <w:t>От ООО «МКК «Замат Финанс»:</w:t>
      </w:r>
    </w:p>
    <w:p>
      <w:pPr/>
      <w:r>
        <w:rPr>
          <w:rFonts w:ascii="Times New Roman" w:hAnsi="Times New Roman" w:cs="Times New Roman" w:eastAsia="Times New Roman"/>
          <w:b w:val="0"/>
          <w:sz w:val="28"/>
        </w:rPr>
        <w:t>Начальник отдела кредитования _____________________ / ___________ /</w:t>
      </w:r>
    </w:p>
    <w:p>
      <w:pPr/>
      <w:r>
        <w:rPr>
          <w:rFonts w:ascii="Times New Roman" w:hAnsi="Times New Roman" w:cs="Times New Roman" w:eastAsia="Times New Roman"/>
          <w:b w:val="0"/>
          <w:sz w:val="28"/>
        </w:rPr>
        <w:t>Ведущий программист _____________________ / ___________ /</w:t>
      </w:r>
    </w:p>
    <w:p/>
    <w:p>
      <w:pPr/>
      <w:r>
        <w:rPr>
          <w:rFonts w:ascii="Times New Roman" w:hAnsi="Times New Roman" w:cs="Times New Roman" w:eastAsia="Times New Roman"/>
          <w:b w:val="0"/>
          <w:sz w:val="28"/>
        </w:rPr>
        <w:t>От КГТУ им. И. Раззакова:</w:t>
      </w:r>
    </w:p>
    <w:p>
      <w:pPr/>
      <w:r>
        <w:rPr>
          <w:rFonts w:ascii="Times New Roman" w:hAnsi="Times New Roman" w:cs="Times New Roman" w:eastAsia="Times New Roman"/>
          <w:b w:val="0"/>
          <w:sz w:val="28"/>
        </w:rPr>
        <w:t>Научный руководитель _____________________ / ___________ /</w:t>
      </w:r>
    </w:p>
    <w:p>
      <w:pPr>
        <w:pStyle w:val="Heading1"/>
      </w:pPr>
      <w:r>
        <w:rPr>
          <w:rFonts w:ascii="Times New Roman" w:hAnsi="Times New Roman" w:cs="Times New Roman" w:eastAsia="Times New Roman"/>
        </w:rPr>
        <w:t>ПРИЛОЖЕНИЕ Г</w:t>
      </w:r>
    </w:p>
    <w:p>
      <w:pPr>
        <w:spacing w:before="120" w:after="120"/>
        <w:ind w:firstLine="0"/>
        <w:jc w:val="center"/>
      </w:pPr>
      <w:r>
        <w:rPr>
          <w:rFonts w:ascii="Times New Roman" w:hAnsi="Times New Roman" w:cs="Times New Roman" w:eastAsia="Times New Roman"/>
          <w:b/>
          <w:sz w:val="28"/>
        </w:rPr>
        <w:t>Результаты верификации по 12 контрольным примерам</w:t>
      </w:r>
    </w:p>
    <w:tbl>
      <w:tblPr>
        <w:tblStyle w:val="TableGrid"/>
        <w:tblW w:type="auto" w:w="0"/>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077"/>
          </w:tcPr>
          <w:p>
            <w:pPr>
              <w:ind w:firstLine="0"/>
              <w:jc w:val="center"/>
            </w:pPr>
            <w:r/>
            <w:r>
              <w:rPr>
                <w:rFonts w:ascii="Times New Roman" w:hAnsi="Times New Roman" w:cs="Times New Roman" w:eastAsia="Times New Roman"/>
                <w:b/>
                <w:sz w:val="20"/>
              </w:rPr>
              <w:t>№</w:t>
            </w:r>
          </w:p>
        </w:tc>
        <w:tc>
          <w:tcPr>
            <w:tcW w:type="dxa" w:w="1077"/>
          </w:tcPr>
          <w:p>
            <w:pPr>
              <w:ind w:firstLine="0"/>
              <w:jc w:val="center"/>
            </w:pPr>
            <w:r/>
            <w:r>
              <w:rPr>
                <w:rFonts w:ascii="Times New Roman" w:hAnsi="Times New Roman" w:cs="Times New Roman" w:eastAsia="Times New Roman"/>
                <w:b/>
                <w:sz w:val="20"/>
              </w:rPr>
              <w:t>Сумма, KGS</w:t>
            </w:r>
          </w:p>
        </w:tc>
        <w:tc>
          <w:tcPr>
            <w:tcW w:type="dxa" w:w="1077"/>
          </w:tcPr>
          <w:p>
            <w:pPr>
              <w:ind w:firstLine="0"/>
              <w:jc w:val="center"/>
            </w:pPr>
            <w:r/>
            <w:r>
              <w:rPr>
                <w:rFonts w:ascii="Times New Roman" w:hAnsi="Times New Roman" w:cs="Times New Roman" w:eastAsia="Times New Roman"/>
                <w:b/>
                <w:sz w:val="20"/>
              </w:rPr>
              <w:t>Ставка, %</w:t>
            </w:r>
          </w:p>
        </w:tc>
        <w:tc>
          <w:tcPr>
            <w:tcW w:type="dxa" w:w="1077"/>
          </w:tcPr>
          <w:p>
            <w:pPr>
              <w:ind w:firstLine="0"/>
              <w:jc w:val="center"/>
            </w:pPr>
            <w:r/>
            <w:r>
              <w:rPr>
                <w:rFonts w:ascii="Times New Roman" w:hAnsi="Times New Roman" w:cs="Times New Roman" w:eastAsia="Times New Roman"/>
                <w:b/>
                <w:sz w:val="20"/>
              </w:rPr>
              <w:t>Срок, мес.</w:t>
            </w:r>
          </w:p>
        </w:tc>
        <w:tc>
          <w:tcPr>
            <w:tcW w:type="dxa" w:w="1077"/>
          </w:tcPr>
          <w:p>
            <w:pPr>
              <w:ind w:firstLine="0"/>
              <w:jc w:val="center"/>
            </w:pPr>
            <w:r/>
            <w:r>
              <w:rPr>
                <w:rFonts w:ascii="Times New Roman" w:hAnsi="Times New Roman" w:cs="Times New Roman" w:eastAsia="Times New Roman"/>
                <w:b/>
                <w:sz w:val="20"/>
              </w:rPr>
              <w:t>Период</w:t>
            </w:r>
          </w:p>
        </w:tc>
        <w:tc>
          <w:tcPr>
            <w:tcW w:type="dxa" w:w="1077"/>
          </w:tcPr>
          <w:p>
            <w:pPr>
              <w:ind w:firstLine="0"/>
              <w:jc w:val="center"/>
            </w:pPr>
            <w:r/>
            <w:r>
              <w:rPr>
                <w:rFonts w:ascii="Times New Roman" w:hAnsi="Times New Roman" w:cs="Times New Roman" w:eastAsia="Times New Roman"/>
                <w:b/>
                <w:sz w:val="20"/>
              </w:rPr>
              <w:t>Операции</w:t>
            </w:r>
          </w:p>
        </w:tc>
        <w:tc>
          <w:tcPr>
            <w:tcW w:type="dxa" w:w="1077"/>
          </w:tcPr>
          <w:p>
            <w:pPr>
              <w:ind w:firstLine="0"/>
              <w:jc w:val="center"/>
            </w:pPr>
            <w:r/>
            <w:r>
              <w:rPr>
                <w:rFonts w:ascii="Times New Roman" w:hAnsi="Times New Roman" w:cs="Times New Roman" w:eastAsia="Times New Roman"/>
                <w:b/>
                <w:sz w:val="20"/>
              </w:rPr>
              <w:t>Ручной расчёт</w:t>
            </w:r>
          </w:p>
        </w:tc>
        <w:tc>
          <w:tcPr>
            <w:tcW w:type="dxa" w:w="1077"/>
          </w:tcPr>
          <w:p>
            <w:pPr>
              <w:ind w:firstLine="0"/>
              <w:jc w:val="center"/>
            </w:pPr>
            <w:r/>
            <w:r>
              <w:rPr>
                <w:rFonts w:ascii="Times New Roman" w:hAnsi="Times New Roman" w:cs="Times New Roman" w:eastAsia="Times New Roman"/>
                <w:b/>
                <w:sz w:val="20"/>
              </w:rPr>
              <w:t>Программный</w:t>
            </w:r>
          </w:p>
        </w:tc>
        <w:tc>
          <w:tcPr>
            <w:tcW w:type="dxa" w:w="1077"/>
          </w:tcPr>
          <w:p>
            <w:pPr>
              <w:ind w:firstLine="0"/>
              <w:jc w:val="center"/>
            </w:pPr>
            <w:r/>
            <w:r>
              <w:rPr>
                <w:rFonts w:ascii="Times New Roman" w:hAnsi="Times New Roman" w:cs="Times New Roman" w:eastAsia="Times New Roman"/>
                <w:b/>
                <w:sz w:val="20"/>
              </w:rPr>
              <w:t>Откл., %</w:t>
            </w:r>
          </w:p>
        </w:tc>
      </w:tr>
      <w:tr>
        <w:tc>
          <w:tcPr>
            <w:tcW w:type="dxa" w:w="1077"/>
          </w:tcPr>
          <w:p>
            <w:pPr>
              <w:spacing w:line="280" w:lineRule="exact"/>
              <w:ind w:firstLine="0"/>
              <w:jc w:val="center"/>
            </w:pPr>
            <w:r/>
            <w:r>
              <w:rPr>
                <w:rFonts w:ascii="Times New Roman" w:hAnsi="Times New Roman" w:cs="Times New Roman" w:eastAsia="Times New Roman"/>
                <w:b w:val="0"/>
                <w:sz w:val="20"/>
              </w:rPr>
              <w:t>1</w:t>
            </w:r>
          </w:p>
        </w:tc>
        <w:tc>
          <w:tcPr>
            <w:tcW w:type="dxa" w:w="1077"/>
          </w:tcPr>
          <w:p>
            <w:pPr>
              <w:spacing w:line="280" w:lineRule="exact"/>
              <w:ind w:firstLine="0"/>
              <w:jc w:val="center"/>
            </w:pPr>
            <w:r/>
            <w:r>
              <w:rPr>
                <w:rFonts w:ascii="Times New Roman" w:hAnsi="Times New Roman" w:cs="Times New Roman" w:eastAsia="Times New Roman"/>
                <w:b w:val="0"/>
                <w:sz w:val="20"/>
              </w:rPr>
              <w:t>100 000</w:t>
            </w:r>
          </w:p>
        </w:tc>
        <w:tc>
          <w:tcPr>
            <w:tcW w:type="dxa" w:w="1077"/>
          </w:tcPr>
          <w:p>
            <w:pPr>
              <w:spacing w:line="280" w:lineRule="exact"/>
              <w:ind w:firstLine="0"/>
              <w:jc w:val="center"/>
            </w:pPr>
            <w:r/>
            <w:r>
              <w:rPr>
                <w:rFonts w:ascii="Times New Roman" w:hAnsi="Times New Roman" w:cs="Times New Roman" w:eastAsia="Times New Roman"/>
                <w:b w:val="0"/>
                <w:sz w:val="20"/>
              </w:rPr>
              <w:t>18,00</w:t>
            </w:r>
          </w:p>
        </w:tc>
        <w:tc>
          <w:tcPr>
            <w:tcW w:type="dxa" w:w="1077"/>
          </w:tcPr>
          <w:p>
            <w:pPr>
              <w:spacing w:line="280" w:lineRule="exact"/>
              <w:ind w:firstLine="0"/>
              <w:jc w:val="center"/>
            </w:pPr>
            <w:r/>
            <w:r>
              <w:rPr>
                <w:rFonts w:ascii="Times New Roman" w:hAnsi="Times New Roman" w:cs="Times New Roman" w:eastAsia="Times New Roman"/>
                <w:b w:val="0"/>
                <w:sz w:val="20"/>
              </w:rPr>
              <w:t>12</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w:t>
            </w:r>
          </w:p>
        </w:tc>
        <w:tc>
          <w:tcPr>
            <w:tcW w:type="dxa" w:w="1077"/>
          </w:tcPr>
          <w:p>
            <w:pPr>
              <w:spacing w:line="280" w:lineRule="exact"/>
              <w:ind w:firstLine="0"/>
              <w:jc w:val="center"/>
            </w:pPr>
            <w:r/>
            <w:r>
              <w:rPr>
                <w:rFonts w:ascii="Times New Roman" w:hAnsi="Times New Roman" w:cs="Times New Roman" w:eastAsia="Times New Roman"/>
                <w:b w:val="0"/>
                <w:sz w:val="20"/>
              </w:rPr>
              <w:t>119 561,82</w:t>
            </w:r>
          </w:p>
        </w:tc>
        <w:tc>
          <w:tcPr>
            <w:tcW w:type="dxa" w:w="1077"/>
          </w:tcPr>
          <w:p>
            <w:pPr>
              <w:spacing w:line="280" w:lineRule="exact"/>
              <w:ind w:firstLine="0"/>
              <w:jc w:val="center"/>
            </w:pPr>
            <w:r/>
            <w:r>
              <w:rPr>
                <w:rFonts w:ascii="Times New Roman" w:hAnsi="Times New Roman" w:cs="Times New Roman" w:eastAsia="Times New Roman"/>
                <w:b w:val="0"/>
                <w:sz w:val="20"/>
              </w:rPr>
              <w:t>119 561,84</w:t>
            </w:r>
          </w:p>
        </w:tc>
        <w:tc>
          <w:tcPr>
            <w:tcW w:type="dxa" w:w="1077"/>
          </w:tcPr>
          <w:p>
            <w:pPr>
              <w:spacing w:line="280" w:lineRule="exact"/>
              <w:ind w:firstLine="0"/>
              <w:jc w:val="center"/>
            </w:pPr>
            <w:r/>
            <w:r>
              <w:rPr>
                <w:rFonts w:ascii="Times New Roman" w:hAnsi="Times New Roman" w:cs="Times New Roman" w:eastAsia="Times New Roman"/>
                <w:b w:val="0"/>
                <w:sz w:val="20"/>
              </w:rPr>
              <w:t>0,000017</w:t>
            </w:r>
          </w:p>
        </w:tc>
      </w:tr>
      <w:tr>
        <w:tc>
          <w:tcPr>
            <w:tcW w:type="dxa" w:w="1077"/>
          </w:tcPr>
          <w:p>
            <w:pPr>
              <w:spacing w:line="280" w:lineRule="exact"/>
              <w:ind w:firstLine="0"/>
              <w:jc w:val="center"/>
            </w:pPr>
            <w:r/>
            <w:r>
              <w:rPr>
                <w:rFonts w:ascii="Times New Roman" w:hAnsi="Times New Roman" w:cs="Times New Roman" w:eastAsia="Times New Roman"/>
                <w:b w:val="0"/>
                <w:sz w:val="20"/>
              </w:rPr>
              <w:t>2</w:t>
            </w:r>
          </w:p>
        </w:tc>
        <w:tc>
          <w:tcPr>
            <w:tcW w:type="dxa" w:w="1077"/>
          </w:tcPr>
          <w:p>
            <w:pPr>
              <w:spacing w:line="280" w:lineRule="exact"/>
              <w:ind w:firstLine="0"/>
              <w:jc w:val="center"/>
            </w:pPr>
            <w:r/>
            <w:r>
              <w:rPr>
                <w:rFonts w:ascii="Times New Roman" w:hAnsi="Times New Roman" w:cs="Times New Roman" w:eastAsia="Times New Roman"/>
                <w:b w:val="0"/>
                <w:sz w:val="20"/>
              </w:rPr>
              <w:t>500 000</w:t>
            </w:r>
          </w:p>
        </w:tc>
        <w:tc>
          <w:tcPr>
            <w:tcW w:type="dxa" w:w="1077"/>
          </w:tcPr>
          <w:p>
            <w:pPr>
              <w:spacing w:line="280" w:lineRule="exact"/>
              <w:ind w:firstLine="0"/>
              <w:jc w:val="center"/>
            </w:pPr>
            <w:r/>
            <w:r>
              <w:rPr>
                <w:rFonts w:ascii="Times New Roman" w:hAnsi="Times New Roman" w:cs="Times New Roman" w:eastAsia="Times New Roman"/>
                <w:b w:val="0"/>
                <w:sz w:val="20"/>
              </w:rPr>
              <w:t>22,00</w:t>
            </w:r>
          </w:p>
        </w:tc>
        <w:tc>
          <w:tcPr>
            <w:tcW w:type="dxa" w:w="1077"/>
          </w:tcPr>
          <w:p>
            <w:pPr>
              <w:spacing w:line="280" w:lineRule="exact"/>
              <w:ind w:firstLine="0"/>
              <w:jc w:val="center"/>
            </w:pPr>
            <w:r/>
            <w:r>
              <w:rPr>
                <w:rFonts w:ascii="Times New Roman" w:hAnsi="Times New Roman" w:cs="Times New Roman" w:eastAsia="Times New Roman"/>
                <w:b w:val="0"/>
                <w:sz w:val="20"/>
              </w:rPr>
              <w:t>24</w:t>
            </w:r>
          </w:p>
        </w:tc>
        <w:tc>
          <w:tcPr>
            <w:tcW w:type="dxa" w:w="1077"/>
          </w:tcPr>
          <w:p>
            <w:pPr>
              <w:spacing w:line="280" w:lineRule="exact"/>
              <w:ind w:firstLine="0"/>
              <w:jc w:val="center"/>
            </w:pPr>
            <w:r/>
            <w:r>
              <w:rPr>
                <w:rFonts w:ascii="Times New Roman" w:hAnsi="Times New Roman" w:cs="Times New Roman" w:eastAsia="Times New Roman"/>
                <w:b w:val="0"/>
                <w:sz w:val="20"/>
              </w:rPr>
              <w:t>Ежеквар.</w:t>
            </w:r>
          </w:p>
        </w:tc>
        <w:tc>
          <w:tcPr>
            <w:tcW w:type="dxa" w:w="1077"/>
          </w:tcPr>
          <w:p>
            <w:pPr>
              <w:spacing w:line="280" w:lineRule="exact"/>
              <w:ind w:firstLine="0"/>
              <w:jc w:val="center"/>
            </w:pPr>
            <w:r/>
            <w:r>
              <w:rPr>
                <w:rFonts w:ascii="Times New Roman" w:hAnsi="Times New Roman" w:cs="Times New Roman" w:eastAsia="Times New Roman"/>
                <w:b w:val="0"/>
                <w:sz w:val="20"/>
              </w:rPr>
              <w:t>—</w:t>
            </w:r>
          </w:p>
        </w:tc>
        <w:tc>
          <w:tcPr>
            <w:tcW w:type="dxa" w:w="1077"/>
          </w:tcPr>
          <w:p>
            <w:pPr>
              <w:spacing w:line="280" w:lineRule="exact"/>
              <w:ind w:firstLine="0"/>
              <w:jc w:val="center"/>
            </w:pPr>
            <w:r/>
            <w:r>
              <w:rPr>
                <w:rFonts w:ascii="Times New Roman" w:hAnsi="Times New Roman" w:cs="Times New Roman" w:eastAsia="Times New Roman"/>
                <w:b w:val="0"/>
                <w:sz w:val="20"/>
              </w:rPr>
              <w:t>767 343,26</w:t>
            </w:r>
          </w:p>
        </w:tc>
        <w:tc>
          <w:tcPr>
            <w:tcW w:type="dxa" w:w="1077"/>
          </w:tcPr>
          <w:p>
            <w:pPr>
              <w:spacing w:line="280" w:lineRule="exact"/>
              <w:ind w:firstLine="0"/>
              <w:jc w:val="center"/>
            </w:pPr>
            <w:r/>
            <w:r>
              <w:rPr>
                <w:rFonts w:ascii="Times New Roman" w:hAnsi="Times New Roman" w:cs="Times New Roman" w:eastAsia="Times New Roman"/>
                <w:b w:val="0"/>
                <w:sz w:val="20"/>
              </w:rPr>
              <w:t>767 343,27</w:t>
            </w:r>
          </w:p>
        </w:tc>
        <w:tc>
          <w:tcPr>
            <w:tcW w:type="dxa" w:w="1077"/>
          </w:tcPr>
          <w:p>
            <w:pPr>
              <w:spacing w:line="280" w:lineRule="exact"/>
              <w:ind w:firstLine="0"/>
              <w:jc w:val="center"/>
            </w:pPr>
            <w:r/>
            <w:r>
              <w:rPr>
                <w:rFonts w:ascii="Times New Roman" w:hAnsi="Times New Roman" w:cs="Times New Roman" w:eastAsia="Times New Roman"/>
                <w:b w:val="0"/>
                <w:sz w:val="20"/>
              </w:rPr>
              <w:t>0,000001</w:t>
            </w:r>
          </w:p>
        </w:tc>
      </w:tr>
      <w:tr>
        <w:tc>
          <w:tcPr>
            <w:tcW w:type="dxa" w:w="1077"/>
          </w:tcPr>
          <w:p>
            <w:pPr>
              <w:spacing w:line="280" w:lineRule="exact"/>
              <w:ind w:firstLine="0"/>
              <w:jc w:val="center"/>
            </w:pPr>
            <w:r/>
            <w:r>
              <w:rPr>
                <w:rFonts w:ascii="Times New Roman" w:hAnsi="Times New Roman" w:cs="Times New Roman" w:eastAsia="Times New Roman"/>
                <w:b w:val="0"/>
                <w:sz w:val="20"/>
              </w:rPr>
              <w:t>3</w:t>
            </w:r>
          </w:p>
        </w:tc>
        <w:tc>
          <w:tcPr>
            <w:tcW w:type="dxa" w:w="1077"/>
          </w:tcPr>
          <w:p>
            <w:pPr>
              <w:spacing w:line="280" w:lineRule="exact"/>
              <w:ind w:firstLine="0"/>
              <w:jc w:val="center"/>
            </w:pPr>
            <w:r/>
            <w:r>
              <w:rPr>
                <w:rFonts w:ascii="Times New Roman" w:hAnsi="Times New Roman" w:cs="Times New Roman" w:eastAsia="Times New Roman"/>
                <w:b w:val="0"/>
                <w:sz w:val="20"/>
              </w:rPr>
              <w:t>200 000</w:t>
            </w:r>
          </w:p>
        </w:tc>
        <w:tc>
          <w:tcPr>
            <w:tcW w:type="dxa" w:w="1077"/>
          </w:tcPr>
          <w:p>
            <w:pPr>
              <w:spacing w:line="280" w:lineRule="exact"/>
              <w:ind w:firstLine="0"/>
              <w:jc w:val="center"/>
            </w:pPr>
            <w:r/>
            <w:r>
              <w:rPr>
                <w:rFonts w:ascii="Times New Roman" w:hAnsi="Times New Roman" w:cs="Times New Roman" w:eastAsia="Times New Roman"/>
                <w:b w:val="0"/>
                <w:sz w:val="20"/>
              </w:rPr>
              <w:t>16,00</w:t>
            </w:r>
          </w:p>
        </w:tc>
        <w:tc>
          <w:tcPr>
            <w:tcW w:type="dxa" w:w="1077"/>
          </w:tcPr>
          <w:p>
            <w:pPr>
              <w:spacing w:line="280" w:lineRule="exact"/>
              <w:ind w:firstLine="0"/>
              <w:jc w:val="center"/>
            </w:pPr>
            <w:r/>
            <w:r>
              <w:rPr>
                <w:rFonts w:ascii="Times New Roman" w:hAnsi="Times New Roman" w:cs="Times New Roman" w:eastAsia="Times New Roman"/>
                <w:b w:val="0"/>
                <w:sz w:val="20"/>
              </w:rPr>
              <w:t>12</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+10 000×11</w:t>
            </w:r>
          </w:p>
        </w:tc>
        <w:tc>
          <w:tcPr>
            <w:tcW w:type="dxa" w:w="1077"/>
          </w:tcPr>
          <w:p>
            <w:pPr>
              <w:spacing w:line="280" w:lineRule="exact"/>
              <w:ind w:firstLine="0"/>
              <w:jc w:val="center"/>
            </w:pPr>
            <w:r/>
            <w:r>
              <w:rPr>
                <w:rFonts w:ascii="Times New Roman" w:hAnsi="Times New Roman" w:cs="Times New Roman" w:eastAsia="Times New Roman"/>
                <w:b w:val="0"/>
                <w:sz w:val="20"/>
              </w:rPr>
              <w:t>355 246,64</w:t>
            </w:r>
          </w:p>
        </w:tc>
        <w:tc>
          <w:tcPr>
            <w:tcW w:type="dxa" w:w="1077"/>
          </w:tcPr>
          <w:p>
            <w:pPr>
              <w:spacing w:line="280" w:lineRule="exact"/>
              <w:ind w:firstLine="0"/>
              <w:jc w:val="center"/>
            </w:pPr>
            <w:r/>
            <w:r>
              <w:rPr>
                <w:rFonts w:ascii="Times New Roman" w:hAnsi="Times New Roman" w:cs="Times New Roman" w:eastAsia="Times New Roman"/>
                <w:b w:val="0"/>
                <w:sz w:val="20"/>
              </w:rPr>
              <w:t>355 246,64</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4</w:t>
            </w:r>
          </w:p>
        </w:tc>
        <w:tc>
          <w:tcPr>
            <w:tcW w:type="dxa" w:w="1077"/>
          </w:tcPr>
          <w:p>
            <w:pPr>
              <w:spacing w:line="280" w:lineRule="exact"/>
              <w:ind w:firstLine="0"/>
              <w:jc w:val="center"/>
            </w:pPr>
            <w:r/>
            <w:r>
              <w:rPr>
                <w:rFonts w:ascii="Times New Roman" w:hAnsi="Times New Roman" w:cs="Times New Roman" w:eastAsia="Times New Roman"/>
                <w:b w:val="0"/>
                <w:sz w:val="20"/>
              </w:rPr>
              <w:t>300 000</w:t>
            </w:r>
          </w:p>
        </w:tc>
        <w:tc>
          <w:tcPr>
            <w:tcW w:type="dxa" w:w="1077"/>
          </w:tcPr>
          <w:p>
            <w:pPr>
              <w:spacing w:line="280" w:lineRule="exact"/>
              <w:ind w:firstLine="0"/>
              <w:jc w:val="center"/>
            </w:pPr>
            <w:r/>
            <w:r>
              <w:rPr>
                <w:rFonts w:ascii="Times New Roman" w:hAnsi="Times New Roman" w:cs="Times New Roman" w:eastAsia="Times New Roman"/>
                <w:b w:val="0"/>
                <w:sz w:val="20"/>
              </w:rPr>
              <w:t>20→18</w:t>
            </w:r>
          </w:p>
        </w:tc>
        <w:tc>
          <w:tcPr>
            <w:tcW w:type="dxa" w:w="1077"/>
          </w:tcPr>
          <w:p>
            <w:pPr>
              <w:spacing w:line="280" w:lineRule="exact"/>
              <w:ind w:firstLine="0"/>
              <w:jc w:val="center"/>
            </w:pPr>
            <w:r/>
            <w:r>
              <w:rPr>
                <w:rFonts w:ascii="Times New Roman" w:hAnsi="Times New Roman" w:cs="Times New Roman" w:eastAsia="Times New Roman"/>
                <w:b w:val="0"/>
                <w:sz w:val="20"/>
              </w:rPr>
              <w:t>12</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Смена ставки мес. 6</w:t>
            </w:r>
          </w:p>
        </w:tc>
        <w:tc>
          <w:tcPr>
            <w:tcW w:type="dxa" w:w="1077"/>
          </w:tcPr>
          <w:p>
            <w:pPr>
              <w:spacing w:line="280" w:lineRule="exact"/>
              <w:ind w:firstLine="0"/>
              <w:jc w:val="center"/>
            </w:pPr>
            <w:r/>
            <w:r>
              <w:rPr>
                <w:rFonts w:ascii="Times New Roman" w:hAnsi="Times New Roman" w:cs="Times New Roman" w:eastAsia="Times New Roman"/>
                <w:b w:val="0"/>
                <w:sz w:val="20"/>
              </w:rPr>
              <w:t>361 640,01</w:t>
            </w:r>
          </w:p>
        </w:tc>
        <w:tc>
          <w:tcPr>
            <w:tcW w:type="dxa" w:w="1077"/>
          </w:tcPr>
          <w:p>
            <w:pPr>
              <w:spacing w:line="280" w:lineRule="exact"/>
              <w:ind w:firstLine="0"/>
              <w:jc w:val="center"/>
            </w:pPr>
            <w:r/>
            <w:r>
              <w:rPr>
                <w:rFonts w:ascii="Times New Roman" w:hAnsi="Times New Roman" w:cs="Times New Roman" w:eastAsia="Times New Roman"/>
                <w:b w:val="0"/>
                <w:sz w:val="20"/>
              </w:rPr>
              <w:t>361 640,01</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5</w:t>
            </w:r>
          </w:p>
        </w:tc>
        <w:tc>
          <w:tcPr>
            <w:tcW w:type="dxa" w:w="1077"/>
          </w:tcPr>
          <w:p>
            <w:pPr>
              <w:spacing w:line="280" w:lineRule="exact"/>
              <w:ind w:firstLine="0"/>
              <w:jc w:val="center"/>
            </w:pPr>
            <w:r/>
            <w:r>
              <w:rPr>
                <w:rFonts w:ascii="Times New Roman" w:hAnsi="Times New Roman" w:cs="Times New Roman" w:eastAsia="Times New Roman"/>
                <w:b w:val="0"/>
                <w:sz w:val="20"/>
              </w:rPr>
              <w:t>150 000</w:t>
            </w:r>
          </w:p>
        </w:tc>
        <w:tc>
          <w:tcPr>
            <w:tcW w:type="dxa" w:w="1077"/>
          </w:tcPr>
          <w:p>
            <w:pPr>
              <w:spacing w:line="280" w:lineRule="exact"/>
              <w:ind w:firstLine="0"/>
              <w:jc w:val="center"/>
            </w:pPr>
            <w:r/>
            <w:r>
              <w:rPr>
                <w:rFonts w:ascii="Times New Roman" w:hAnsi="Times New Roman" w:cs="Times New Roman" w:eastAsia="Times New Roman"/>
                <w:b w:val="0"/>
                <w:sz w:val="20"/>
              </w:rPr>
              <w:t>14,00</w:t>
            </w:r>
          </w:p>
        </w:tc>
        <w:tc>
          <w:tcPr>
            <w:tcW w:type="dxa" w:w="1077"/>
          </w:tcPr>
          <w:p>
            <w:pPr>
              <w:spacing w:line="280" w:lineRule="exact"/>
              <w:ind w:firstLine="0"/>
              <w:jc w:val="center"/>
            </w:pPr>
            <w:r/>
            <w:r>
              <w:rPr>
                <w:rFonts w:ascii="Times New Roman" w:hAnsi="Times New Roman" w:cs="Times New Roman" w:eastAsia="Times New Roman"/>
                <w:b w:val="0"/>
                <w:sz w:val="20"/>
              </w:rPr>
              <w:t>6</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−20 000 мес. 3</w:t>
            </w:r>
          </w:p>
        </w:tc>
        <w:tc>
          <w:tcPr>
            <w:tcW w:type="dxa" w:w="1077"/>
          </w:tcPr>
          <w:p>
            <w:pPr>
              <w:spacing w:line="280" w:lineRule="exact"/>
              <w:ind w:firstLine="0"/>
              <w:jc w:val="center"/>
            </w:pPr>
            <w:r/>
            <w:r>
              <w:rPr>
                <w:rFonts w:ascii="Times New Roman" w:hAnsi="Times New Roman" w:cs="Times New Roman" w:eastAsia="Times New Roman"/>
                <w:b w:val="0"/>
                <w:sz w:val="20"/>
              </w:rPr>
              <w:t>139 861,27</w:t>
            </w:r>
          </w:p>
        </w:tc>
        <w:tc>
          <w:tcPr>
            <w:tcW w:type="dxa" w:w="1077"/>
          </w:tcPr>
          <w:p>
            <w:pPr>
              <w:spacing w:line="280" w:lineRule="exact"/>
              <w:ind w:firstLine="0"/>
              <w:jc w:val="center"/>
            </w:pPr>
            <w:r/>
            <w:r>
              <w:rPr>
                <w:rFonts w:ascii="Times New Roman" w:hAnsi="Times New Roman" w:cs="Times New Roman" w:eastAsia="Times New Roman"/>
                <w:b w:val="0"/>
                <w:sz w:val="20"/>
              </w:rPr>
              <w:t>139 861,27</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6</w:t>
            </w:r>
          </w:p>
        </w:tc>
        <w:tc>
          <w:tcPr>
            <w:tcW w:type="dxa" w:w="1077"/>
          </w:tcPr>
          <w:p>
            <w:pPr>
              <w:spacing w:line="280" w:lineRule="exact"/>
              <w:ind w:firstLine="0"/>
              <w:jc w:val="center"/>
            </w:pPr>
            <w:r/>
            <w:r>
              <w:rPr>
                <w:rFonts w:ascii="Times New Roman" w:hAnsi="Times New Roman" w:cs="Times New Roman" w:eastAsia="Times New Roman"/>
                <w:b w:val="0"/>
                <w:sz w:val="20"/>
              </w:rPr>
              <w:t>100 000</w:t>
            </w:r>
          </w:p>
        </w:tc>
        <w:tc>
          <w:tcPr>
            <w:tcW w:type="dxa" w:w="1077"/>
          </w:tcPr>
          <w:p>
            <w:pPr>
              <w:spacing w:line="280" w:lineRule="exact"/>
              <w:ind w:firstLine="0"/>
              <w:jc w:val="center"/>
            </w:pPr>
            <w:r/>
            <w:r>
              <w:rPr>
                <w:rFonts w:ascii="Times New Roman" w:hAnsi="Times New Roman" w:cs="Times New Roman" w:eastAsia="Times New Roman"/>
                <w:b w:val="0"/>
                <w:sz w:val="20"/>
              </w:rPr>
              <w:t>18,00</w:t>
            </w:r>
          </w:p>
        </w:tc>
        <w:tc>
          <w:tcPr>
            <w:tcW w:type="dxa" w:w="1077"/>
          </w:tcPr>
          <w:p>
            <w:pPr>
              <w:spacing w:line="280" w:lineRule="exact"/>
              <w:ind w:firstLine="0"/>
              <w:jc w:val="center"/>
            </w:pPr>
            <w:r/>
            <w:r>
              <w:rPr>
                <w:rFonts w:ascii="Times New Roman" w:hAnsi="Times New Roman" w:cs="Times New Roman" w:eastAsia="Times New Roman"/>
                <w:b w:val="0"/>
                <w:sz w:val="20"/>
              </w:rPr>
              <w:t>12</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Налог 10 %</w:t>
            </w:r>
          </w:p>
        </w:tc>
        <w:tc>
          <w:tcPr>
            <w:tcW w:type="dxa" w:w="1077"/>
          </w:tcPr>
          <w:p>
            <w:pPr>
              <w:spacing w:line="280" w:lineRule="exact"/>
              <w:ind w:firstLine="0"/>
              <w:jc w:val="center"/>
            </w:pPr>
            <w:r/>
            <w:r>
              <w:rPr>
                <w:rFonts w:ascii="Times New Roman" w:hAnsi="Times New Roman" w:cs="Times New Roman" w:eastAsia="Times New Roman"/>
                <w:b w:val="0"/>
                <w:sz w:val="20"/>
              </w:rPr>
              <w:t>117 458,65</w:t>
            </w:r>
          </w:p>
        </w:tc>
        <w:tc>
          <w:tcPr>
            <w:tcW w:type="dxa" w:w="1077"/>
          </w:tcPr>
          <w:p>
            <w:pPr>
              <w:spacing w:line="280" w:lineRule="exact"/>
              <w:ind w:firstLine="0"/>
              <w:jc w:val="center"/>
            </w:pPr>
            <w:r/>
            <w:r>
              <w:rPr>
                <w:rFonts w:ascii="Times New Roman" w:hAnsi="Times New Roman" w:cs="Times New Roman" w:eastAsia="Times New Roman"/>
                <w:b w:val="0"/>
                <w:sz w:val="20"/>
              </w:rPr>
              <w:t>117 458,65</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7</w:t>
            </w:r>
          </w:p>
        </w:tc>
        <w:tc>
          <w:tcPr>
            <w:tcW w:type="dxa" w:w="1077"/>
          </w:tcPr>
          <w:p>
            <w:pPr>
              <w:spacing w:line="280" w:lineRule="exact"/>
              <w:ind w:firstLine="0"/>
              <w:jc w:val="center"/>
            </w:pPr>
            <w:r/>
            <w:r>
              <w:rPr>
                <w:rFonts w:ascii="Times New Roman" w:hAnsi="Times New Roman" w:cs="Times New Roman" w:eastAsia="Times New Roman"/>
                <w:b w:val="0"/>
                <w:sz w:val="20"/>
              </w:rPr>
              <w:t>200 000</w:t>
            </w:r>
          </w:p>
        </w:tc>
        <w:tc>
          <w:tcPr>
            <w:tcW w:type="dxa" w:w="1077"/>
          </w:tcPr>
          <w:p>
            <w:pPr>
              <w:spacing w:line="280" w:lineRule="exact"/>
              <w:ind w:firstLine="0"/>
              <w:jc w:val="center"/>
            </w:pPr>
            <w:r/>
            <w:r>
              <w:rPr>
                <w:rFonts w:ascii="Times New Roman" w:hAnsi="Times New Roman" w:cs="Times New Roman" w:eastAsia="Times New Roman"/>
                <w:b w:val="0"/>
                <w:sz w:val="20"/>
              </w:rPr>
              <w:t>18,00</w:t>
            </w:r>
          </w:p>
        </w:tc>
        <w:tc>
          <w:tcPr>
            <w:tcW w:type="dxa" w:w="1077"/>
          </w:tcPr>
          <w:p>
            <w:pPr>
              <w:spacing w:line="280" w:lineRule="exact"/>
              <w:ind w:firstLine="0"/>
              <w:jc w:val="center"/>
            </w:pPr>
            <w:r/>
            <w:r>
              <w:rPr>
                <w:rFonts w:ascii="Times New Roman" w:hAnsi="Times New Roman" w:cs="Times New Roman" w:eastAsia="Times New Roman"/>
                <w:b w:val="0"/>
                <w:sz w:val="20"/>
              </w:rPr>
              <w:t>12</w:t>
            </w:r>
          </w:p>
        </w:tc>
        <w:tc>
          <w:tcPr>
            <w:tcW w:type="dxa" w:w="1077"/>
          </w:tcPr>
          <w:p>
            <w:pPr>
              <w:spacing w:line="280" w:lineRule="exact"/>
              <w:ind w:firstLine="0"/>
              <w:jc w:val="center"/>
            </w:pPr>
            <w:r/>
            <w:r>
              <w:rPr>
                <w:rFonts w:ascii="Times New Roman" w:hAnsi="Times New Roman" w:cs="Times New Roman" w:eastAsia="Times New Roman"/>
                <w:b w:val="0"/>
                <w:sz w:val="20"/>
              </w:rPr>
              <w:t>Непрерыв.</w:t>
            </w:r>
          </w:p>
        </w:tc>
        <w:tc>
          <w:tcPr>
            <w:tcW w:type="dxa" w:w="1077"/>
          </w:tcPr>
          <w:p>
            <w:pPr>
              <w:spacing w:line="280" w:lineRule="exact"/>
              <w:ind w:firstLine="0"/>
              <w:jc w:val="center"/>
            </w:pPr>
            <w:r/>
            <w:r>
              <w:rPr>
                <w:rFonts w:ascii="Times New Roman" w:hAnsi="Times New Roman" w:cs="Times New Roman" w:eastAsia="Times New Roman"/>
                <w:b w:val="0"/>
                <w:sz w:val="20"/>
              </w:rPr>
              <w:t>—</w:t>
            </w:r>
          </w:p>
        </w:tc>
        <w:tc>
          <w:tcPr>
            <w:tcW w:type="dxa" w:w="1077"/>
          </w:tcPr>
          <w:p>
            <w:pPr>
              <w:spacing w:line="280" w:lineRule="exact"/>
              <w:ind w:firstLine="0"/>
              <w:jc w:val="center"/>
            </w:pPr>
            <w:r/>
            <w:r>
              <w:rPr>
                <w:rFonts w:ascii="Times New Roman" w:hAnsi="Times New Roman" w:cs="Times New Roman" w:eastAsia="Times New Roman"/>
                <w:b w:val="0"/>
                <w:sz w:val="20"/>
              </w:rPr>
              <w:t>239 443,47</w:t>
            </w:r>
          </w:p>
        </w:tc>
        <w:tc>
          <w:tcPr>
            <w:tcW w:type="dxa" w:w="1077"/>
          </w:tcPr>
          <w:p>
            <w:pPr>
              <w:spacing w:line="280" w:lineRule="exact"/>
              <w:ind w:firstLine="0"/>
              <w:jc w:val="center"/>
            </w:pPr>
            <w:r/>
            <w:r>
              <w:rPr>
                <w:rFonts w:ascii="Times New Roman" w:hAnsi="Times New Roman" w:cs="Times New Roman" w:eastAsia="Times New Roman"/>
                <w:b w:val="0"/>
                <w:sz w:val="20"/>
              </w:rPr>
              <w:t>239 443,47</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8</w:t>
            </w:r>
          </w:p>
        </w:tc>
        <w:tc>
          <w:tcPr>
            <w:tcW w:type="dxa" w:w="1077"/>
          </w:tcPr>
          <w:p>
            <w:pPr>
              <w:spacing w:line="280" w:lineRule="exact"/>
              <w:ind w:firstLine="0"/>
              <w:jc w:val="center"/>
            </w:pPr>
            <w:r/>
            <w:r>
              <w:rPr>
                <w:rFonts w:ascii="Times New Roman" w:hAnsi="Times New Roman" w:cs="Times New Roman" w:eastAsia="Times New Roman"/>
                <w:b w:val="0"/>
                <w:sz w:val="20"/>
              </w:rPr>
              <w:t>100 000</w:t>
            </w:r>
          </w:p>
        </w:tc>
        <w:tc>
          <w:tcPr>
            <w:tcW w:type="dxa" w:w="1077"/>
          </w:tcPr>
          <w:p>
            <w:pPr>
              <w:spacing w:line="280" w:lineRule="exact"/>
              <w:ind w:firstLine="0"/>
              <w:jc w:val="center"/>
            </w:pPr>
            <w:r/>
            <w:r>
              <w:rPr>
                <w:rFonts w:ascii="Times New Roman" w:hAnsi="Times New Roman" w:cs="Times New Roman" w:eastAsia="Times New Roman"/>
                <w:b w:val="0"/>
                <w:sz w:val="20"/>
              </w:rPr>
              <w:t>20,00</w:t>
            </w:r>
          </w:p>
        </w:tc>
        <w:tc>
          <w:tcPr>
            <w:tcW w:type="dxa" w:w="1077"/>
          </w:tcPr>
          <w:p>
            <w:pPr>
              <w:spacing w:line="280" w:lineRule="exact"/>
              <w:ind w:firstLine="0"/>
              <w:jc w:val="center"/>
            </w:pPr>
            <w:r/>
            <w:r>
              <w:rPr>
                <w:rFonts w:ascii="Times New Roman" w:hAnsi="Times New Roman" w:cs="Times New Roman" w:eastAsia="Times New Roman"/>
                <w:b w:val="0"/>
                <w:sz w:val="20"/>
              </w:rPr>
              <w:t>3</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w:t>
            </w:r>
          </w:p>
        </w:tc>
        <w:tc>
          <w:tcPr>
            <w:tcW w:type="dxa" w:w="1077"/>
          </w:tcPr>
          <w:p>
            <w:pPr>
              <w:spacing w:line="280" w:lineRule="exact"/>
              <w:ind w:firstLine="0"/>
              <w:jc w:val="center"/>
            </w:pPr>
            <w:r/>
            <w:r>
              <w:rPr>
                <w:rFonts w:ascii="Times New Roman" w:hAnsi="Times New Roman" w:cs="Times New Roman" w:eastAsia="Times New Roman"/>
                <w:b w:val="0"/>
                <w:sz w:val="20"/>
              </w:rPr>
              <w:t>105 083,80</w:t>
            </w:r>
          </w:p>
        </w:tc>
        <w:tc>
          <w:tcPr>
            <w:tcW w:type="dxa" w:w="1077"/>
          </w:tcPr>
          <w:p>
            <w:pPr>
              <w:spacing w:line="280" w:lineRule="exact"/>
              <w:ind w:firstLine="0"/>
              <w:jc w:val="center"/>
            </w:pPr>
            <w:r/>
            <w:r>
              <w:rPr>
                <w:rFonts w:ascii="Times New Roman" w:hAnsi="Times New Roman" w:cs="Times New Roman" w:eastAsia="Times New Roman"/>
                <w:b w:val="0"/>
                <w:sz w:val="20"/>
              </w:rPr>
              <w:t>105 083,80</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9</w:t>
            </w:r>
          </w:p>
        </w:tc>
        <w:tc>
          <w:tcPr>
            <w:tcW w:type="dxa" w:w="1077"/>
          </w:tcPr>
          <w:p>
            <w:pPr>
              <w:spacing w:line="280" w:lineRule="exact"/>
              <w:ind w:firstLine="0"/>
              <w:jc w:val="center"/>
            </w:pPr>
            <w:r/>
            <w:r>
              <w:rPr>
                <w:rFonts w:ascii="Times New Roman" w:hAnsi="Times New Roman" w:cs="Times New Roman" w:eastAsia="Times New Roman"/>
                <w:b w:val="0"/>
                <w:sz w:val="20"/>
              </w:rPr>
              <w:t>400 000</w:t>
            </w:r>
          </w:p>
        </w:tc>
        <w:tc>
          <w:tcPr>
            <w:tcW w:type="dxa" w:w="1077"/>
          </w:tcPr>
          <w:p>
            <w:pPr>
              <w:spacing w:line="280" w:lineRule="exact"/>
              <w:ind w:firstLine="0"/>
              <w:jc w:val="center"/>
            </w:pPr>
            <w:r/>
            <w:r>
              <w:rPr>
                <w:rFonts w:ascii="Times New Roman" w:hAnsi="Times New Roman" w:cs="Times New Roman" w:eastAsia="Times New Roman"/>
                <w:b w:val="0"/>
                <w:sz w:val="20"/>
              </w:rPr>
              <w:t>18→16→20→18</w:t>
            </w:r>
          </w:p>
        </w:tc>
        <w:tc>
          <w:tcPr>
            <w:tcW w:type="dxa" w:w="1077"/>
          </w:tcPr>
          <w:p>
            <w:pPr>
              <w:spacing w:line="280" w:lineRule="exact"/>
              <w:ind w:firstLine="0"/>
              <w:jc w:val="center"/>
            </w:pPr>
            <w:r/>
            <w:r>
              <w:rPr>
                <w:rFonts w:ascii="Times New Roman" w:hAnsi="Times New Roman" w:cs="Times New Roman" w:eastAsia="Times New Roman"/>
                <w:b w:val="0"/>
                <w:sz w:val="20"/>
              </w:rPr>
              <w:t>24</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3 смены ставки</w:t>
            </w:r>
          </w:p>
        </w:tc>
        <w:tc>
          <w:tcPr>
            <w:tcW w:type="dxa" w:w="1077"/>
          </w:tcPr>
          <w:p>
            <w:pPr>
              <w:spacing w:line="280" w:lineRule="exact"/>
              <w:ind w:firstLine="0"/>
              <w:jc w:val="center"/>
            </w:pPr>
            <w:r/>
            <w:r>
              <w:rPr>
                <w:rFonts w:ascii="Times New Roman" w:hAnsi="Times New Roman" w:cs="Times New Roman" w:eastAsia="Times New Roman"/>
                <w:b w:val="0"/>
                <w:sz w:val="20"/>
              </w:rPr>
              <w:t>571 791,88</w:t>
            </w:r>
          </w:p>
        </w:tc>
        <w:tc>
          <w:tcPr>
            <w:tcW w:type="dxa" w:w="1077"/>
          </w:tcPr>
          <w:p>
            <w:pPr>
              <w:spacing w:line="280" w:lineRule="exact"/>
              <w:ind w:firstLine="0"/>
              <w:jc w:val="center"/>
            </w:pPr>
            <w:r/>
            <w:r>
              <w:rPr>
                <w:rFonts w:ascii="Times New Roman" w:hAnsi="Times New Roman" w:cs="Times New Roman" w:eastAsia="Times New Roman"/>
                <w:b w:val="0"/>
                <w:sz w:val="20"/>
              </w:rPr>
              <w:t>571 791,88</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10</w:t>
            </w:r>
          </w:p>
        </w:tc>
        <w:tc>
          <w:tcPr>
            <w:tcW w:type="dxa" w:w="1077"/>
          </w:tcPr>
          <w:p>
            <w:pPr>
              <w:spacing w:line="280" w:lineRule="exact"/>
              <w:ind w:firstLine="0"/>
              <w:jc w:val="center"/>
            </w:pPr>
            <w:r/>
            <w:r>
              <w:rPr>
                <w:rFonts w:ascii="Times New Roman" w:hAnsi="Times New Roman" w:cs="Times New Roman" w:eastAsia="Times New Roman"/>
                <w:b w:val="0"/>
                <w:sz w:val="20"/>
              </w:rPr>
              <w:t>250 000</w:t>
            </w:r>
          </w:p>
        </w:tc>
        <w:tc>
          <w:tcPr>
            <w:tcW w:type="dxa" w:w="1077"/>
          </w:tcPr>
          <w:p>
            <w:pPr>
              <w:spacing w:line="280" w:lineRule="exact"/>
              <w:ind w:firstLine="0"/>
              <w:jc w:val="center"/>
            </w:pPr>
            <w:r/>
            <w:r>
              <w:rPr>
                <w:rFonts w:ascii="Times New Roman" w:hAnsi="Times New Roman" w:cs="Times New Roman" w:eastAsia="Times New Roman"/>
                <w:b w:val="0"/>
                <w:sz w:val="20"/>
              </w:rPr>
              <w:t>17,00</w:t>
            </w:r>
          </w:p>
        </w:tc>
        <w:tc>
          <w:tcPr>
            <w:tcW w:type="dxa" w:w="1077"/>
          </w:tcPr>
          <w:p>
            <w:pPr>
              <w:spacing w:line="280" w:lineRule="exact"/>
              <w:ind w:firstLine="0"/>
              <w:jc w:val="center"/>
            </w:pPr>
            <w:r/>
            <w:r>
              <w:rPr>
                <w:rFonts w:ascii="Times New Roman" w:hAnsi="Times New Roman" w:cs="Times New Roman" w:eastAsia="Times New Roman"/>
                <w:b w:val="0"/>
                <w:sz w:val="20"/>
              </w:rPr>
              <w:t>6</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+50 000 / −30 000 в одном периоде</w:t>
            </w:r>
          </w:p>
        </w:tc>
        <w:tc>
          <w:tcPr>
            <w:tcW w:type="dxa" w:w="1077"/>
          </w:tcPr>
          <w:p>
            <w:pPr>
              <w:spacing w:line="280" w:lineRule="exact"/>
              <w:ind w:firstLine="0"/>
              <w:jc w:val="center"/>
            </w:pPr>
            <w:r/>
            <w:r>
              <w:rPr>
                <w:rFonts w:ascii="Times New Roman" w:hAnsi="Times New Roman" w:cs="Times New Roman" w:eastAsia="Times New Roman"/>
                <w:b w:val="0"/>
                <w:sz w:val="20"/>
              </w:rPr>
              <w:t>293 474,35</w:t>
            </w:r>
          </w:p>
        </w:tc>
        <w:tc>
          <w:tcPr>
            <w:tcW w:type="dxa" w:w="1077"/>
          </w:tcPr>
          <w:p>
            <w:pPr>
              <w:spacing w:line="280" w:lineRule="exact"/>
              <w:ind w:firstLine="0"/>
              <w:jc w:val="center"/>
            </w:pPr>
            <w:r/>
            <w:r>
              <w:rPr>
                <w:rFonts w:ascii="Times New Roman" w:hAnsi="Times New Roman" w:cs="Times New Roman" w:eastAsia="Times New Roman"/>
                <w:b w:val="0"/>
                <w:sz w:val="20"/>
              </w:rPr>
              <w:t>293 474,35</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11</w:t>
            </w:r>
          </w:p>
        </w:tc>
        <w:tc>
          <w:tcPr>
            <w:tcW w:type="dxa" w:w="1077"/>
          </w:tcPr>
          <w:p>
            <w:pPr>
              <w:spacing w:line="280" w:lineRule="exact"/>
              <w:ind w:firstLine="0"/>
              <w:jc w:val="center"/>
            </w:pPr>
            <w:r/>
            <w:r>
              <w:rPr>
                <w:rFonts w:ascii="Times New Roman" w:hAnsi="Times New Roman" w:cs="Times New Roman" w:eastAsia="Times New Roman"/>
                <w:b w:val="0"/>
                <w:sz w:val="20"/>
              </w:rPr>
              <w:t>500 000</w:t>
            </w:r>
          </w:p>
        </w:tc>
        <w:tc>
          <w:tcPr>
            <w:tcW w:type="dxa" w:w="1077"/>
          </w:tcPr>
          <w:p>
            <w:pPr>
              <w:spacing w:line="280" w:lineRule="exact"/>
              <w:ind w:firstLine="0"/>
              <w:jc w:val="center"/>
            </w:pPr>
            <w:r/>
            <w:r>
              <w:rPr>
                <w:rFonts w:ascii="Times New Roman" w:hAnsi="Times New Roman" w:cs="Times New Roman" w:eastAsia="Times New Roman"/>
                <w:b w:val="0"/>
                <w:sz w:val="20"/>
              </w:rPr>
              <w:t>15,00</w:t>
            </w:r>
          </w:p>
        </w:tc>
        <w:tc>
          <w:tcPr>
            <w:tcW w:type="dxa" w:w="1077"/>
          </w:tcPr>
          <w:p>
            <w:pPr>
              <w:spacing w:line="280" w:lineRule="exact"/>
              <w:ind w:firstLine="0"/>
              <w:jc w:val="center"/>
            </w:pPr>
            <w:r/>
            <w:r>
              <w:rPr>
                <w:rFonts w:ascii="Times New Roman" w:hAnsi="Times New Roman" w:cs="Times New Roman" w:eastAsia="Times New Roman"/>
                <w:b w:val="0"/>
                <w:sz w:val="20"/>
              </w:rPr>
              <w:t>60</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w:t>
            </w:r>
          </w:p>
        </w:tc>
        <w:tc>
          <w:tcPr>
            <w:tcW w:type="dxa" w:w="1077"/>
          </w:tcPr>
          <w:p>
            <w:pPr>
              <w:spacing w:line="280" w:lineRule="exact"/>
              <w:ind w:firstLine="0"/>
              <w:jc w:val="center"/>
            </w:pPr>
            <w:r/>
            <w:r>
              <w:rPr>
                <w:rFonts w:ascii="Times New Roman" w:hAnsi="Times New Roman" w:cs="Times New Roman" w:eastAsia="Times New Roman"/>
                <w:b w:val="0"/>
                <w:sz w:val="20"/>
              </w:rPr>
              <w:t>1 053 590,63</w:t>
            </w:r>
          </w:p>
        </w:tc>
        <w:tc>
          <w:tcPr>
            <w:tcW w:type="dxa" w:w="1077"/>
          </w:tcPr>
          <w:p>
            <w:pPr>
              <w:spacing w:line="280" w:lineRule="exact"/>
              <w:ind w:firstLine="0"/>
              <w:jc w:val="center"/>
            </w:pPr>
            <w:r/>
            <w:r>
              <w:rPr>
                <w:rFonts w:ascii="Times New Roman" w:hAnsi="Times New Roman" w:cs="Times New Roman" w:eastAsia="Times New Roman"/>
                <w:b w:val="0"/>
                <w:sz w:val="20"/>
              </w:rPr>
              <w:t>1 053 590,63</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r>
        <w:tc>
          <w:tcPr>
            <w:tcW w:type="dxa" w:w="1077"/>
          </w:tcPr>
          <w:p>
            <w:pPr>
              <w:spacing w:line="280" w:lineRule="exact"/>
              <w:ind w:firstLine="0"/>
              <w:jc w:val="center"/>
            </w:pPr>
            <w:r/>
            <w:r>
              <w:rPr>
                <w:rFonts w:ascii="Times New Roman" w:hAnsi="Times New Roman" w:cs="Times New Roman" w:eastAsia="Times New Roman"/>
                <w:b w:val="0"/>
                <w:sz w:val="20"/>
              </w:rPr>
              <w:t>12</w:t>
            </w:r>
          </w:p>
        </w:tc>
        <w:tc>
          <w:tcPr>
            <w:tcW w:type="dxa" w:w="1077"/>
          </w:tcPr>
          <w:p>
            <w:pPr>
              <w:spacing w:line="280" w:lineRule="exact"/>
              <w:ind w:firstLine="0"/>
              <w:jc w:val="center"/>
            </w:pPr>
            <w:r/>
            <w:r>
              <w:rPr>
                <w:rFonts w:ascii="Times New Roman" w:hAnsi="Times New Roman" w:cs="Times New Roman" w:eastAsia="Times New Roman"/>
                <w:b w:val="0"/>
                <w:sz w:val="20"/>
              </w:rPr>
              <w:t>80 000</w:t>
            </w:r>
          </w:p>
        </w:tc>
        <w:tc>
          <w:tcPr>
            <w:tcW w:type="dxa" w:w="1077"/>
          </w:tcPr>
          <w:p>
            <w:pPr>
              <w:spacing w:line="280" w:lineRule="exact"/>
              <w:ind w:firstLine="0"/>
              <w:jc w:val="center"/>
            </w:pPr>
            <w:r/>
            <w:r>
              <w:rPr>
                <w:rFonts w:ascii="Times New Roman" w:hAnsi="Times New Roman" w:cs="Times New Roman" w:eastAsia="Times New Roman"/>
                <w:b w:val="0"/>
                <w:sz w:val="20"/>
              </w:rPr>
              <w:t>12,00</w:t>
            </w:r>
          </w:p>
        </w:tc>
        <w:tc>
          <w:tcPr>
            <w:tcW w:type="dxa" w:w="1077"/>
          </w:tcPr>
          <w:p>
            <w:pPr>
              <w:spacing w:line="280" w:lineRule="exact"/>
              <w:ind w:firstLine="0"/>
              <w:jc w:val="center"/>
            </w:pPr>
            <w:r/>
            <w:r>
              <w:rPr>
                <w:rFonts w:ascii="Times New Roman" w:hAnsi="Times New Roman" w:cs="Times New Roman" w:eastAsia="Times New Roman"/>
                <w:b w:val="0"/>
                <w:sz w:val="20"/>
              </w:rPr>
              <w:t>3</w:t>
            </w:r>
          </w:p>
        </w:tc>
        <w:tc>
          <w:tcPr>
            <w:tcW w:type="dxa" w:w="1077"/>
          </w:tcPr>
          <w:p>
            <w:pPr>
              <w:spacing w:line="280" w:lineRule="exact"/>
              <w:ind w:firstLine="0"/>
              <w:jc w:val="center"/>
            </w:pPr>
            <w:r/>
            <w:r>
              <w:rPr>
                <w:rFonts w:ascii="Times New Roman" w:hAnsi="Times New Roman" w:cs="Times New Roman" w:eastAsia="Times New Roman"/>
                <w:b w:val="0"/>
                <w:sz w:val="20"/>
              </w:rPr>
              <w:t>Ежемес.</w:t>
            </w:r>
          </w:p>
        </w:tc>
        <w:tc>
          <w:tcPr>
            <w:tcW w:type="dxa" w:w="1077"/>
          </w:tcPr>
          <w:p>
            <w:pPr>
              <w:spacing w:line="280" w:lineRule="exact"/>
              <w:ind w:firstLine="0"/>
              <w:jc w:val="center"/>
            </w:pPr>
            <w:r/>
            <w:r>
              <w:rPr>
                <w:rFonts w:ascii="Times New Roman" w:hAnsi="Times New Roman" w:cs="Times New Roman" w:eastAsia="Times New Roman"/>
                <w:b w:val="0"/>
                <w:sz w:val="20"/>
              </w:rPr>
              <w:t>—</w:t>
            </w:r>
          </w:p>
        </w:tc>
        <w:tc>
          <w:tcPr>
            <w:tcW w:type="dxa" w:w="1077"/>
          </w:tcPr>
          <w:p>
            <w:pPr>
              <w:spacing w:line="280" w:lineRule="exact"/>
              <w:ind w:firstLine="0"/>
              <w:jc w:val="center"/>
            </w:pPr>
            <w:r/>
            <w:r>
              <w:rPr>
                <w:rFonts w:ascii="Times New Roman" w:hAnsi="Times New Roman" w:cs="Times New Roman" w:eastAsia="Times New Roman"/>
                <w:b w:val="0"/>
                <w:sz w:val="20"/>
              </w:rPr>
              <w:t>82 424,08</w:t>
            </w:r>
          </w:p>
        </w:tc>
        <w:tc>
          <w:tcPr>
            <w:tcW w:type="dxa" w:w="1077"/>
          </w:tcPr>
          <w:p>
            <w:pPr>
              <w:spacing w:line="280" w:lineRule="exact"/>
              <w:ind w:firstLine="0"/>
              <w:jc w:val="center"/>
            </w:pPr>
            <w:r/>
            <w:r>
              <w:rPr>
                <w:rFonts w:ascii="Times New Roman" w:hAnsi="Times New Roman" w:cs="Times New Roman" w:eastAsia="Times New Roman"/>
                <w:b w:val="0"/>
                <w:sz w:val="20"/>
              </w:rPr>
              <w:t>82 424,08</w:t>
            </w:r>
          </w:p>
        </w:tc>
        <w:tc>
          <w:tcPr>
            <w:tcW w:type="dxa" w:w="1077"/>
          </w:tcPr>
          <w:p>
            <w:pPr>
              <w:spacing w:line="280" w:lineRule="exact"/>
              <w:ind w:firstLine="0"/>
              <w:jc w:val="center"/>
            </w:pPr>
            <w:r/>
            <w:r>
              <w:rPr>
                <w:rFonts w:ascii="Times New Roman" w:hAnsi="Times New Roman" w:cs="Times New Roman" w:eastAsia="Times New Roman"/>
                <w:b w:val="0"/>
                <w:sz w:val="20"/>
              </w:rPr>
              <w:t>0,000000</w:t>
            </w:r>
          </w:p>
        </w:tc>
      </w:tr>
    </w:tbl>
    <w:p>
      <w:pPr/>
      <w:r>
        <w:rPr>
          <w:rFonts w:ascii="Times New Roman" w:hAnsi="Times New Roman" w:cs="Times New Roman" w:eastAsia="Times New Roman"/>
          <w:b w:val="0"/>
          <w:sz w:val="28"/>
        </w:rPr>
        <w:t>Программный расчёт во всех 12 контрольных примерах совпал с аналитической формулой с точностью не менее 0,0001 %. Максимальное абсолютное отклонение (0,02 сомов на сумму 119 561,84 сомов) в примере 1 обусловлено применением банковского округления ROUND_HALF_EVEN на каждой итерации вместо однократного округления итогового результата.</w:t>
      </w:r>
    </w:p>
    <w:sectPr w:rsidR="00FC693F" w:rsidRPr="0006063C" w:rsidSect="00034616">
      <w:footerReference w:type="default" r:id="rId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20" w:lineRule="exact"/>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420" w:lineRule="exact"/>
      <w:ind w:firstLine="0"/>
      <w:jc w:val="center"/>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240" w:line="420" w:lineRule="exact"/>
      <w:ind w:firstLine="0"/>
      <w:jc w:val="center"/>
      <w:outlineLvl w:val="1"/>
    </w:pPr>
    <w:rPr>
      <w:rFonts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