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2E5FA1"/>
          <w:sz w:val="48"/>
          <w:szCs w:val="48"/>
        </w:rPr>
        <w:t xml:space="preserve">MPAC Protocol Analysis Report</w:t>
      </w:r>
    </w:p>
    <w:p>
      <w:pPr>
        <w:spacing w:after="40"/>
        <w:jc w:val="center"/>
      </w:pPr>
      <w:r>
        <w:rPr>
          <w:rFonts w:ascii="Arial" w:cs="Arial" w:eastAsia="Arial" w:hAnsi="Arial"/>
          <w:color w:val="666666"/>
          <w:sz w:val="28"/>
          <w:szCs w:val="28"/>
        </w:rPr>
        <w:t xml:space="preserve">Multi-Principal Agent Coordination Protocol</w:t>
      </w:r>
    </w:p>
    <w:p>
      <w:pPr>
        <w:spacing w:after="40"/>
        <w:jc w:val="center"/>
      </w:pPr>
      <w:r>
        <w:rPr>
          <w:rFonts w:ascii="Arial" w:cs="Arial" w:eastAsia="Arial" w:hAnsi="Arial"/>
          <w:color w:val="666666"/>
          <w:sz w:val="24"/>
          <w:szCs w:val="24"/>
        </w:rPr>
        <w:t xml:space="preserve">Key Problems, Solutions, and Comparison with Existing Protocols</w:t>
      </w:r>
    </w:p>
    <w:p>
      <w:pPr>
        <w:pBdr>
          <w:bottom w:val="single" w:color="2E5FA1" w:sz="6" w:space="1"/>
        </w:pBdr>
        <w:spacing w:after="600"/>
        <w:jc w:val="center"/>
      </w:pPr>
      <w:r>
        <w:rPr>
          <w:rFonts w:ascii="Arial" w:cs="Arial" w:eastAsia="Arial" w:hAnsi="Arial"/>
          <w:color w:val="999999"/>
          <w:sz w:val="22"/>
          <w:szCs w:val="22"/>
        </w:rPr>
        <w:t xml:space="preserve">March 2026</w:t>
      </w:r>
    </w:p>
    <w:p>
      <w:pPr>
        <w:pStyle w:val="Heading1"/>
      </w:pPr>
      <w:r>
        <w:rPr>
          <w:rFonts w:ascii="Arial" w:cs="Arial" w:eastAsia="Arial" w:hAnsi="Arial"/>
          <w:b/>
          <w:bCs/>
          <w:color w:val="2E5FA1"/>
          <w:sz w:val="36"/>
          <w:szCs w:val="36"/>
        </w:rPr>
        <w:t xml:space="preserve">1  Background: The Multi-Principal Problem</w:t>
      </w:r>
    </w:p>
    <w:p>
      <w:pPr>
        <w:spacing w:after="160" w:line="360"/>
      </w:pPr>
      <w:r>
        <w:rPr>
          <w:rFonts w:ascii="Arial" w:cs="Arial" w:eastAsia="Arial" w:hAnsi="Arial"/>
          <w:sz w:val="24"/>
          <w:szCs w:val="24"/>
        </w:rPr>
        <w:t xml:space="preserve">When multiple independent principals (distinct humans, organizations, or stakeholders with potentially conflicting goals) each deploy their own AI agents to collaborate on shared state, a set of coordination challenges emerges that single-principal architectures are not designed to handle. Existing protocols address different layers of the agent ecosystem:</w:t>
      </w:r>
    </w:p>
    <w:p>
      <w:pPr>
        <w:pStyle w:val="ListParagraph"/>
        <w:numPr>
          <w:ilvl w:val="0"/>
          <w:numId w:val="2"/>
        </w:numPr>
        <w:spacing w:after="80" w:line="340"/>
      </w:pPr>
      <w:r>
        <w:rPr>
          <w:rFonts w:ascii="Arial" w:cs="Arial" w:eastAsia="Arial" w:hAnsi="Arial"/>
          <w:sz w:val="24"/>
          <w:szCs w:val="24"/>
        </w:rPr>
        <w:t xml:space="preserve">MCP (Model Context Protocol) standardizes agent-to-tool communication: how a single agent discovers and invokes tools.</w:t>
      </w:r>
    </w:p>
    <w:p>
      <w:pPr>
        <w:pStyle w:val="ListParagraph"/>
        <w:numPr>
          <w:ilvl w:val="0"/>
          <w:numId w:val="2"/>
        </w:numPr>
        <w:spacing w:after="80" w:line="340"/>
      </w:pPr>
      <w:r>
        <w:rPr>
          <w:rFonts w:ascii="Arial" w:cs="Arial" w:eastAsia="Arial" w:hAnsi="Arial"/>
          <w:sz w:val="24"/>
          <w:szCs w:val="24"/>
        </w:rPr>
        <w:t xml:space="preserve">A2A (Agent-to-Agent Protocol) standardizes agent-to-agent communication under a single controlling principal: how one orchestrator delegates tasks to other agents it trusts.</w:t>
      </w:r>
    </w:p>
    <w:p>
      <w:pPr>
        <w:spacing w:after="160" w:line="360"/>
      </w:pPr>
      <w:r>
        <w:rPr>
          <w:rFonts w:ascii="Arial" w:cs="Arial" w:eastAsia="Arial" w:hAnsi="Arial"/>
          <w:sz w:val="24"/>
          <w:szCs w:val="24"/>
        </w:rPr>
        <w:t xml:space="preserve">MPAC (Multi-Principal Agent Coordination Protocol) addresses the layer that neither MCP nor A2A covers: </w:t>
      </w:r>
      <w:r>
        <w:rPr>
          <w:rFonts w:ascii="Arial" w:cs="Arial" w:eastAsia="Arial" w:hAnsi="Arial"/>
          <w:b/>
          <w:bCs/>
          <w:sz w:val="24"/>
          <w:szCs w:val="24"/>
        </w:rPr>
        <w:t xml:space="preserve">multi-principal coordination</w:t>
      </w:r>
      <w:r>
        <w:rPr>
          <w:rFonts w:ascii="Arial" w:cs="Arial" w:eastAsia="Arial" w:hAnsi="Arial"/>
          <w:sz w:val="24"/>
          <w:szCs w:val="24"/>
        </w:rPr>
        <w:t xml:space="preserve">. It targets scenarios where multiple independent stakeholders, each with their own agents acting on their behalf, need to collaborate over shared state.</w:t>
      </w:r>
    </w:p>
    <w:p>
      <w:pPr>
        <w:pStyle w:val="Heading1"/>
      </w:pPr>
      <w:r>
        <w:rPr>
          <w:rFonts w:ascii="Arial" w:cs="Arial" w:eastAsia="Arial" w:hAnsi="Arial"/>
          <w:b/>
          <w:bCs/>
          <w:color w:val="2E5FA1"/>
          <w:sz w:val="36"/>
          <w:szCs w:val="36"/>
        </w:rPr>
        <w:t xml:space="preserve">2  Core Problems in Multi-Principal Communication</w:t>
      </w:r>
    </w:p>
    <w:p>
      <w:pPr>
        <w:pStyle w:val="Heading2"/>
      </w:pPr>
      <w:r>
        <w:rPr>
          <w:rFonts w:ascii="Arial" w:cs="Arial" w:eastAsia="Arial" w:hAnsi="Arial"/>
          <w:b/>
          <w:bCs/>
          <w:color w:val="333333"/>
          <w:sz w:val="30"/>
          <w:szCs w:val="30"/>
        </w:rPr>
        <w:t xml:space="preserve">2.1  Intent Conflict Invisibility</w:t>
      </w:r>
    </w:p>
    <w:p>
      <w:pPr>
        <w:spacing w:after="160" w:line="360"/>
      </w:pPr>
      <w:r>
        <w:rPr>
          <w:rFonts w:ascii="Arial" w:cs="Arial" w:eastAsia="Arial" w:hAnsi="Arial"/>
          <w:sz w:val="24"/>
          <w:szCs w:val="24"/>
        </w:rPr>
        <w:t xml:space="preserve">In traditional agent systems, agents execute operations directly without any pre-announcement mechanism. When two agents serving different principals simultaneously plan to modify the same resource, the conflict only surfaces after the operations have already been performed. MPAC solves this through its Intent Layer: agents are required to broadcast an INTENT_ANNOUNCE before execution, declaring their objective, scope, assumptions, and time-to-live (TTL). This allows other participants to detect contradictions before any code is written or any booking is confirmed.</w:t>
      </w:r>
    </w:p>
    <w:p>
      <w:pPr>
        <w:spacing w:after="160" w:line="360"/>
      </w:pPr>
      <w:r>
        <w:rPr>
          <w:rFonts w:ascii="Arial" w:cs="Arial" w:eastAsia="Arial" w:hAnsi="Arial"/>
          <w:b/>
          <w:bCs/>
          <w:sz w:val="24"/>
          <w:szCs w:val="24"/>
        </w:rPr>
        <w:t xml:space="preserve">Example: </w:t>
      </w:r>
      <w:r>
        <w:rPr>
          <w:rFonts w:ascii="Arial" w:cs="Arial" w:eastAsia="Arial" w:hAnsi="Arial"/>
          <w:sz w:val="24"/>
          <w:szCs w:val="24"/>
        </w:rPr>
        <w:t xml:space="preserve">In a microservice development scenario, a backend agent assumed integer auto-increment IDs while a database agent planned UUID primary keys. Because both announced their intents (including assumptions) before writing code, the type mismatch was caught at the planning stage, not at runtime.</w:t>
      </w:r>
    </w:p>
    <w:p>
      <w:pPr>
        <w:pStyle w:val="Heading2"/>
      </w:pPr>
      <w:r>
        <w:rPr>
          <w:rFonts w:ascii="Arial" w:cs="Arial" w:eastAsia="Arial" w:hAnsi="Arial"/>
          <w:b/>
          <w:bCs/>
          <w:color w:val="333333"/>
          <w:sz w:val="30"/>
          <w:szCs w:val="30"/>
        </w:rPr>
        <w:t xml:space="preserve">2.2  Cross-Principal Authority Boundaries</w:t>
      </w:r>
    </w:p>
    <w:p>
      <w:pPr>
        <w:spacing w:after="160" w:line="360"/>
      </w:pPr>
      <w:r>
        <w:rPr>
          <w:rFonts w:ascii="Arial" w:cs="Arial" w:eastAsia="Arial" w:hAnsi="Arial"/>
          <w:sz w:val="24"/>
          <w:szCs w:val="24"/>
        </w:rPr>
        <w:t xml:space="preserve">In A2A’s single-orchestrator model, all agents trust the same principal, making authority straightforward. However, in multi-principal scenarios, fundamental questions arise: On what basis can Alice’s agent reject Bob’s agent’s operation? Who has final arbitration authority? MPAC addresses this through its Governance Layer, which defines a role-based authority model (observer, contributor, reviewer, owner, arbiter) with support for human override and escalation chains, enabling decision-making across organizational boundaries.</w:t>
      </w:r>
    </w:p>
    <w:p>
      <w:pPr>
        <w:pStyle w:val="Heading2"/>
      </w:pPr>
      <w:r>
        <w:rPr>
          <w:rFonts w:ascii="Arial" w:cs="Arial" w:eastAsia="Arial" w:hAnsi="Arial"/>
          <w:b/>
          <w:bCs/>
          <w:color w:val="333333"/>
          <w:sz w:val="30"/>
          <w:szCs w:val="30"/>
        </w:rPr>
        <w:t xml:space="preserve">2.3  Causal Accountability Across Principals</w:t>
      </w:r>
    </w:p>
    <w:p>
      <w:pPr>
        <w:spacing w:after="160" w:line="360"/>
      </w:pPr>
      <w:r>
        <w:rPr>
          <w:rFonts w:ascii="Arial" w:cs="Arial" w:eastAsia="Arial" w:hAnsi="Arial"/>
          <w:sz w:val="24"/>
          <w:szCs w:val="24"/>
        </w:rPr>
        <w:t xml:space="preserve">When a resolution affects multiple principals’ work, every participant needs to know: What information was the decision based on? What state did the decision-maker observe at the time? MPAC addresses this through its watermark mechanism (supporting vector clocks, Lamport clocks, causal frontiers, and opaque references), attaching causal context to every message to ensure a complete, traceable audit trail.</w:t>
      </w:r>
    </w:p>
    <w:p>
      <w:r>
        <w:br w:type="page"/>
      </w:r>
    </w:p>
    <w:p>
      <w:pPr>
        <w:pStyle w:val="Heading1"/>
      </w:pPr>
      <w:r>
        <w:rPr>
          <w:rFonts w:ascii="Arial" w:cs="Arial" w:eastAsia="Arial" w:hAnsi="Arial"/>
          <w:b/>
          <w:bCs/>
          <w:color w:val="2E5FA1"/>
          <w:sz w:val="36"/>
          <w:szCs w:val="36"/>
        </w:rPr>
        <w:t xml:space="preserve">3  Five-Point Comparison: MPAC vs. MCP vs. A2A</w:t>
      </w:r>
    </w:p>
    <w:p>
      <w:pPr>
        <w:spacing w:after="160" w:line="360"/>
      </w:pPr>
      <w:r>
        <w:rPr>
          <w:rFonts w:ascii="Arial" w:cs="Arial" w:eastAsia="Arial" w:hAnsi="Arial"/>
          <w:sz w:val="24"/>
          <w:szCs w:val="24"/>
        </w:rPr>
        <w:t xml:space="preserve">The following table summarizes the five key capability dimensions where MPAC addresses gaps left by existing protocols.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60"/>
        <w:gridCol w:w="2800"/>
      </w:tblGrid>
      <w:tr>
        <w:tc>
          <w:tcPr>
            <w:tcW w:type="dxa" w:w="2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Capability</w:t>
            </w:r>
          </w:p>
        </w:tc>
        <w:tc>
          <w:tcPr>
            <w:tcW w:type="dxa" w:w="1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MCP</w:t>
            </w:r>
          </w:p>
        </w:tc>
        <w:tc>
          <w:tcPr>
            <w:tcW w:type="dxa" w:w="19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A2A</w:t>
            </w:r>
          </w:p>
        </w:tc>
        <w:tc>
          <w:tcPr>
            <w:tcW w:type="dxa" w:w="2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MPAC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1. Multi-principal coordination</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N/A</w:t>
            </w:r>
          </w:p>
        </w:tc>
        <w:tc>
          <w:tcPr>
            <w:tcW w:type="dxa" w:w="1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Single principal only</w:t>
            </w:r>
          </w:p>
        </w:tc>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Multi-principal native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2. Pre-execution intent declaration</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1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Intent layer + TTL + assumptions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3. Structured conflict detection &amp; resolution</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color w:val="8B6914"/>
                <w:sz w:val="20"/>
                <w:szCs w:val="20"/>
              </w:rPr>
              <w:t xml:space="preserve">Task-level only</w:t>
            </w:r>
          </w:p>
        </w:tc>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Full conflict layer with escalation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4. Causal traceability</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1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Watermark system (vector clock,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5. Cross-principal governance &amp; override</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No</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color w:val="8B6914"/>
                <w:sz w:val="20"/>
                <w:szCs w:val="20"/>
              </w:rPr>
              <w:t xml:space="preserve">Within single trust domain</w:t>
            </w:r>
          </w:p>
        </w:tc>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Role-based authority + human escalation</w:t>
            </w:r>
          </w:p>
        </w:tc>
      </w:tr>
    </w:tbl>
    <w:p>
      <w:pPr>
        <w:spacing w:after="200"/>
      </w:pPr>
    </w:p>
    <w:p>
      <w:pPr>
        <w:pStyle w:val="Heading2"/>
      </w:pPr>
      <w:r>
        <w:rPr>
          <w:rFonts w:ascii="Arial" w:cs="Arial" w:eastAsia="Arial" w:hAnsi="Arial"/>
          <w:b/>
          <w:bCs/>
          <w:color w:val="333333"/>
          <w:sz w:val="30"/>
          <w:szCs w:val="30"/>
        </w:rPr>
        <w:t xml:space="preserve">3.1  Multi-Principal Coordination vs. Single-Principal Assumption</w:t>
      </w:r>
    </w:p>
    <w:p>
      <w:pPr>
        <w:spacing w:after="160" w:line="360"/>
      </w:pPr>
      <w:r>
        <w:rPr>
          <w:rFonts w:ascii="Arial" w:cs="Arial" w:eastAsia="Arial" w:hAnsi="Arial"/>
          <w:sz w:val="24"/>
          <w:szCs w:val="24"/>
        </w:rPr>
        <w:t xml:space="preserve">MCP solves how a single agent discovers and invokes tools without any concept of multiple independent principals. A2A solves how one orchestrator delegates tasks to subordinate agents, but its core assumption is that all agents trust a single controlling principal. MPAC natively treats multiple independent principals as a first-class concept: each participant has a principal_id and principal_type (human/agent/service), along with their own identity, roles, and capability declarations.</w:t>
      </w:r>
    </w:p>
    <w:p>
      <w:pPr>
        <w:spacing w:after="160" w:line="360"/>
      </w:pPr>
      <w:r>
        <w:rPr>
          <w:rFonts w:ascii="Arial" w:cs="Arial" w:eastAsia="Arial" w:hAnsi="Arial"/>
          <w:b/>
          <w:bCs/>
          <w:sz w:val="24"/>
          <w:szCs w:val="24"/>
        </w:rPr>
        <w:t xml:space="preserve">Concrete scenario: </w:t>
      </w:r>
      <w:r>
        <w:rPr>
          <w:rFonts w:ascii="Arial" w:cs="Arial" w:eastAsia="Arial" w:hAnsi="Arial"/>
          <w:sz w:val="24"/>
          <w:szCs w:val="24"/>
        </w:rPr>
        <w:t xml:space="preserve">In a cross-team feature development scenario (Scenario 4 in the MPAC specification), Alice’s team has 3 agents and Bob’s team also has 3 agents, with both humans serving as owners. A2A simply cannot express a structure where both parties have authority—it assumes a single orchestrator with full control over all agents.</w:t>
      </w:r>
    </w:p>
    <w:p>
      <w:pPr>
        <w:pStyle w:val="Heading2"/>
      </w:pPr>
      <w:r>
        <w:rPr>
          <w:rFonts w:ascii="Arial" w:cs="Arial" w:eastAsia="Arial" w:hAnsi="Arial"/>
          <w:b/>
          <w:bCs/>
          <w:color w:val="333333"/>
          <w:sz w:val="30"/>
          <w:szCs w:val="30"/>
        </w:rPr>
        <w:t xml:space="preserve">3.2  Pre-Execution Intent Declaration vs. Execute-First</w:t>
      </w:r>
    </w:p>
    <w:p>
      <w:pPr>
        <w:spacing w:after="160" w:line="360"/>
      </w:pPr>
      <w:r>
        <w:rPr>
          <w:rFonts w:ascii="Arial" w:cs="Arial" w:eastAsia="Arial" w:hAnsi="Arial"/>
          <w:sz w:val="24"/>
          <w:szCs w:val="24"/>
        </w:rPr>
        <w:t xml:space="preserve">Both MCP and A2A follow a request-response pattern: agents act without pre-announcement. MPAC introduces a complete Intent Layer (INTENT_ANNOUNCE / UPDATE / WITHDRAW) that requires agents to declare their objective, scope, assumptions, and TTL before execution. This means conflicts can be detected before code is written or reservations are confirmed.</w:t>
      </w:r>
    </w:p>
    <w:p>
      <w:pPr>
        <w:spacing w:after="160" w:line="360"/>
      </w:pPr>
      <w:r>
        <w:rPr>
          <w:rFonts w:ascii="Arial" w:cs="Arial" w:eastAsia="Arial" w:hAnsi="Arial"/>
          <w:b/>
          <w:bCs/>
          <w:sz w:val="24"/>
          <w:szCs w:val="24"/>
        </w:rPr>
        <w:t xml:space="preserve">Concrete scenario: </w:t>
      </w:r>
      <w:r>
        <w:rPr>
          <w:rFonts w:ascii="Arial" w:cs="Arial" w:eastAsia="Arial" w:hAnsi="Arial"/>
          <w:sz w:val="24"/>
          <w:szCs w:val="24"/>
        </w:rPr>
        <w:t xml:space="preserve">In the family vacation planning scenario (Scenario 5), four agents simultaneously announced their travel itinerary intents. Schedule conflicts (Hiroshima day trip vs. Tokyo activities, sibling schedule overlap) and a budget overrun were all surfaced before anyone booked any non-refundable tickets.</w:t>
      </w:r>
    </w:p>
    <w:p>
      <w:pPr>
        <w:pStyle w:val="Heading2"/>
      </w:pPr>
      <w:r>
        <w:rPr>
          <w:rFonts w:ascii="Arial" w:cs="Arial" w:eastAsia="Arial" w:hAnsi="Arial"/>
          <w:b/>
          <w:bCs/>
          <w:color w:val="333333"/>
          <w:sz w:val="30"/>
          <w:szCs w:val="30"/>
        </w:rPr>
        <w:t xml:space="preserve">3.3  Structured Conflict Handling vs. Conflict as Side Effect</w:t>
      </w:r>
    </w:p>
    <w:p>
      <w:pPr>
        <w:spacing w:after="160" w:line="360"/>
      </w:pPr>
      <w:r>
        <w:rPr>
          <w:rFonts w:ascii="Arial" w:cs="Arial" w:eastAsia="Arial" w:hAnsi="Arial"/>
          <w:sz w:val="24"/>
          <w:szCs w:val="24"/>
        </w:rPr>
        <w:t xml:space="preserve">A2A has task-level state management (tasks can complete or fail), but conflicts can only be expressed implicitly through task failure. MPAC elevates conflicts to first-class protocol objects: each conflict has a conflict_id, category (8 types including scope_overlap, assumption_contradiction, semantic_goal_conflict, etc.), severity levels, and detection basis (rule/heuristic/model_inference/human_report), with a full lifecycle (OPEN → ACKED → ESCALATED → RESOLVED → CLOSED).</w:t>
      </w:r>
    </w:p>
    <w:p>
      <w:pPr>
        <w:spacing w:after="160" w:line="360"/>
      </w:pPr>
      <w:r>
        <w:rPr>
          <w:rFonts w:ascii="Arial" w:cs="Arial" w:eastAsia="Arial" w:hAnsi="Arial"/>
          <w:sz w:val="24"/>
          <w:szCs w:val="24"/>
        </w:rPr>
        <w:t xml:space="preserve">Critically, MPAC supports conflict escalation: when agents cannot automatically resolve a conflict, CONFLICT_ESCALATE routes the issue to a higher-authority human arbiter. A2A has no corresponding mechanism for this.</w:t>
      </w:r>
    </w:p>
    <w:p>
      <w:pPr>
        <w:pStyle w:val="Heading2"/>
      </w:pPr>
      <w:r>
        <w:rPr>
          <w:rFonts w:ascii="Arial" w:cs="Arial" w:eastAsia="Arial" w:hAnsi="Arial"/>
          <w:b/>
          <w:bCs/>
          <w:color w:val="333333"/>
          <w:sz w:val="30"/>
          <w:szCs w:val="30"/>
        </w:rPr>
        <w:t xml:space="preserve">3.4  Causal Traceability vs. No Causal Context</w:t>
      </w:r>
    </w:p>
    <w:p>
      <w:pPr>
        <w:spacing w:after="160" w:line="360"/>
      </w:pPr>
      <w:r>
        <w:rPr>
          <w:rFonts w:ascii="Arial" w:cs="Arial" w:eastAsia="Arial" w:hAnsi="Arial"/>
          <w:sz w:val="24"/>
          <w:szCs w:val="24"/>
        </w:rPr>
        <w:t xml:space="preserve">Messages in MCP and A2A carry no causal state information. MPAC’s watermark mechanism (supporting vector_clock, lamport_clock, causal_frontier, and opaque modes) allows every message to declare what state the sender observed when making a decision. This is critical for audit scenarios.</w:t>
      </w:r>
    </w:p>
    <w:p>
      <w:pPr>
        <w:spacing w:after="160" w:line="360"/>
      </w:pPr>
      <w:r>
        <w:rPr>
          <w:rFonts w:ascii="Arial" w:cs="Arial" w:eastAsia="Arial" w:hAnsi="Arial"/>
          <w:b/>
          <w:bCs/>
          <w:sz w:val="24"/>
          <w:szCs w:val="24"/>
        </w:rPr>
        <w:t xml:space="preserve">Concrete scenario: </w:t>
      </w:r>
      <w:r>
        <w:rPr>
          <w:rFonts w:ascii="Arial" w:cs="Arial" w:eastAsia="Arial" w:hAnsi="Arial"/>
          <w:sz w:val="24"/>
          <w:szCs w:val="24"/>
        </w:rPr>
        <w:t xml:space="preserve">In the production incident response scenario (Scenario 3), when SRE Jordan decided to reject the cache flush hotfix, the watermark recorded that Jordan had already seen the diagnostics agent’s log analysis results showing HTTP 502 errors from the payment gateway. This constitutes a complete chain of decision evidence.</w:t>
      </w:r>
    </w:p>
    <w:p>
      <w:pPr>
        <w:pStyle w:val="Heading2"/>
      </w:pPr>
      <w:r>
        <w:rPr>
          <w:rFonts w:ascii="Arial" w:cs="Arial" w:eastAsia="Arial" w:hAnsi="Arial"/>
          <w:b/>
          <w:bCs/>
          <w:color w:val="333333"/>
          <w:sz w:val="30"/>
          <w:szCs w:val="30"/>
        </w:rPr>
        <w:t xml:space="preserve">3.5  Cross-Principal Governance vs. Single Trust Domain</w:t>
      </w:r>
    </w:p>
    <w:p>
      <w:pPr>
        <w:spacing w:after="160" w:line="360"/>
      </w:pPr>
      <w:r>
        <w:rPr>
          <w:rFonts w:ascii="Arial" w:cs="Arial" w:eastAsia="Arial" w:hAnsi="Arial"/>
          <w:sz w:val="24"/>
          <w:szCs w:val="24"/>
        </w:rPr>
        <w:t xml:space="preserve">A2A’s governance essentially means the orchestrator has the final say, since it assumes a single trust domain. MPAC defines a role-based authority model (observer/contributor/reviewer/owner/arbiter) with support for human override, escalation chains, and finality policies.</w:t>
      </w:r>
    </w:p>
    <w:p>
      <w:pPr>
        <w:spacing w:after="160" w:line="360"/>
      </w:pPr>
      <w:r>
        <w:rPr>
          <w:rFonts w:ascii="Arial" w:cs="Arial" w:eastAsia="Arial" w:hAnsi="Arial"/>
          <w:b/>
          <w:bCs/>
          <w:sz w:val="24"/>
          <w:szCs w:val="24"/>
        </w:rPr>
        <w:t xml:space="preserve">Concrete scenario: </w:t>
      </w:r>
      <w:r>
        <w:rPr>
          <w:rFonts w:ascii="Arial" w:cs="Arial" w:eastAsia="Arial" w:hAnsi="Arial"/>
          <w:sz w:val="24"/>
          <w:szCs w:val="24"/>
        </w:rPr>
        <w:t xml:space="preserve">In the cross-team OpenAPI specification ownership conflict (Scenario 4), Bob first proposed a resolution giving backend ownership of the spec. Alice’s agent disputed it. Alice proposed a counter-resolution. Bob accepted. This multi-party negotiation played out entirely through structured protocol messages with full traceability—something A2A has no mechanism to support.</w:t>
      </w:r>
    </w:p>
    <w:p>
      <w:pPr>
        <w:spacing w:after="160" w:line="360"/>
      </w:pPr>
      <w:r>
        <w:rPr>
          <w:rFonts w:ascii="Arial" w:cs="Arial" w:eastAsia="Arial" w:hAnsi="Arial"/>
          <w:b/>
          <w:bCs/>
          <w:sz w:val="24"/>
          <w:szCs w:val="24"/>
        </w:rPr>
        <w:t xml:space="preserve">Another example: </w:t>
      </w:r>
      <w:r>
        <w:rPr>
          <w:rFonts w:ascii="Arial" w:cs="Arial" w:eastAsia="Arial" w:hAnsi="Arial"/>
          <w:sz w:val="24"/>
          <w:szCs w:val="24"/>
        </w:rPr>
        <w:t xml:space="preserve">In Scenario 5 (family vacation planning), teenagers’ agents only had op.propose capability without op.commit; all bookings required parental approval. This governance granularity—where different principals have different permission levels within the same session—is not expressible in either MCP or A2A.</w:t>
      </w:r>
    </w:p>
    <w:p>
      <w:r>
        <w:br w:type="page"/>
      </w:r>
    </w:p>
    <w:p>
      <w:pPr>
        <w:pStyle w:val="Heading1"/>
      </w:pPr>
      <w:r>
        <w:rPr>
          <w:rFonts w:ascii="Arial" w:cs="Arial" w:eastAsia="Arial" w:hAnsi="Arial"/>
          <w:b/>
          <w:bCs/>
          <w:color w:val="2E5FA1"/>
          <w:sz w:val="36"/>
          <w:szCs w:val="36"/>
        </w:rPr>
        <w:t xml:space="preserve">4  Additional Problems Solved by MPAC</w:t>
      </w:r>
    </w:p>
    <w:p>
      <w:pPr>
        <w:spacing w:after="160" w:line="360"/>
      </w:pPr>
      <w:r>
        <w:rPr>
          <w:rFonts w:ascii="Arial" w:cs="Arial" w:eastAsia="Arial" w:hAnsi="Arial"/>
          <w:sz w:val="24"/>
          <w:szCs w:val="24"/>
        </w:rPr>
        <w:t xml:space="preserve">Beyond the five core comparison points above, MPAC addresses several additional challenges that are rarely discussed by existing protocols.</w:t>
      </w:r>
    </w:p>
    <w:p>
      <w:pPr>
        <w:pStyle w:val="Heading2"/>
      </w:pPr>
      <w:r>
        <w:rPr>
          <w:rFonts w:ascii="Arial" w:cs="Arial" w:eastAsia="Arial" w:hAnsi="Arial"/>
          <w:b/>
          <w:bCs/>
          <w:color w:val="333333"/>
          <w:sz w:val="30"/>
          <w:szCs w:val="30"/>
        </w:rPr>
        <w:t xml:space="preserve">4.1  Graceful Exit and Intent Lifecycle Management</w:t>
      </w:r>
    </w:p>
    <w:p>
      <w:pPr>
        <w:spacing w:after="160" w:line="360"/>
      </w:pPr>
      <w:r>
        <w:rPr>
          <w:rFonts w:ascii="Arial" w:cs="Arial" w:eastAsia="Arial" w:hAnsi="Arial"/>
          <w:sz w:val="24"/>
          <w:szCs w:val="24"/>
        </w:rPr>
        <w:t xml:space="preserve">Existing protocols largely ignore what happens when a participant leaves mid-session. MPAC’s GOODBYE message includes an intent_disposition field (withdraw/transfer/expire), explicitly answering a practical question: when an agent crashes or disconnects, what happens to its ongoing work? In-flight OP_PROPOSE messages and active intents do not become orphaned. A2A’s task model treats agent failure as simple task failure; MPAC allows intents to be transferred to other participants, providing a more resilient design for long-running multi-agent collaborations.</w:t>
      </w:r>
    </w:p>
    <w:p>
      <w:pPr>
        <w:pStyle w:val="Heading2"/>
      </w:pPr>
      <w:r>
        <w:rPr>
          <w:rFonts w:ascii="Arial" w:cs="Arial" w:eastAsia="Arial" w:hAnsi="Arial"/>
          <w:b/>
          <w:bCs/>
          <w:color w:val="333333"/>
          <w:sz w:val="30"/>
          <w:szCs w:val="30"/>
        </w:rPr>
        <w:t xml:space="preserve">4.2  Explicit Assumption Declaration</w:t>
      </w:r>
    </w:p>
    <w:p>
      <w:pPr>
        <w:spacing w:after="160" w:line="360"/>
      </w:pPr>
      <w:r>
        <w:rPr>
          <w:rFonts w:ascii="Arial" w:cs="Arial" w:eastAsia="Arial" w:hAnsi="Arial"/>
          <w:sz w:val="24"/>
          <w:szCs w:val="24"/>
        </w:rPr>
        <w:t xml:space="preserve">This design is particularly elegant. MPAC intents not only declare what the agent plans to do (objective) and what resources it will touch (scope), but also require declaring what the agent assumes to be true (assumptions). Traditional scope-based conflict detection cannot catch situations where two agents have non-overlapping scopes but contradictory assumptions. MPAC makes assumption_contradiction a detectable conflict category by elevating assumptions to a structured field, enabling semantic-level conflict detection rather than just resource-level overlap detection.</w:t>
      </w:r>
    </w:p>
    <w:p>
      <w:pPr>
        <w:spacing w:after="160" w:line="360"/>
      </w:pPr>
      <w:r>
        <w:rPr>
          <w:rFonts w:ascii="Arial" w:cs="Arial" w:eastAsia="Arial" w:hAnsi="Arial"/>
          <w:b/>
          <w:bCs/>
          <w:sz w:val="24"/>
          <w:szCs w:val="24"/>
        </w:rPr>
        <w:t xml:space="preserve">Example: </w:t>
      </w:r>
      <w:r>
        <w:rPr>
          <w:rFonts w:ascii="Arial" w:cs="Arial" w:eastAsia="Arial" w:hAnsi="Arial"/>
          <w:sz w:val="24"/>
          <w:szCs w:val="24"/>
        </w:rPr>
        <w:t xml:space="preserve">A backend agent assumes integer IDs; a database agent assumes UUIDs. Their scopes (different files) do not overlap, but their assumptions directly contradict each other. MPAC catches this; traditional scope-based conflict detection cannot.</w:t>
      </w:r>
    </w:p>
    <w:p>
      <w:pPr>
        <w:pStyle w:val="Heading2"/>
      </w:pPr>
      <w:r>
        <w:rPr>
          <w:rFonts w:ascii="Arial" w:cs="Arial" w:eastAsia="Arial" w:hAnsi="Arial"/>
          <w:b/>
          <w:bCs/>
          <w:color w:val="333333"/>
          <w:sz w:val="30"/>
          <w:szCs w:val="30"/>
        </w:rPr>
        <w:t xml:space="preserve">4.3  Detection Algorithm Decoupling</w:t>
      </w:r>
    </w:p>
    <w:p>
      <w:pPr>
        <w:spacing w:after="160" w:line="360"/>
      </w:pPr>
      <w:r>
        <w:rPr>
          <w:rFonts w:ascii="Arial" w:cs="Arial" w:eastAsia="Arial" w:hAnsi="Arial"/>
          <w:sz w:val="24"/>
          <w:szCs w:val="24"/>
        </w:rPr>
        <w:t xml:space="preserve">MPAC’s conflict basis.kind field distinguishes four detection methods: rule, heuristic, model_inference, and human_report. This means the same protocol can simultaneously accommodate deterministic rules (two agents modifying the same file → scope_overlap), heuristic judgments (budget exceeded → heuristic), LLM reasoning (code patterns implying integer IDs → model_inference), and human discoveries. Existing protocols either assume conflict detection is deterministic (like git merge conflicts) or do not address detection at all. MPAC records who detected the conflict and how as metadata, which is valuable for audit and trust calibration.</w:t>
      </w:r>
    </w:p>
    <w:p>
      <w:pPr>
        <w:pStyle w:val="Heading2"/>
      </w:pPr>
      <w:r>
        <w:rPr>
          <w:rFonts w:ascii="Arial" w:cs="Arial" w:eastAsia="Arial" w:hAnsi="Arial"/>
          <w:b/>
          <w:bCs/>
          <w:color w:val="333333"/>
          <w:sz w:val="30"/>
          <w:szCs w:val="30"/>
        </w:rPr>
        <w:t xml:space="preserve">4.4  Capability Advertisement and Progressive Compliance</w:t>
      </w:r>
    </w:p>
    <w:p>
      <w:pPr>
        <w:spacing w:after="160" w:line="360"/>
      </w:pPr>
      <w:r>
        <w:rPr>
          <w:rFonts w:ascii="Arial" w:cs="Arial" w:eastAsia="Arial" w:hAnsi="Arial"/>
          <w:sz w:val="24"/>
          <w:szCs w:val="24"/>
        </w:rPr>
        <w:t xml:space="preserve">Through HELLO message capability fields and three compliance profiles (Core/Governance/Semantic), MPAC allows agents with different capability levels to coexist in the same session. A simple agent implementing only the Core profile can participate alongside an advanced agent supporting semantic analysis and model_inference. This solves a practical deployment problem: you do not need to wait for all agents to upgrade to the latest version before starting to use the protocol. While A2A’s agent card also includes skill declarations, those describe what tasks the agent can perform, not what coordination-layer features it supports.</w:t>
      </w:r>
    </w:p>
    <w:p>
      <w:pPr>
        <w:pStyle w:val="Heading2"/>
      </w:pPr>
      <w:r>
        <w:rPr>
          <w:rFonts w:ascii="Arial" w:cs="Arial" w:eastAsia="Arial" w:hAnsi="Arial"/>
          <w:b/>
          <w:bCs/>
          <w:color w:val="333333"/>
          <w:sz w:val="30"/>
          <w:szCs w:val="30"/>
        </w:rPr>
        <w:t xml:space="preserve">4.5  Complete Transport-Semantics Separation</w:t>
      </w:r>
    </w:p>
    <w:p>
      <w:pPr>
        <w:spacing w:after="160" w:line="360"/>
      </w:pPr>
      <w:r>
        <w:rPr>
          <w:rFonts w:ascii="Arial" w:cs="Arial" w:eastAsia="Arial" w:hAnsi="Arial"/>
          <w:sz w:val="24"/>
          <w:szCs w:val="24"/>
        </w:rPr>
        <w:t xml:space="preserve">MPAC does not bind to any transport mechanism: WebSocket, HTTP, message queues, peer-to-peer, and even append-only logs are all valid. Simultaneously, it defines semantic ordering constraints (session-first, intent-before-operation, conflict-before-resolution) independent of transport ordering. This means a single MPAC session can run across different infrastructure: Alice’s agent connects via WebSocket, Bob’s agent via message queue, and the human via HTTP polling, all maintaining semantic consistency. MCP binds to JSON-RPC transport and A2A binds to HTTP + SSE, offering significantly less flexibility.</w:t>
      </w:r>
    </w:p>
    <w:p>
      <w:pPr>
        <w:pStyle w:val="Heading2"/>
      </w:pPr>
      <w:r>
        <w:rPr>
          <w:rFonts w:ascii="Arial" w:cs="Arial" w:eastAsia="Arial" w:hAnsi="Arial"/>
          <w:b/>
          <w:bCs/>
          <w:color w:val="333333"/>
          <w:sz w:val="30"/>
          <w:szCs w:val="30"/>
        </w:rPr>
        <w:t xml:space="preserve">4.6  Explicit Audit Chain via OP_SUPERSEDE</w:t>
      </w:r>
    </w:p>
    <w:p>
      <w:pPr>
        <w:spacing w:after="160" w:line="360"/>
      </w:pPr>
      <w:r>
        <w:rPr>
          <w:rFonts w:ascii="Arial" w:cs="Arial" w:eastAsia="Arial" w:hAnsi="Arial"/>
          <w:sz w:val="24"/>
          <w:szCs w:val="24"/>
        </w:rPr>
        <w:t xml:space="preserve">Most systems handle operation corrections either through silent overwrite (git force push) or by creating new versions without declaring relationships. MPAC’s OP_SUPERSEDE explicitly records supersedes_op_id, establishing a causal chain of what operation replaced what in the audit trail. This is extremely valuable for compliance and post-incident review scenarios, as it creates a complete record of how decisions evolved over time.</w:t>
      </w:r>
    </w:p>
    <w:p>
      <w:pPr>
        <w:pStyle w:val="Heading1"/>
      </w:pPr>
      <w:r>
        <w:rPr>
          <w:rFonts w:ascii="Arial" w:cs="Arial" w:eastAsia="Arial" w:hAnsi="Arial"/>
          <w:b/>
          <w:bCs/>
          <w:color w:val="2E5FA1"/>
          <w:sz w:val="36"/>
          <w:szCs w:val="36"/>
        </w:rPr>
        <w:t xml:space="preserve">5  Protocol Stack Positioning</w:t>
      </w:r>
    </w:p>
    <w:p>
      <w:pPr>
        <w:spacing w:after="160" w:line="360"/>
      </w:pPr>
      <w:r>
        <w:rPr>
          <w:rFonts w:ascii="Arial" w:cs="Arial" w:eastAsia="Arial" w:hAnsi="Arial"/>
          <w:sz w:val="24"/>
          <w:szCs w:val="24"/>
        </w:rPr>
        <w:t xml:space="preserve">The three protocols form a complementary layered stack, each addressing a different coordination layer:</w:t>
      </w:r>
    </w:p>
    <w:p>
      <w:pPr>
        <w:pStyle w:val="ListParagraph"/>
        <w:numPr>
          <w:ilvl w:val="0"/>
          <w:numId w:val="3"/>
        </w:numPr>
        <w:spacing w:after="80" w:line="340"/>
      </w:pPr>
      <w:r>
        <w:rPr>
          <w:rFonts w:ascii="Arial" w:cs="Arial" w:eastAsia="Arial" w:hAnsi="Arial"/>
          <w:sz w:val="24"/>
          <w:szCs w:val="24"/>
        </w:rPr>
        <w:t xml:space="preserve">MCP (Base Layer): Agent-to-tool communication. How a single agent discovers and invokes tools.</w:t>
      </w:r>
    </w:p>
    <w:p>
      <w:pPr>
        <w:pStyle w:val="ListParagraph"/>
        <w:numPr>
          <w:ilvl w:val="0"/>
          <w:numId w:val="3"/>
        </w:numPr>
        <w:spacing w:after="80" w:line="340"/>
      </w:pPr>
      <w:r>
        <w:rPr>
          <w:rFonts w:ascii="Arial" w:cs="Arial" w:eastAsia="Arial" w:hAnsi="Arial"/>
          <w:sz w:val="24"/>
          <w:szCs w:val="24"/>
        </w:rPr>
        <w:t xml:space="preserve">A2A (Middle Layer): Agent-to-agent delegation. How one orchestrator delegates tasks to agents within a single trust domain.</w:t>
      </w:r>
    </w:p>
    <w:p>
      <w:pPr>
        <w:pStyle w:val="ListParagraph"/>
        <w:numPr>
          <w:ilvl w:val="0"/>
          <w:numId w:val="3"/>
        </w:numPr>
        <w:spacing w:after="80" w:line="340"/>
      </w:pPr>
      <w:r>
        <w:rPr>
          <w:rFonts w:ascii="Arial" w:cs="Arial" w:eastAsia="Arial" w:hAnsi="Arial"/>
          <w:sz w:val="24"/>
          <w:szCs w:val="24"/>
        </w:rPr>
        <w:t xml:space="preserve">MPAC (Top Layer): Multi-principal coordination. How agents serving different independent principals coordinate over shared state with explicit intent, conflict handling, and governance.</w:t>
      </w:r>
    </w:p>
    <w:p>
      <w:pPr>
        <w:spacing w:after="160" w:line="360"/>
      </w:pPr>
      <w:r>
        <w:rPr>
          <w:rFonts w:ascii="Arial" w:cs="Arial" w:eastAsia="Arial" w:hAnsi="Arial"/>
          <w:sz w:val="24"/>
          <w:szCs w:val="24"/>
        </w:rPr>
        <w:t xml:space="preserve">MPAC does not replace MCP or A2A but rather complements them by filling the architectural gap between single-agent tooling and multi-stakeholder collaboration. An implementation could use MCP for tool invocation, A2A for intra-team agent delegation, and MPAC for cross-team coordination—all within the same system.</w:t>
      </w:r>
    </w:p>
    <w:p>
      <w:pPr>
        <w:pStyle w:val="Heading1"/>
      </w:pPr>
      <w:r>
        <w:rPr>
          <w:rFonts w:ascii="Arial" w:cs="Arial" w:eastAsia="Arial" w:hAnsi="Arial"/>
          <w:b/>
          <w:bCs/>
          <w:color w:val="2E5FA1"/>
          <w:sz w:val="36"/>
          <w:szCs w:val="36"/>
        </w:rPr>
        <w:t xml:space="preserve">6  Summary</w:t>
      </w:r>
    </w:p>
    <w:p>
      <w:pPr>
        <w:spacing w:after="160" w:line="360"/>
      </w:pPr>
      <w:r>
        <w:rPr>
          <w:rFonts w:ascii="Arial" w:cs="Arial" w:eastAsia="Arial" w:hAnsi="Arial"/>
          <w:sz w:val="24"/>
          <w:szCs w:val="24"/>
        </w:rPr>
        <w:t xml:space="preserve">MPAC addresses a fundamental gap in the current agent protocol ecosystem. By treating intent, conflict, governance, and causality as explicit, structured protocol objects rather than hidden application logic, MPAC enables collaborative agent systems that are more interoperable, auditable, and governable. Its five-layer architecture (Session, Intent, Operation, Conflict, Governance) provides the minimal but sufficient scaffolding for multi-principal coordination, while its transport independence and progressive compliance profiles ensure practical deployability across diverse environments.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MPAC Protocol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FA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2026-03-30T22:33:27.493Z</dcterms:created>
  <dcterms:modified xsi:type="dcterms:W3CDTF">2026-03-30T22:33:27.494Z</dcterms:modified>
</cp:coreProperties>
</file>

<file path=docProps/custom.xml><?xml version="1.0" encoding="utf-8"?>
<Properties xmlns="http://schemas.openxmlformats.org/officeDocument/2006/custom-properties" xmlns:vt="http://schemas.openxmlformats.org/officeDocument/2006/docPropsVTypes"/>
</file>