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7C7B7" w14:textId="77777777" w:rsidR="007221F9" w:rsidRDefault="00977F03">
      <w:pPr>
        <w:pStyle w:val="1"/>
        <w:widowControl/>
        <w:spacing w:beforeAutospacing="0" w:after="150" w:afterAutospacing="0" w:line="24" w:lineRule="atLeast"/>
        <w:rPr>
          <w:rFonts w:hint="default"/>
          <w:color w:val="000000"/>
          <w:sz w:val="42"/>
          <w:szCs w:val="42"/>
        </w:rPr>
      </w:pPr>
      <w:r>
        <w:rPr>
          <w:color w:val="000000"/>
          <w:sz w:val="42"/>
          <w:szCs w:val="42"/>
          <w:shd w:val="clear" w:color="auto" w:fill="FFFFFF"/>
        </w:rPr>
        <w:t>作业</w:t>
      </w:r>
      <w:r>
        <w:rPr>
          <w:color w:val="000000"/>
          <w:sz w:val="42"/>
          <w:szCs w:val="42"/>
          <w:shd w:val="clear" w:color="auto" w:fill="FFFFFF"/>
        </w:rPr>
        <w:t>二</w:t>
      </w:r>
      <w:r>
        <w:rPr>
          <w:color w:val="000000"/>
          <w:sz w:val="42"/>
          <w:szCs w:val="42"/>
          <w:shd w:val="clear" w:color="auto" w:fill="FFFFFF"/>
        </w:rPr>
        <w:t>：模型评估及选择</w:t>
      </w:r>
    </w:p>
    <w:p w14:paraId="1AE58303" w14:textId="77777777" w:rsidR="007221F9" w:rsidRDefault="00977F03">
      <w:pPr>
        <w:pStyle w:val="a3"/>
        <w:widowControl/>
        <w:spacing w:beforeAutospacing="0" w:after="226" w:afterAutospacing="0" w:line="24" w:lineRule="atLeast"/>
        <w:ind w:left="720" w:right="720"/>
      </w:pPr>
      <w:r>
        <w:rPr>
          <w:rFonts w:ascii="宋体" w:eastAsia="宋体" w:hAnsi="宋体" w:cs="宋体" w:hint="eastAsia"/>
          <w:color w:val="777777"/>
          <w:shd w:val="clear" w:color="auto" w:fill="FFFFFF"/>
        </w:rPr>
        <w:t>《机器学习》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t>周志华著，第二章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t>模型评估及选择</w:t>
      </w:r>
    </w:p>
    <w:p w14:paraId="71DFC129" w14:textId="77777777" w:rsidR="007221F9" w:rsidRDefault="00977F03">
      <w:pPr>
        <w:pStyle w:val="a3"/>
        <w:widowControl/>
        <w:spacing w:before="226" w:beforeAutospacing="0" w:afterAutospacing="0" w:line="24" w:lineRule="atLeast"/>
        <w:ind w:left="720" w:right="720"/>
      </w:pPr>
      <w:r>
        <w:rPr>
          <w:rFonts w:ascii="宋体" w:eastAsia="宋体" w:hAnsi="宋体" w:cs="宋体" w:hint="eastAsia"/>
          <w:color w:val="777777"/>
          <w:shd w:val="clear" w:color="auto" w:fill="FFFFFF"/>
        </w:rPr>
        <w:t>总分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t>50</w:t>
      </w:r>
      <w:r>
        <w:rPr>
          <w:rFonts w:ascii="宋体" w:eastAsia="宋体" w:hAnsi="宋体" w:cs="宋体" w:hint="eastAsia"/>
          <w:color w:val="777777"/>
          <w:shd w:val="clear" w:color="auto" w:fill="FFFFFF"/>
        </w:rPr>
        <w:t>分。</w:t>
      </w:r>
    </w:p>
    <w:p w14:paraId="30022F24" w14:textId="77777777" w:rsidR="007221F9" w:rsidRDefault="00977F0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1. </w:t>
      </w:r>
      <w:r>
        <w:rPr>
          <w:color w:val="333333"/>
          <w:shd w:val="clear" w:color="auto" w:fill="FFFFFF"/>
        </w:rPr>
        <w:t>评估方法（留出法）</w:t>
      </w:r>
    </w:p>
    <w:p w14:paraId="5ED74B9F" w14:textId="77777777" w:rsidR="007221F9" w:rsidRDefault="00977F03">
      <w:pPr>
        <w:pStyle w:val="a3"/>
        <w:widowControl/>
        <w:spacing w:before="150" w:beforeAutospacing="0" w:after="226" w:afterAutospacing="0" w:line="24" w:lineRule="atLeast"/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数据集包含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1000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个样本，其中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500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个正例、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500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个反例，将其划分为包含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70%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样本的训练集和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30%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样本的测试集用于留出法评估，试估计共有多少种划分方式。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（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分）</w:t>
      </w:r>
    </w:p>
    <w:p w14:paraId="047D00E9" w14:textId="77777777" w:rsidR="007221F9" w:rsidRDefault="00977F03">
      <w:pPr>
        <w:pStyle w:val="a3"/>
        <w:widowControl/>
        <w:spacing w:before="226" w:beforeAutospacing="0" w:after="226" w:afterAutospacing="0" w:line="24" w:lineRule="atLeast"/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答案：</w:t>
      </w:r>
    </w:p>
    <w:p w14:paraId="4A989E92" w14:textId="747A6265" w:rsidR="007221F9" w:rsidRDefault="00774829">
      <w:pPr>
        <w:pStyle w:val="3"/>
        <w:widowControl/>
        <w:spacing w:before="300" w:beforeAutospacing="0" w:after="150" w:afterAutospacing="0" w:line="24" w:lineRule="atLeast"/>
        <w:rPr>
          <w:rFonts w:hint="default"/>
          <w:color w:val="333333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C</m:t>
          </m:r>
          <m:d>
            <m:dPr>
              <m:ctrlPr>
                <w:rPr>
                  <w:rFonts w:ascii="Cambria Math" w:hAnsi="Cambria Math" w:hint="default"/>
                  <w:i/>
                  <w:color w:val="333333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500,150</m:t>
              </m:r>
            </m:e>
          </m:d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*C(500,350)</m:t>
          </m:r>
        </m:oMath>
      </m:oMathPara>
    </w:p>
    <w:p w14:paraId="5C081C28" w14:textId="77777777" w:rsidR="007221F9" w:rsidRDefault="00977F0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2. </w:t>
      </w:r>
      <w:r>
        <w:rPr>
          <w:color w:val="333333"/>
          <w:shd w:val="clear" w:color="auto" w:fill="FFFFFF"/>
        </w:rPr>
        <w:t>评估方法（交叉验证法）</w:t>
      </w:r>
    </w:p>
    <w:p w14:paraId="3E2D118F" w14:textId="77777777" w:rsidR="007221F9" w:rsidRDefault="00977F03">
      <w:pPr>
        <w:pStyle w:val="a3"/>
        <w:widowControl/>
        <w:spacing w:before="150" w:beforeAutospacing="0" w:after="226" w:afterAutospacing="0" w:line="24" w:lineRule="atLeast"/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数据集包含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100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个样本，其中正、反例各一半，假定学习算法所产生的模型是将新样本预测为训练样本较多的类别（训练样本数相同时进行随机猜测），试给出用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折交叉验证法和留一法分别对错误率进行评估所得到的结果。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（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20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分）</w:t>
      </w:r>
    </w:p>
    <w:p w14:paraId="62076B6C" w14:textId="77777777" w:rsidR="007221F9" w:rsidRDefault="00977F03">
      <w:pPr>
        <w:pStyle w:val="a3"/>
        <w:widowControl/>
        <w:spacing w:before="226" w:beforeAutospacing="0" w:after="226" w:afterAutospacing="0" w:line="24" w:lineRule="atLeast"/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答案：</w:t>
      </w:r>
    </w:p>
    <w:p w14:paraId="5A403570" w14:textId="77777777" w:rsidR="00977F03" w:rsidRDefault="00977F03" w:rsidP="00977F03">
      <w:pPr>
        <w:widowControl/>
        <w:spacing w:line="24" w:lineRule="atLeast"/>
        <w:ind w:right="144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折交叉验证：交叉验证中每个子集数据分布要尽可能保持一致，那么本题中</w:t>
      </w:r>
      <w:r>
        <w:rPr>
          <w:rFonts w:hint="eastAsia"/>
        </w:rPr>
        <w:t>10</w:t>
      </w:r>
      <w:r>
        <w:rPr>
          <w:rFonts w:hint="eastAsia"/>
        </w:rPr>
        <w:t>次训练中每次正反例各占</w:t>
      </w:r>
      <w:r>
        <w:rPr>
          <w:rFonts w:hint="eastAsia"/>
        </w:rPr>
        <w:t>45</w:t>
      </w:r>
      <w:r>
        <w:rPr>
          <w:rFonts w:hint="eastAsia"/>
        </w:rPr>
        <w:t>，模型训练结果随机猜测，错误率期望为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C4EF116" w14:textId="77777777" w:rsidR="00977F03" w:rsidRDefault="00977F03" w:rsidP="00977F03">
      <w:pPr>
        <w:widowControl/>
        <w:spacing w:line="24" w:lineRule="atLeast"/>
        <w:ind w:right="1440"/>
      </w:pPr>
    </w:p>
    <w:p w14:paraId="51B0EB38" w14:textId="2B83CC4F" w:rsidR="007221F9" w:rsidRDefault="00977F03" w:rsidP="00977F03">
      <w:pPr>
        <w:widowControl/>
        <w:spacing w:line="24" w:lineRule="atLeast"/>
        <w:ind w:right="1440"/>
        <w:rPr>
          <w:rFonts w:hint="eastAsia"/>
        </w:rPr>
      </w:pPr>
      <w:r>
        <w:rPr>
          <w:rFonts w:hint="eastAsia"/>
        </w:rPr>
        <w:t>留一法：若留出样本为正例，训练集中则有</w:t>
      </w:r>
      <w:r>
        <w:rPr>
          <w:rFonts w:hint="eastAsia"/>
        </w:rPr>
        <w:t>50</w:t>
      </w:r>
      <w:r>
        <w:rPr>
          <w:rFonts w:hint="eastAsia"/>
        </w:rPr>
        <w:t>个反例和</w:t>
      </w:r>
      <w:r>
        <w:rPr>
          <w:rFonts w:hint="eastAsia"/>
        </w:rPr>
        <w:t>49</w:t>
      </w:r>
      <w:r>
        <w:rPr>
          <w:rFonts w:hint="eastAsia"/>
        </w:rPr>
        <w:t>个正例，模型预测为反例；反之留出样本为反例，模型预测为正例，错误率为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0B3CAD25" w14:textId="77777777" w:rsidR="007221F9" w:rsidRDefault="00977F0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3. </w:t>
      </w:r>
      <w:r>
        <w:rPr>
          <w:color w:val="333333"/>
          <w:shd w:val="clear" w:color="auto" w:fill="FFFFFF"/>
        </w:rPr>
        <w:t>性能指标</w:t>
      </w:r>
    </w:p>
    <w:p w14:paraId="31CB2A33" w14:textId="77777777" w:rsidR="007221F9" w:rsidRDefault="00977F03">
      <w:pPr>
        <w:pStyle w:val="a3"/>
        <w:widowControl/>
        <w:spacing w:before="150" w:beforeAutospacing="0" w:after="226" w:afterAutospacing="0" w:line="24" w:lineRule="atLeast"/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试述真正例率（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$TPR$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）、假正例率（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$FPR$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）与查准率（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$P$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）、查全率（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$R$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）之间的联系。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（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分）</w:t>
      </w:r>
    </w:p>
    <w:p w14:paraId="5A1EC47C" w14:textId="042A9851" w:rsidR="007221F9" w:rsidRDefault="00977F03">
      <w:pPr>
        <w:pStyle w:val="a3"/>
        <w:widowControl/>
        <w:spacing w:before="226" w:beforeAutospacing="0" w:after="226" w:afterAutospacing="0" w:line="24" w:lineRule="atLeast"/>
        <w:rPr>
          <w:rStyle w:val="a4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答案：</w:t>
      </w:r>
    </w:p>
    <w:p w14:paraId="3A70152E" w14:textId="77777777" w:rsidR="00C96AEC" w:rsidRDefault="00C96AEC" w:rsidP="00C96AEC">
      <w:pPr>
        <w:pStyle w:val="a3"/>
        <w:widowControl/>
        <w:spacing w:before="226" w:after="226" w:line="24" w:lineRule="atLeast"/>
        <w:rPr>
          <w:rFonts w:hint="eastAsia"/>
        </w:rPr>
      </w:pPr>
      <w:r>
        <w:rPr>
          <w:rFonts w:hint="eastAsia"/>
        </w:rPr>
        <w:t>查全率</w:t>
      </w:r>
      <w:r>
        <w:rPr>
          <w:rFonts w:hint="eastAsia"/>
        </w:rPr>
        <w:t xml:space="preserve">: </w:t>
      </w:r>
      <w:r>
        <w:rPr>
          <w:rFonts w:hint="eastAsia"/>
        </w:rPr>
        <w:t>真实正例被预测为正例的比例</w:t>
      </w:r>
      <w:r>
        <w:rPr>
          <w:rFonts w:hint="eastAsia"/>
        </w:rPr>
        <w:t xml:space="preserve"> </w:t>
      </w:r>
    </w:p>
    <w:p w14:paraId="78E96923" w14:textId="77777777" w:rsidR="00C96AEC" w:rsidRDefault="00C96AEC" w:rsidP="00C96AEC">
      <w:pPr>
        <w:pStyle w:val="a3"/>
        <w:widowControl/>
        <w:spacing w:before="226" w:after="226" w:line="24" w:lineRule="atLeast"/>
        <w:rPr>
          <w:rFonts w:hint="eastAsia"/>
        </w:rPr>
      </w:pPr>
      <w:r>
        <w:rPr>
          <w:rFonts w:hint="eastAsia"/>
        </w:rPr>
        <w:t>真正例率</w:t>
      </w:r>
      <w:r>
        <w:rPr>
          <w:rFonts w:hint="eastAsia"/>
        </w:rPr>
        <w:t xml:space="preserve">: </w:t>
      </w:r>
      <w:r>
        <w:rPr>
          <w:rFonts w:hint="eastAsia"/>
        </w:rPr>
        <w:t>真实正例被预测为正例的比例</w:t>
      </w:r>
      <w:r>
        <w:rPr>
          <w:rFonts w:hint="eastAsia"/>
        </w:rPr>
        <w:t xml:space="preserve"> </w:t>
      </w:r>
    </w:p>
    <w:p w14:paraId="2D736558" w14:textId="77777777" w:rsidR="00C96AEC" w:rsidRDefault="00C96AEC" w:rsidP="00C96AEC">
      <w:pPr>
        <w:pStyle w:val="a3"/>
        <w:widowControl/>
        <w:spacing w:before="226" w:after="226" w:line="24" w:lineRule="atLeast"/>
        <w:rPr>
          <w:rFonts w:hint="eastAsia"/>
        </w:rPr>
      </w:pPr>
      <w:r>
        <w:rPr>
          <w:rFonts w:hint="eastAsia"/>
        </w:rPr>
        <w:t>显然查全率与真正例率是相等的。</w:t>
      </w:r>
      <w:r>
        <w:rPr>
          <w:rFonts w:hint="eastAsia"/>
        </w:rPr>
        <w:t xml:space="preserve"> </w:t>
      </w:r>
    </w:p>
    <w:p w14:paraId="3F039DBC" w14:textId="77777777" w:rsidR="00C96AEC" w:rsidRDefault="00C96AEC" w:rsidP="00C96AEC">
      <w:pPr>
        <w:pStyle w:val="a3"/>
        <w:widowControl/>
        <w:spacing w:before="226" w:after="226" w:line="24" w:lineRule="atLeast"/>
        <w:rPr>
          <w:rFonts w:hint="eastAsia"/>
        </w:rPr>
      </w:pPr>
      <w:r>
        <w:rPr>
          <w:rFonts w:hint="eastAsia"/>
        </w:rPr>
        <w:lastRenderedPageBreak/>
        <w:t>查准率</w:t>
      </w:r>
      <w:r>
        <w:rPr>
          <w:rFonts w:hint="eastAsia"/>
        </w:rPr>
        <w:t>:</w:t>
      </w:r>
      <w:r>
        <w:rPr>
          <w:rFonts w:hint="eastAsia"/>
        </w:rPr>
        <w:t>预测为正例的实例中真实正例的比例</w:t>
      </w:r>
      <w:r>
        <w:rPr>
          <w:rFonts w:hint="eastAsia"/>
        </w:rPr>
        <w:t xml:space="preserve"> </w:t>
      </w:r>
    </w:p>
    <w:p w14:paraId="08C71B0E" w14:textId="77777777" w:rsidR="00C96AEC" w:rsidRDefault="00C96AEC" w:rsidP="00C96AEC">
      <w:pPr>
        <w:pStyle w:val="a3"/>
        <w:widowControl/>
        <w:spacing w:before="226" w:after="226" w:line="24" w:lineRule="atLeast"/>
        <w:rPr>
          <w:rFonts w:hint="eastAsia"/>
        </w:rPr>
      </w:pPr>
      <w:r>
        <w:rPr>
          <w:rFonts w:hint="eastAsia"/>
        </w:rPr>
        <w:t>假正例率</w:t>
      </w:r>
      <w:r>
        <w:rPr>
          <w:rFonts w:hint="eastAsia"/>
        </w:rPr>
        <w:t xml:space="preserve">: </w:t>
      </w:r>
      <w:r>
        <w:rPr>
          <w:rFonts w:hint="eastAsia"/>
        </w:rPr>
        <w:t>真实反例被预测为正例的比例</w:t>
      </w:r>
      <w:r>
        <w:rPr>
          <w:rFonts w:hint="eastAsia"/>
        </w:rPr>
        <w:t xml:space="preserve"> </w:t>
      </w:r>
    </w:p>
    <w:p w14:paraId="13F85132" w14:textId="54D8D4C3" w:rsidR="00620C99" w:rsidRPr="00620C99" w:rsidRDefault="00C96AEC" w:rsidP="00A14B2C">
      <w:pPr>
        <w:pStyle w:val="a3"/>
        <w:widowControl/>
        <w:spacing w:before="226" w:beforeAutospacing="0" w:after="226" w:afterAutospacing="0" w:line="24" w:lineRule="atLeast"/>
        <w:rPr>
          <w:rFonts w:hint="eastAsia"/>
        </w:rPr>
      </w:pPr>
      <w:r>
        <w:rPr>
          <w:rFonts w:hint="eastAsia"/>
        </w:rPr>
        <w:t>两者并没有直接的数值关系。</w:t>
      </w:r>
    </w:p>
    <w:p w14:paraId="5941BCAA" w14:textId="77777777" w:rsidR="007221F9" w:rsidRDefault="00977F0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color w:val="333333"/>
          <w:shd w:val="clear" w:color="auto" w:fill="FFFFFF"/>
        </w:rPr>
        <w:t>4</w:t>
      </w:r>
      <w:r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习题一：性能指标（错误率、精度、查准率、查全率、</w:t>
      </w:r>
      <w:r>
        <w:rPr>
          <w:color w:val="333333"/>
          <w:shd w:val="clear" w:color="auto" w:fill="FFFFFF"/>
        </w:rPr>
        <w:t>F1</w:t>
      </w:r>
      <w:r>
        <w:rPr>
          <w:color w:val="333333"/>
          <w:shd w:val="clear" w:color="auto" w:fill="FFFFFF"/>
        </w:rPr>
        <w:t>）</w:t>
      </w:r>
    </w:p>
    <w:p w14:paraId="49EFA897" w14:textId="77777777" w:rsidR="007221F9" w:rsidRDefault="00977F03">
      <w:pPr>
        <w:pStyle w:val="a3"/>
        <w:widowControl/>
        <w:spacing w:before="150" w:beforeAutospacing="0" w:after="226" w:afterAutospacing="0" w:line="24" w:lineRule="atLeast"/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在癌症辅助诊断（判断是否患癌症）中，假设有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1000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名受测者，其中有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位癌症患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者（正例）。现有以下两个模型及其对应的预测结果信息：</w:t>
      </w:r>
    </w:p>
    <w:p w14:paraId="0A2372BD" w14:textId="77777777" w:rsidR="007221F9" w:rsidRDefault="00977F03">
      <w:pPr>
        <w:widowControl/>
        <w:numPr>
          <w:ilvl w:val="0"/>
          <w:numId w:val="1"/>
        </w:numPr>
        <w:spacing w:line="24" w:lineRule="atLeast"/>
        <w:ind w:left="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模型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I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：全部判断为没有癌症；</w:t>
      </w:r>
    </w:p>
    <w:p w14:paraId="0CF573E3" w14:textId="77777777" w:rsidR="007221F9" w:rsidRDefault="00977F03">
      <w:pPr>
        <w:widowControl/>
        <w:numPr>
          <w:ilvl w:val="0"/>
          <w:numId w:val="1"/>
        </w:numPr>
        <w:spacing w:line="24" w:lineRule="atLeast"/>
        <w:ind w:left="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模型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II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位患者预测正确，另有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位反例预测为患病，其余预测正确。</w:t>
      </w:r>
    </w:p>
    <w:p w14:paraId="3F6B79EC" w14:textId="77777777" w:rsidR="007221F9" w:rsidRDefault="00977F03">
      <w:pPr>
        <w:pStyle w:val="a3"/>
        <w:widowControl/>
        <w:spacing w:before="226" w:beforeAutospacing="0" w:after="226" w:afterAutospacing="0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计算模型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、模型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II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对应的以下性能指标：错误率、精度、查准率、查全率、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F1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。写出计算过程。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（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分）</w:t>
      </w:r>
    </w:p>
    <w:p w14:paraId="19311DE4" w14:textId="77777777" w:rsidR="007221F9" w:rsidRDefault="00977F03">
      <w:pPr>
        <w:pStyle w:val="a3"/>
        <w:widowControl/>
        <w:spacing w:before="226" w:beforeAutospacing="0" w:after="226" w:afterAutospacing="0" w:line="24" w:lineRule="atLeast"/>
      </w:pPr>
      <w:r>
        <w:rPr>
          <w:rStyle w:val="a4"/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答案：</w:t>
      </w:r>
    </w:p>
    <w:p w14:paraId="0C546E6D" w14:textId="77777777" w:rsidR="007221F9" w:rsidRDefault="007221F9">
      <w:pPr>
        <w:pStyle w:val="a3"/>
        <w:widowControl/>
        <w:spacing w:before="226" w:beforeAutospacing="0" w:afterAutospacing="0" w:line="24" w:lineRule="atLeast"/>
        <w:ind w:left="720" w:right="7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20C99" w14:paraId="3C5220C4" w14:textId="77777777" w:rsidTr="00620C99">
        <w:tc>
          <w:tcPr>
            <w:tcW w:w="1420" w:type="dxa"/>
          </w:tcPr>
          <w:p w14:paraId="2717EC4C" w14:textId="77777777" w:rsidR="00620C99" w:rsidRDefault="00620C99" w:rsidP="00620C99">
            <w:pPr>
              <w:jc w:val="center"/>
            </w:pPr>
          </w:p>
        </w:tc>
        <w:tc>
          <w:tcPr>
            <w:tcW w:w="1420" w:type="dxa"/>
          </w:tcPr>
          <w:p w14:paraId="5BD0D448" w14:textId="1B6F636D" w:rsidR="00620C99" w:rsidRDefault="00620C99" w:rsidP="00620C99">
            <w:pPr>
              <w:jc w:val="center"/>
            </w:pPr>
            <w:r>
              <w:rPr>
                <w:rFonts w:hint="eastAsia"/>
              </w:rPr>
              <w:t>错误率</w:t>
            </w:r>
          </w:p>
        </w:tc>
        <w:tc>
          <w:tcPr>
            <w:tcW w:w="1420" w:type="dxa"/>
          </w:tcPr>
          <w:p w14:paraId="756CC298" w14:textId="1E780A1F" w:rsidR="00620C99" w:rsidRDefault="00620C99" w:rsidP="00620C99">
            <w:pPr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420" w:type="dxa"/>
          </w:tcPr>
          <w:p w14:paraId="68722565" w14:textId="78C45D46" w:rsidR="00620C99" w:rsidRDefault="00620C99" w:rsidP="00620C99">
            <w:pPr>
              <w:jc w:val="center"/>
            </w:pPr>
            <w:r>
              <w:rPr>
                <w:rFonts w:hint="eastAsia"/>
              </w:rPr>
              <w:t>查准率</w:t>
            </w:r>
            <w:r>
              <w:rPr>
                <w:rFonts w:hint="eastAsia"/>
              </w:rPr>
              <w:t>P</w:t>
            </w:r>
          </w:p>
        </w:tc>
        <w:tc>
          <w:tcPr>
            <w:tcW w:w="1421" w:type="dxa"/>
          </w:tcPr>
          <w:p w14:paraId="7E118E58" w14:textId="119EDA42" w:rsidR="00620C99" w:rsidRDefault="00620C99" w:rsidP="00620C99">
            <w:pPr>
              <w:jc w:val="center"/>
            </w:pPr>
            <w:r>
              <w:rPr>
                <w:rFonts w:hint="eastAsia"/>
              </w:rPr>
              <w:t>查全率</w:t>
            </w:r>
            <w:r>
              <w:rPr>
                <w:rFonts w:hint="eastAsia"/>
              </w:rPr>
              <w:t>R</w:t>
            </w:r>
          </w:p>
        </w:tc>
        <w:tc>
          <w:tcPr>
            <w:tcW w:w="1421" w:type="dxa"/>
          </w:tcPr>
          <w:p w14:paraId="028ED370" w14:textId="1264D66A" w:rsidR="00620C99" w:rsidRDefault="00620C99" w:rsidP="00620C99">
            <w:pPr>
              <w:jc w:val="center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620C99" w14:paraId="6533A496" w14:textId="77777777" w:rsidTr="00620C99">
        <w:tc>
          <w:tcPr>
            <w:tcW w:w="1420" w:type="dxa"/>
          </w:tcPr>
          <w:p w14:paraId="35BFD812" w14:textId="5D3E80DE" w:rsidR="00620C99" w:rsidRDefault="00620C99" w:rsidP="00620C99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</w:t>
            </w:r>
          </w:p>
        </w:tc>
        <w:tc>
          <w:tcPr>
            <w:tcW w:w="1420" w:type="dxa"/>
          </w:tcPr>
          <w:p w14:paraId="1BD1055B" w14:textId="3D4E769E" w:rsidR="00620C99" w:rsidRDefault="00620C99" w:rsidP="00620C99">
            <w:pPr>
              <w:jc w:val="center"/>
            </w:pPr>
            <w:r>
              <w:rPr>
                <w:rFonts w:hint="eastAsia"/>
              </w:rPr>
              <w:t>2</w:t>
            </w:r>
            <w:r>
              <w:t>/1000</w:t>
            </w:r>
          </w:p>
        </w:tc>
        <w:tc>
          <w:tcPr>
            <w:tcW w:w="1420" w:type="dxa"/>
          </w:tcPr>
          <w:p w14:paraId="3CC72D3B" w14:textId="0C26C216" w:rsidR="00620C99" w:rsidRDefault="00620C99" w:rsidP="00620C99">
            <w:pPr>
              <w:jc w:val="center"/>
            </w:pPr>
            <w:r>
              <w:rPr>
                <w:rFonts w:hint="eastAsia"/>
              </w:rPr>
              <w:t>9</w:t>
            </w:r>
            <w:r>
              <w:t>9.8%</w:t>
            </w:r>
          </w:p>
        </w:tc>
        <w:tc>
          <w:tcPr>
            <w:tcW w:w="1420" w:type="dxa"/>
          </w:tcPr>
          <w:p w14:paraId="401EFA9D" w14:textId="10C6D97C" w:rsidR="00620C99" w:rsidRDefault="00DA3D98" w:rsidP="00620C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7F812C21" w14:textId="73EC6BD3" w:rsidR="00620C99" w:rsidRDefault="00DA3D98" w:rsidP="00620C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1986D8B0" w14:textId="7C5104EE" w:rsidR="00620C99" w:rsidRDefault="00DA3D98" w:rsidP="00620C9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20C99" w14:paraId="42C34944" w14:textId="77777777" w:rsidTr="00620C99">
        <w:tc>
          <w:tcPr>
            <w:tcW w:w="1420" w:type="dxa"/>
          </w:tcPr>
          <w:p w14:paraId="093E07BB" w14:textId="3F3EF78A" w:rsidR="00620C99" w:rsidRDefault="00620C99" w:rsidP="00620C99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1420" w:type="dxa"/>
          </w:tcPr>
          <w:p w14:paraId="2BBB405D" w14:textId="50E164DE" w:rsidR="00620C99" w:rsidRDefault="00620C99" w:rsidP="00620C99">
            <w:pPr>
              <w:jc w:val="center"/>
            </w:pPr>
            <w:r>
              <w:rPr>
                <w:rFonts w:hint="eastAsia"/>
              </w:rPr>
              <w:t>4</w:t>
            </w:r>
            <w:r>
              <w:t>/1000</w:t>
            </w:r>
          </w:p>
        </w:tc>
        <w:tc>
          <w:tcPr>
            <w:tcW w:w="1420" w:type="dxa"/>
          </w:tcPr>
          <w:p w14:paraId="49A108CD" w14:textId="551B126F" w:rsidR="00620C99" w:rsidRDefault="00620C99" w:rsidP="00620C99">
            <w:pPr>
              <w:jc w:val="center"/>
            </w:pPr>
            <w:r>
              <w:rPr>
                <w:rFonts w:hint="eastAsia"/>
              </w:rPr>
              <w:t>9</w:t>
            </w:r>
            <w:r>
              <w:t>9.6%</w:t>
            </w:r>
          </w:p>
        </w:tc>
        <w:tc>
          <w:tcPr>
            <w:tcW w:w="1420" w:type="dxa"/>
          </w:tcPr>
          <w:p w14:paraId="41DB7238" w14:textId="21EBF395" w:rsidR="00620C99" w:rsidRDefault="00DA3D98" w:rsidP="00620C99">
            <w:pPr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421" w:type="dxa"/>
          </w:tcPr>
          <w:p w14:paraId="1AB9AEB4" w14:textId="4FF16F8B" w:rsidR="00620C99" w:rsidRDefault="00DA3D98" w:rsidP="00620C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06FF97E" w14:textId="4D043BC1" w:rsidR="00620C99" w:rsidRDefault="00DA3D98" w:rsidP="00620C99">
            <w:pPr>
              <w:jc w:val="center"/>
            </w:pPr>
            <w:r>
              <w:rPr>
                <w:rFonts w:hint="eastAsia"/>
              </w:rPr>
              <w:t>3</w:t>
            </w:r>
            <w:r>
              <w:t>/2</w:t>
            </w:r>
          </w:p>
        </w:tc>
      </w:tr>
    </w:tbl>
    <w:p w14:paraId="44119BFD" w14:textId="77777777" w:rsidR="00A14B2C" w:rsidRPr="00620C99" w:rsidRDefault="00A14B2C" w:rsidP="00A14B2C">
      <w:pPr>
        <w:pStyle w:val="3"/>
        <w:widowControl/>
        <w:spacing w:before="300" w:beforeAutospacing="0" w:after="150" w:afterAutospacing="0" w:line="24" w:lineRule="atLeast"/>
        <w:rPr>
          <w:rFonts w:hint="default"/>
          <w:color w:val="333333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TPR=</m:t>
          </m:r>
          <m:f>
            <m:fPr>
              <m:ctrlPr>
                <w:rPr>
                  <w:rFonts w:ascii="Cambria Math" w:hAnsi="Cambria Math" w:hint="default"/>
                  <w:i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TP+FN</m:t>
              </m:r>
            </m:den>
          </m:f>
        </m:oMath>
      </m:oMathPara>
    </w:p>
    <w:p w14:paraId="729A1585" w14:textId="77777777" w:rsidR="00A14B2C" w:rsidRPr="00620C99" w:rsidRDefault="00A14B2C" w:rsidP="00A14B2C">
      <w:pPr>
        <w:pStyle w:val="3"/>
        <w:widowControl/>
        <w:spacing w:before="300" w:beforeAutospacing="0" w:after="150" w:afterAutospacing="0" w:line="24" w:lineRule="atLeast"/>
        <w:rPr>
          <w:rFonts w:hint="default"/>
          <w:color w:val="333333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FPR=</m:t>
          </m:r>
          <m:f>
            <m:fPr>
              <m:ctrlPr>
                <w:rPr>
                  <w:rFonts w:ascii="Cambria Math" w:hAnsi="Cambria Math" w:hint="default"/>
                  <w:i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FP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TN+FP</m:t>
              </m:r>
            </m:den>
          </m:f>
        </m:oMath>
      </m:oMathPara>
    </w:p>
    <w:p w14:paraId="1C387CA4" w14:textId="77777777" w:rsidR="00A14B2C" w:rsidRPr="00620C99" w:rsidRDefault="00A14B2C" w:rsidP="00A14B2C">
      <w:pPr>
        <w:pStyle w:val="3"/>
        <w:widowControl/>
        <w:spacing w:before="300" w:beforeAutospacing="0" w:after="150" w:afterAutospacing="0" w:line="24" w:lineRule="atLeast"/>
        <w:rPr>
          <w:rFonts w:hint="default"/>
          <w:color w:val="333333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P=</m:t>
          </m:r>
          <m:f>
            <m:fPr>
              <m:ctrlPr>
                <w:rPr>
                  <w:rFonts w:ascii="Cambria Math" w:hAnsi="Cambria Math" w:hint="default"/>
                  <w:i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TP+FP</m:t>
              </m:r>
            </m:den>
          </m:f>
        </m:oMath>
      </m:oMathPara>
    </w:p>
    <w:p w14:paraId="3E1253A7" w14:textId="77777777" w:rsidR="00A14B2C" w:rsidRPr="00620C99" w:rsidRDefault="00A14B2C" w:rsidP="00A14B2C">
      <w:pPr>
        <w:pStyle w:val="3"/>
        <w:widowControl/>
        <w:spacing w:before="300" w:beforeAutospacing="0" w:after="150" w:afterAutospacing="0" w:line="24" w:lineRule="atLeast"/>
        <w:rPr>
          <w:rFonts w:hint="default"/>
          <w:color w:val="333333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R=</m:t>
          </m:r>
          <m:f>
            <m:fPr>
              <m:ctrlPr>
                <w:rPr>
                  <w:rFonts w:ascii="Cambria Math" w:hAnsi="Cambria Math" w:hint="default"/>
                  <w:i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TP+FN</m:t>
              </m:r>
            </m:den>
          </m:f>
        </m:oMath>
      </m:oMathPara>
    </w:p>
    <w:p w14:paraId="19702545" w14:textId="11DF5FAE" w:rsidR="00A14B2C" w:rsidRPr="00620C99" w:rsidRDefault="00A14B2C" w:rsidP="00A14B2C">
      <w:pPr>
        <w:pStyle w:val="3"/>
        <w:widowControl/>
        <w:spacing w:before="300" w:beforeAutospacing="0" w:after="150" w:afterAutospacing="0" w:line="24" w:lineRule="atLeast"/>
        <w:rPr>
          <w:rFonts w:hint="default"/>
          <w:color w:val="333333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F</m:t>
          </m:r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1</m:t>
          </m:r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hint="default"/>
                  <w:i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2×P×R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P+R</m:t>
              </m:r>
            </m:den>
          </m:f>
          <m:r>
            <m:rPr>
              <m:sty m:val="bi"/>
            </m:rPr>
            <w:rPr>
              <w:rFonts w:ascii="Cambria Math" w:hAnsi="Cambria Math" w:hint="default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hint="default"/>
                  <w:i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2×TP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333333"/>
                  <w:shd w:val="clear" w:color="auto" w:fill="FFFFFF"/>
                </w:rPr>
                <m:t>样例总数</m:t>
              </m:r>
              <m:r>
                <m:rPr>
                  <m:sty m:val="bi"/>
                </m:rPr>
                <w:rPr>
                  <w:rFonts w:ascii="Cambria Math" w:hAnsi="Cambria Math"/>
                  <w:color w:val="333333"/>
                  <w:shd w:val="clear" w:color="auto" w:fill="FFFFFF"/>
                </w:rPr>
                <m:t>+TP</m:t>
              </m:r>
              <m:r>
                <m:rPr>
                  <m:sty m:val="bi"/>
                </m:rPr>
                <w:rPr>
                  <w:rFonts w:ascii="Cambria Math" w:hAnsi="Cambria Math" w:hint="default"/>
                  <w:color w:val="333333"/>
                  <w:shd w:val="clear" w:color="auto" w:fill="FFFFFF"/>
                </w:rPr>
                <m:t>-TN</m:t>
              </m:r>
            </m:den>
          </m:f>
        </m:oMath>
      </m:oMathPara>
    </w:p>
    <w:p w14:paraId="1E1D00B9" w14:textId="77777777" w:rsidR="007221F9" w:rsidRDefault="007221F9"/>
    <w:sectPr w:rsidR="0072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015B7A"/>
    <w:multiLevelType w:val="multilevel"/>
    <w:tmpl w:val="BA015B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1F9"/>
    <w:rsid w:val="00367A13"/>
    <w:rsid w:val="00620C99"/>
    <w:rsid w:val="007221F9"/>
    <w:rsid w:val="007665D4"/>
    <w:rsid w:val="00774829"/>
    <w:rsid w:val="00915FCB"/>
    <w:rsid w:val="00977F03"/>
    <w:rsid w:val="00A14B2C"/>
    <w:rsid w:val="00A42664"/>
    <w:rsid w:val="00C96AEC"/>
    <w:rsid w:val="00DA3D98"/>
    <w:rsid w:val="240B2D36"/>
    <w:rsid w:val="5AAF5B9C"/>
    <w:rsid w:val="66820416"/>
    <w:rsid w:val="6961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3F364"/>
  <w15:docId w15:val="{08E02BA1-B995-4A61-942E-3ACDCD8E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Placeholder Text"/>
    <w:basedOn w:val="a0"/>
    <w:uiPriority w:val="99"/>
    <w:semiHidden/>
    <w:rsid w:val="00367A13"/>
    <w:rPr>
      <w:color w:val="808080"/>
    </w:rPr>
  </w:style>
  <w:style w:type="table" w:styleId="a7">
    <w:name w:val="Table Grid"/>
    <w:basedOn w:val="a1"/>
    <w:rsid w:val="00620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 Kaizyn</cp:lastModifiedBy>
  <cp:revision>9</cp:revision>
  <dcterms:created xsi:type="dcterms:W3CDTF">2014-10-29T12:08:00Z</dcterms:created>
  <dcterms:modified xsi:type="dcterms:W3CDTF">2020-11-05T12:07:00Z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