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8E1D1" w14:textId="0BC839D8" w:rsidR="00DB413E" w:rsidRPr="00F56890" w:rsidRDefault="00DB413E" w:rsidP="002B7B6B">
      <w:pPr>
        <w:pStyle w:val="Title"/>
        <w:rPr>
          <w:rFonts w:ascii="Times New Roman" w:hAnsi="Times New Roman" w:cs="Times New Roman"/>
          <w:sz w:val="52"/>
          <w:szCs w:val="52"/>
          <w:shd w:val="clear" w:color="auto" w:fill="FFFFFF"/>
        </w:rPr>
      </w:pPr>
      <w:r w:rsidRPr="00F56890">
        <w:rPr>
          <w:rFonts w:ascii="Times New Roman" w:hAnsi="Times New Roman" w:cs="Times New Roman"/>
          <w:sz w:val="52"/>
          <w:szCs w:val="52"/>
          <w:shd w:val="clear" w:color="auto" w:fill="FFFFFF"/>
        </w:rPr>
        <w:t>Machine Learning Methods to</w:t>
      </w:r>
      <w:r w:rsidR="00F56890" w:rsidRPr="00F56890">
        <w:rPr>
          <w:rFonts w:ascii="Times New Roman" w:hAnsi="Times New Roman" w:cs="Times New Roman" w:hint="eastAsia"/>
          <w:sz w:val="52"/>
          <w:szCs w:val="52"/>
          <w:shd w:val="clear" w:color="auto" w:fill="FFFFFF"/>
        </w:rPr>
        <w:t xml:space="preserve"> P</w:t>
      </w:r>
      <w:r w:rsidR="00F56890" w:rsidRPr="00F56890">
        <w:rPr>
          <w:rFonts w:ascii="Times New Roman" w:hAnsi="Times New Roman" w:cs="Times New Roman"/>
          <w:sz w:val="52"/>
          <w:szCs w:val="52"/>
          <w:shd w:val="clear" w:color="auto" w:fill="FFFFFF"/>
        </w:rPr>
        <w:t>redicting</w:t>
      </w:r>
      <w:r w:rsidRPr="00F56890">
        <w:rPr>
          <w:rFonts w:ascii="Times New Roman" w:hAnsi="Times New Roman" w:cs="Times New Roman"/>
          <w:sz w:val="52"/>
          <w:szCs w:val="52"/>
          <w:shd w:val="clear" w:color="auto" w:fill="FFFFFF"/>
        </w:rPr>
        <w:t xml:space="preserve"> Electric Vehicle Charging Behavior</w:t>
      </w:r>
    </w:p>
    <w:p w14:paraId="61658126" w14:textId="6476B91E" w:rsidR="00DB413E" w:rsidRPr="00CD405F" w:rsidRDefault="00DB413E" w:rsidP="00CD405F">
      <w:pPr>
        <w:pStyle w:val="Heading2"/>
        <w:rPr>
          <w:rFonts w:ascii="Times New Roman" w:hAnsi="Times New Roman" w:cs="Times New Roman"/>
          <w:shd w:val="clear" w:color="auto" w:fill="FFFFFF"/>
        </w:rPr>
      </w:pPr>
      <w:r w:rsidRPr="00CD405F">
        <w:rPr>
          <w:rFonts w:ascii="Times New Roman" w:hAnsi="Times New Roman" w:cs="Times New Roman"/>
          <w:shd w:val="clear" w:color="auto" w:fill="FFFFFF"/>
        </w:rPr>
        <w:t>Introduction</w:t>
      </w:r>
    </w:p>
    <w:p w14:paraId="4BC9B2C3" w14:textId="2FCE6C32" w:rsidR="00CD405F" w:rsidRPr="007B4655" w:rsidRDefault="001A3913" w:rsidP="00CD405F">
      <w:pPr>
        <w:ind w:firstLineChars="200" w:firstLine="420"/>
        <w:rPr>
          <w:rFonts w:ascii="Times New Roman" w:hAnsi="Times New Roman" w:cs="Times New Roman" w:hint="eastAsia"/>
        </w:rPr>
      </w:pPr>
      <w:r w:rsidRPr="007B4655">
        <w:rPr>
          <w:rFonts w:ascii="Times New Roman" w:hAnsi="Times New Roman" w:cs="Times New Roman"/>
        </w:rPr>
        <w:t>The automotive industry is undergoing a profound transformation, driven by the rapid growth of electric vehicles (EVs). In 2021, global EV sales reached a new peak, doubling from the previous year to a record 6.6 million units. This surge in EV demand has been accompanied by a swift expansion of the necessary charging infrastructure, with the number of chargers installed worldwide reaching 1.8 million by the end of 2021, including a 37% increase in public charging stations</w:t>
      </w:r>
      <w:r w:rsidR="002B7B6B" w:rsidRPr="007B4655">
        <w:rPr>
          <w:rFonts w:ascii="Times New Roman" w:hAnsi="Times New Roman" w:cs="Times New Roman"/>
        </w:rPr>
        <w:fldChar w:fldCharType="begin"/>
      </w:r>
      <w:r w:rsidR="0060461B" w:rsidRPr="007B4655">
        <w:rPr>
          <w:rFonts w:ascii="Times New Roman" w:hAnsi="Times New Roman" w:cs="Times New Roman"/>
        </w:rPr>
        <w:instrText xml:space="preserve"> ADDIN ZOTERO_ITEM CSL_CITATION {"citationID":"pyLAIfNQ","properties":{"formattedCitation":"[1]","plainCitation":"[1]","noteIndex":0},"citationItems":[{"id":"YRKn5ZMX/lvdGg73V","uris":["http://zotero.org/users/11600300/items/SKCBHD2W"],"itemData":{"id":634,"type":"post-weblog","title":"Global EV Outlook 2022","URL":"https://www.iea.org/reports/global-ev-outlook-2022","author":[{"family":"","given":"IEA"}],"issued":{"date-parts":[["2021"]]}}}],"schema":"https://github.com/citation-style-language/schema/raw/master/csl-citation.json"} </w:instrText>
      </w:r>
      <w:r w:rsidR="002B7B6B" w:rsidRPr="007B4655">
        <w:rPr>
          <w:rFonts w:ascii="Times New Roman" w:hAnsi="Times New Roman" w:cs="Times New Roman"/>
        </w:rPr>
        <w:fldChar w:fldCharType="separate"/>
      </w:r>
      <w:r w:rsidR="0060461B" w:rsidRPr="007B4655">
        <w:rPr>
          <w:rFonts w:ascii="Times New Roman" w:eastAsia="等线" w:hAnsi="Times New Roman" w:cs="Times New Roman"/>
        </w:rPr>
        <w:t>[1]</w:t>
      </w:r>
      <w:r w:rsidR="002B7B6B" w:rsidRPr="007B4655">
        <w:rPr>
          <w:rFonts w:ascii="Times New Roman" w:hAnsi="Times New Roman" w:cs="Times New Roman"/>
        </w:rPr>
        <w:fldChar w:fldCharType="end"/>
      </w:r>
      <w:r w:rsidRPr="007B4655">
        <w:rPr>
          <w:rFonts w:ascii="Times New Roman" w:hAnsi="Times New Roman" w:cs="Times New Roman"/>
        </w:rPr>
        <w:t xml:space="preserve">. </w:t>
      </w:r>
      <w:r w:rsidR="005B7DD2" w:rsidRPr="007B4655">
        <w:rPr>
          <w:rFonts w:ascii="Times New Roman" w:hAnsi="Times New Roman" w:cs="Times New Roman"/>
        </w:rPr>
        <w:t>Electric vehicles have emerged as a promising solution to the environmental challenges posed by the transportation sector, since EVs have the potential to reduce carbon emissions by up to 45% compared to conventional internal combustion engine (ICE) vehicles</w:t>
      </w:r>
      <w:r w:rsidR="0060461B" w:rsidRPr="007B4655">
        <w:rPr>
          <w:rFonts w:ascii="Times New Roman" w:hAnsi="Times New Roman" w:cs="Times New Roman"/>
        </w:rPr>
        <w:fldChar w:fldCharType="begin"/>
      </w:r>
      <w:r w:rsidR="0060461B" w:rsidRPr="007B4655">
        <w:rPr>
          <w:rFonts w:ascii="Times New Roman" w:hAnsi="Times New Roman" w:cs="Times New Roman"/>
        </w:rPr>
        <w:instrText xml:space="preserve"> ADDIN ZOTERO_ITEM CSL_CITATION {"citationID":"zdy5T5U7","properties":{"formattedCitation":"[2]","plainCitation":"[2]","noteIndex":0},"citationItems":[{"id":644,"uris":["http://zotero.org/users/11600300/items/ILP98D3T"],"itemData":{"id":644,"type":"paper-conference","container-title":"Advances in Energy and Environmental Materials: Proceedings of Chinese Materials Conference 2017 18th","page":"739–747","publisher":"Springer","title":"Comparison of climate change impact between power system of electric vehicles and internal combustion engine vehicles","author":[{"family":"Zhang","given":"Xudong"},{"family":"Gao","given":"Feng"},{"family":"Gong","given":"Xianzheng"},{"family":"Wang","given":"Zhihong"},{"family":"Liu","given":"Yu"}],"issued":{"date-parts":[["2018"]]}}}],"schema":"https://github.com/citation-style-language/schema/raw/master/csl-citation.json"} </w:instrText>
      </w:r>
      <w:r w:rsidR="0060461B" w:rsidRPr="007B4655">
        <w:rPr>
          <w:rFonts w:ascii="Times New Roman" w:hAnsi="Times New Roman" w:cs="Times New Roman"/>
        </w:rPr>
        <w:fldChar w:fldCharType="separate"/>
      </w:r>
      <w:r w:rsidR="0060461B" w:rsidRPr="007B4655">
        <w:rPr>
          <w:rFonts w:ascii="Times New Roman" w:eastAsia="等线" w:hAnsi="Times New Roman" w:cs="Times New Roman"/>
        </w:rPr>
        <w:t>[2]</w:t>
      </w:r>
      <w:r w:rsidR="0060461B" w:rsidRPr="007B4655">
        <w:rPr>
          <w:rFonts w:ascii="Times New Roman" w:hAnsi="Times New Roman" w:cs="Times New Roman"/>
        </w:rPr>
        <w:fldChar w:fldCharType="end"/>
      </w:r>
      <w:r w:rsidR="005B7DD2" w:rsidRPr="007B4655">
        <w:rPr>
          <w:rFonts w:ascii="Times New Roman" w:hAnsi="Times New Roman" w:cs="Times New Roman"/>
        </w:rPr>
        <w:t>.</w:t>
      </w:r>
    </w:p>
    <w:p w14:paraId="52DFA721" w14:textId="6D1B5C6C" w:rsidR="001A3913" w:rsidRPr="007B4655" w:rsidRDefault="00DB413E" w:rsidP="00CD405F">
      <w:pPr>
        <w:ind w:firstLineChars="200" w:firstLine="420"/>
        <w:rPr>
          <w:rFonts w:ascii="Times New Roman" w:hAnsi="Times New Roman" w:cs="Times New Roman" w:hint="eastAsia"/>
        </w:rPr>
      </w:pPr>
      <w:r w:rsidRPr="007B4655">
        <w:rPr>
          <w:rFonts w:ascii="Times New Roman" w:hAnsi="Times New Roman" w:cs="Times New Roman"/>
        </w:rPr>
        <w:t>Despite the promising advancements, several challenges remain. Most EVs require lengthy charging times, causing significant inconvenience, and many EV owners lack the ability to charge their vehicles at home, relying on public charging stations</w:t>
      </w:r>
      <w:r w:rsidR="0060461B" w:rsidRPr="007B4655">
        <w:rPr>
          <w:rFonts w:ascii="Times New Roman" w:hAnsi="Times New Roman" w:cs="Times New Roman"/>
        </w:rPr>
        <w:fldChar w:fldCharType="begin"/>
      </w:r>
      <w:r w:rsidR="0060461B" w:rsidRPr="007B4655">
        <w:rPr>
          <w:rFonts w:ascii="Times New Roman" w:hAnsi="Times New Roman" w:cs="Times New Roman"/>
        </w:rPr>
        <w:instrText xml:space="preserve"> ADDIN ZOTERO_ITEM CSL_CITATION {"citationID":"3K3buwhe","properties":{"formattedCitation":"[3], [4], [5]","plainCitation":"[3], [4], [5]","noteIndex":0},"citationItems":[{"id":636,"uris":["http://zotero.org/users/11600300/items/GFWDMHS4"],"itemData":{"id":636,"type":"paper-conference","container-title":"Proceedings of the Eighth International Conference on Future Energy Systems","page":"228–233","title":"Qantifying the impact of electric vehicles on the electric grid: A simulation based case-study","author":[{"family":"Ramanujam","given":"Arvind"},{"family":"Sankaranarayanan","given":"Pandeeswari"},{"family":"Vasan","given":"Arun"},{"family":"Jayaprakash","given":"Rajesh"},{"family":"Sarangan","given":"Venkatesh"},{"family":"Sivasubramaniam","given":"Anand"}],"issued":{"date-parts":[["2017"]]}}},{"id":637,"uris":["http://zotero.org/users/11600300/items/6KYTF99D"],"itemData":{"id":637,"type":"article-journal","container-title":"IEEE Transactions on power systems","issue":"1","note":"publisher: IEEE","page":"371–380","title":"The impact of charging plug-in hybrid electric vehicles on a residential distribution grid","volume":"25","author":[{"family":"Clement-Nyns","given":"Kristien"},{"family":"Haesen","given":"Edwin"},{"family":"Driesen","given":"Johan"}],"issued":{"date-parts":[["2009"]]}}},{"id":638,"uris":["http://zotero.org/users/11600300/items/ZJQCHW3V"],"itemData":{"id":638,"type":"article-journal","container-title":"Energy policy","issue":"11","note":"publisher: Elsevier","page":"6736–6745","title":"On integration of plug-in hybrid electric vehicles into existing power system structures","volume":"38","author":[{"family":"Galus","given":"Matthias D"},{"family":"Zima","given":"Marek"},{"family":"Andersson","given":"Göran"}],"issued":{"date-parts":[["2010"]]}}}],"schema":"https://github.com/citation-style-language/schema/raw/master/csl-citation.json"} </w:instrText>
      </w:r>
      <w:r w:rsidR="0060461B" w:rsidRPr="007B4655">
        <w:rPr>
          <w:rFonts w:ascii="Times New Roman" w:hAnsi="Times New Roman" w:cs="Times New Roman"/>
        </w:rPr>
        <w:fldChar w:fldCharType="separate"/>
      </w:r>
      <w:r w:rsidR="0060461B" w:rsidRPr="007B4655">
        <w:rPr>
          <w:rFonts w:ascii="Times New Roman" w:eastAsia="等线" w:hAnsi="Times New Roman" w:cs="Times New Roman"/>
        </w:rPr>
        <w:t>[3], [4], [5]</w:t>
      </w:r>
      <w:r w:rsidR="0060461B" w:rsidRPr="007B4655">
        <w:rPr>
          <w:rFonts w:ascii="Times New Roman" w:hAnsi="Times New Roman" w:cs="Times New Roman"/>
        </w:rPr>
        <w:fldChar w:fldCharType="end"/>
      </w:r>
      <w:r w:rsidRPr="007B4655">
        <w:rPr>
          <w:rFonts w:ascii="Times New Roman" w:hAnsi="Times New Roman" w:cs="Times New Roman"/>
        </w:rPr>
        <w:t xml:space="preserve">. The high-power demands of EVs, when integrated on a large scale, will place substantial constraints on the power distribution grid, potentially leading to further degradation and instability. The power limitations make it virtually impossible to increase charging station capacity to meet the growing demand. In contrast to conventional gas stations, where refueling takes minutes, EVs often require hours to recharge. Deploying more charging stations is not a feasible solution, as </w:t>
      </w:r>
      <w:r w:rsidR="00F56890" w:rsidRPr="007B4655">
        <w:rPr>
          <w:rFonts w:ascii="Times New Roman" w:hAnsi="Times New Roman" w:cs="Times New Roman" w:hint="eastAsia"/>
        </w:rPr>
        <w:t>this</w:t>
      </w:r>
      <w:r w:rsidRPr="007B4655">
        <w:rPr>
          <w:rFonts w:ascii="Times New Roman" w:hAnsi="Times New Roman" w:cs="Times New Roman"/>
        </w:rPr>
        <w:t xml:space="preserve"> is limited by both power requirements and physical space constraints. Therefore, the optimal approach lies in better managing the scheduling of existing charging infrastructure to ensure the efficient and reliable operation of the distribution grid.</w:t>
      </w:r>
    </w:p>
    <w:p w14:paraId="6D010E49" w14:textId="78FC5FC8" w:rsidR="00DB413E" w:rsidRPr="007B4655" w:rsidRDefault="005B7DD2" w:rsidP="00CD405F">
      <w:pPr>
        <w:ind w:firstLineChars="200" w:firstLine="420"/>
        <w:rPr>
          <w:rFonts w:ascii="Times New Roman" w:hAnsi="Times New Roman" w:cs="Times New Roman" w:hint="eastAsia"/>
        </w:rPr>
      </w:pPr>
      <w:r w:rsidRPr="007B4655">
        <w:rPr>
          <w:rFonts w:ascii="Times New Roman" w:hAnsi="Times New Roman" w:cs="Times New Roman"/>
        </w:rPr>
        <w:t xml:space="preserve">Advancements in battery capacity and fast charging enhance EV convenience, but also strain electricity grids. </w:t>
      </w:r>
      <w:r w:rsidR="00DB413E" w:rsidRPr="007B4655">
        <w:rPr>
          <w:rFonts w:ascii="Times New Roman" w:hAnsi="Times New Roman" w:cs="Times New Roman"/>
        </w:rPr>
        <w:t>To address the challenges posed by the large-scale integration of EVs, researchers have turned to data-driven approaches, leveraging the power of big data analytics and machine learning (ML) techniques. By analyzing historical data on charging load and user behavior, ML algorithms can be trained to identify patterns and trends, enabling accurate predictions of future charging behavior</w:t>
      </w:r>
      <w:r w:rsidR="0060461B" w:rsidRPr="007B4655">
        <w:rPr>
          <w:rFonts w:ascii="Times New Roman" w:hAnsi="Times New Roman" w:cs="Times New Roman"/>
        </w:rPr>
        <w:fldChar w:fldCharType="begin"/>
      </w:r>
      <w:r w:rsidR="0060461B" w:rsidRPr="007B4655">
        <w:rPr>
          <w:rFonts w:ascii="Times New Roman" w:hAnsi="Times New Roman" w:cs="Times New Roman"/>
        </w:rPr>
        <w:instrText xml:space="preserve"> ADDIN ZOTERO_ITEM CSL_CITATION {"citationID":"9dr1X4kg","properties":{"formattedCitation":"[6], [7], [8]","plainCitation":"[6], [7], [8]","noteIndex":0},"citationItems":[{"id":643,"uris":["http://zotero.org/users/11600300/items/FNQBF4QD"],"itemData":{"id":643,"type":"article-journal","container-title":"Applied energy","note":"publisher: Elsevier","page":"327–339","title":"Electric vehicle charging demand forecasting model based on big data technologies","volume":"183","author":[{"family":"Arias","given":"Mariz B"},{"family":"Bae","given":"Sungwoo"}],"issued":{"date-parts":[["2016"]]}}},{"id":642,"uris":["http://zotero.org/users/11600300/items/PNYYTZVV"],"itemData":{"id":642,"type":"article-journal","container-title":"IEEE Communications Magazine","issue":"3","note":"publisher: IEEE","page":"150–156","title":"Mobile edge computing for big-data-enabled electric vehicle charging","volume":"56","author":[{"family":"Cao","given":"Yue"},{"family":"Song","given":"Houbing"},{"family":"Kaiwartya","given":"Omprakash"},{"family":"Zhou","given":"Bingpeng"},{"family":"Zhuang","given":"Yuan"},{"family":"Cao","given":"Yang"},{"family":"Zhang","given":"Xu"}],"issued":{"date-parts":[["2018"]]}}},{"id":641,"uris":["http://zotero.org/users/11600300/items/JJ9IVPPM"],"itemData":{"id":641,"type":"paper-conference","container-title":"Proceedings of the eighth international conference on future energy systems","page":"252–253","title":"Big data analysis for an electric vehicle charging infrastructure using open data and software","author":[{"family":"Lee","given":"Junghoon"},{"family":"Park","given":"Gyung-Leen"},{"family":"Han","given":"Yeonju"},{"family":"Yoo","given":"Seunghee"}],"issued":{"date-parts":[["2017"]]}}}],"schema":"https://github.com/citation-style-language/schema/raw/master/csl-citation.json"} </w:instrText>
      </w:r>
      <w:r w:rsidR="0060461B" w:rsidRPr="007B4655">
        <w:rPr>
          <w:rFonts w:ascii="Times New Roman" w:hAnsi="Times New Roman" w:cs="Times New Roman"/>
        </w:rPr>
        <w:fldChar w:fldCharType="separate"/>
      </w:r>
      <w:r w:rsidR="0060461B" w:rsidRPr="007B4655">
        <w:rPr>
          <w:rFonts w:ascii="Times New Roman" w:eastAsia="等线" w:hAnsi="Times New Roman" w:cs="Times New Roman"/>
        </w:rPr>
        <w:t>[6], [7], [8]</w:t>
      </w:r>
      <w:r w:rsidR="0060461B" w:rsidRPr="007B4655">
        <w:rPr>
          <w:rFonts w:ascii="Times New Roman" w:hAnsi="Times New Roman" w:cs="Times New Roman"/>
        </w:rPr>
        <w:fldChar w:fldCharType="end"/>
      </w:r>
      <w:r w:rsidR="00DB413E" w:rsidRPr="007B4655">
        <w:rPr>
          <w:rFonts w:ascii="Times New Roman" w:hAnsi="Times New Roman" w:cs="Times New Roman"/>
        </w:rPr>
        <w:t xml:space="preserve">. These predictions can then be utilized to enhance EV charging scheduling strategies, optimizing the utilization of the existing </w:t>
      </w:r>
      <w:r w:rsidR="008F2FF2" w:rsidRPr="007B4655">
        <w:rPr>
          <w:rFonts w:ascii="Times New Roman" w:hAnsi="Times New Roman" w:cs="Times New Roman"/>
        </w:rPr>
        <w:t>infrastructure,</w:t>
      </w:r>
      <w:r w:rsidR="00DB413E" w:rsidRPr="007B4655">
        <w:rPr>
          <w:rFonts w:ascii="Times New Roman" w:hAnsi="Times New Roman" w:cs="Times New Roman"/>
        </w:rPr>
        <w:t xml:space="preserve"> and mitigating the strain on the power grid.</w:t>
      </w:r>
    </w:p>
    <w:p w14:paraId="4ADC300C" w14:textId="04F37FD5" w:rsidR="00DB413E" w:rsidRPr="007B4655" w:rsidRDefault="00DB413E" w:rsidP="00CD405F">
      <w:pPr>
        <w:ind w:firstLineChars="200" w:firstLine="420"/>
        <w:rPr>
          <w:rFonts w:ascii="Times New Roman" w:hAnsi="Times New Roman" w:cs="Times New Roman" w:hint="eastAsia"/>
        </w:rPr>
      </w:pPr>
      <w:r w:rsidRPr="007B4655">
        <w:rPr>
          <w:rFonts w:ascii="Times New Roman" w:hAnsi="Times New Roman" w:cs="Times New Roman"/>
        </w:rPr>
        <w:t>Traditional methods, such as qualitative studies and modeling simulations, have limitations in integrating their findings into practical applications</w:t>
      </w:r>
      <w:r w:rsidR="0060461B" w:rsidRPr="007B4655">
        <w:rPr>
          <w:rFonts w:ascii="Times New Roman" w:hAnsi="Times New Roman" w:cs="Times New Roman"/>
        </w:rPr>
        <w:fldChar w:fldCharType="begin"/>
      </w:r>
      <w:r w:rsidR="0060461B" w:rsidRPr="007B4655">
        <w:rPr>
          <w:rFonts w:ascii="Times New Roman" w:hAnsi="Times New Roman" w:cs="Times New Roman"/>
        </w:rPr>
        <w:instrText xml:space="preserve"> ADDIN ZOTERO_ITEM CSL_CITATION {"citationID":"8yV9uc0A","properties":{"formattedCitation":"[9]","plainCitation":"[9]","noteIndex":0},"citationItems":[{"id":640,"uris":["http://zotero.org/users/11600300/items/BQQHLXAZ"],"itemData":{"id":640,"type":"article-journal","container-title":"Econometric reviews","issue":"5-6","note":"publisher: Taylor &amp; Francis","page":"594–621","title":"An empirical comparison of machine learning models for time series forecasting","volume":"29","author":[{"family":"Ahmed","given":"Nesreen K"},{"family":"Atiya","given":"Amir F"},{"family":"Gayar","given":"Neamat El"},{"family":"El-Shishiny","given":"Hisham"}],"issued":{"date-parts":[["2010"]]}}}],"schema":"https://github.com/citation-style-language/schema/raw/master/csl-citation.json"} </w:instrText>
      </w:r>
      <w:r w:rsidR="0060461B" w:rsidRPr="007B4655">
        <w:rPr>
          <w:rFonts w:ascii="Times New Roman" w:hAnsi="Times New Roman" w:cs="Times New Roman"/>
        </w:rPr>
        <w:fldChar w:fldCharType="separate"/>
      </w:r>
      <w:r w:rsidR="0060461B" w:rsidRPr="007B4655">
        <w:rPr>
          <w:rFonts w:ascii="Times New Roman" w:eastAsia="等线" w:hAnsi="Times New Roman" w:cs="Times New Roman"/>
        </w:rPr>
        <w:t>[9]</w:t>
      </w:r>
      <w:r w:rsidR="0060461B" w:rsidRPr="007B4655">
        <w:rPr>
          <w:rFonts w:ascii="Times New Roman" w:hAnsi="Times New Roman" w:cs="Times New Roman"/>
        </w:rPr>
        <w:fldChar w:fldCharType="end"/>
      </w:r>
      <w:r w:rsidRPr="007B4655">
        <w:rPr>
          <w:rFonts w:ascii="Times New Roman" w:hAnsi="Times New Roman" w:cs="Times New Roman"/>
        </w:rPr>
        <w:t>. In contrast, ML-based models can incorporate a wider range of variables, including weather conditions and traffic patterns, to provide more accurate forecasts of charging behavior. These data-driven approaches have the potential to revolutionize the management of EV charging, ensuring efficient and sustainable integration of electric vehicles into the transportation ecosystem.</w:t>
      </w:r>
    </w:p>
    <w:p w14:paraId="0A849AB5" w14:textId="0C7BD1BE" w:rsidR="002B7B6B" w:rsidRPr="007B4655" w:rsidRDefault="00DB413E" w:rsidP="00CD405F">
      <w:pPr>
        <w:ind w:firstLineChars="200" w:firstLine="420"/>
        <w:rPr>
          <w:rFonts w:ascii="Times New Roman" w:hAnsi="Times New Roman" w:cs="Times New Roman" w:hint="eastAsia"/>
        </w:rPr>
      </w:pPr>
      <w:r w:rsidRPr="007B4655">
        <w:rPr>
          <w:rFonts w:ascii="Times New Roman" w:hAnsi="Times New Roman" w:cs="Times New Roman"/>
        </w:rPr>
        <w:t>This review aims to explore the various machine learning techniques that have been employed to address the challenges surrounding EV charging behavior. By delving into the current state of the art, the review will provide valuable insights into the potential of ML-based solutions to optimize the integration of electric vehicles and support the transition towards a more sustainable transportation future.</w:t>
      </w:r>
    </w:p>
    <w:p w14:paraId="17725186" w14:textId="1ABB1F3A" w:rsidR="00F56890" w:rsidRPr="00F56890" w:rsidRDefault="004F04EE" w:rsidP="00F56890">
      <w:pPr>
        <w:pStyle w:val="Heading2"/>
        <w:rPr>
          <w:rFonts w:ascii="Times New Roman" w:hAnsi="Times New Roman" w:cs="Times New Roman" w:hint="eastAsia"/>
        </w:rPr>
      </w:pPr>
      <w:r w:rsidRPr="00CD405F">
        <w:rPr>
          <w:rFonts w:ascii="Times New Roman" w:hAnsi="Times New Roman" w:cs="Times New Roman"/>
        </w:rPr>
        <w:lastRenderedPageBreak/>
        <w:t>Machine Learning Approaches</w:t>
      </w:r>
    </w:p>
    <w:p w14:paraId="59CAD8D0" w14:textId="0A448F48" w:rsidR="006E20D4" w:rsidRDefault="006E20D4" w:rsidP="006E20D4">
      <w:pPr>
        <w:pStyle w:val="ListParagraph"/>
        <w:numPr>
          <w:ilvl w:val="0"/>
          <w:numId w:val="1"/>
        </w:numPr>
        <w:rPr>
          <w:rFonts w:ascii="Times New Roman" w:hAnsi="Times New Roman" w:cs="Times New Roman"/>
        </w:rPr>
      </w:pPr>
      <w:r w:rsidRPr="006E20D4">
        <w:rPr>
          <w:rFonts w:ascii="Times New Roman" w:hAnsi="Times New Roman" w:cs="Times New Roman"/>
        </w:rPr>
        <w:t>Supervised Learning</w:t>
      </w:r>
    </w:p>
    <w:p w14:paraId="6AF673FD" w14:textId="77777777" w:rsidR="006E20D4" w:rsidRDefault="006E20D4" w:rsidP="006E20D4">
      <w:pPr>
        <w:pStyle w:val="ListParagraph"/>
        <w:numPr>
          <w:ilvl w:val="1"/>
          <w:numId w:val="1"/>
        </w:numPr>
        <w:rPr>
          <w:rFonts w:ascii="Times New Roman" w:hAnsi="Times New Roman" w:cs="Times New Roman"/>
        </w:rPr>
      </w:pPr>
      <w:r w:rsidRPr="006E20D4">
        <w:rPr>
          <w:rFonts w:ascii="Times New Roman" w:hAnsi="Times New Roman" w:cs="Times New Roman"/>
        </w:rPr>
        <w:t>Linear Regression (LR)</w:t>
      </w:r>
    </w:p>
    <w:p w14:paraId="3F1760EA" w14:textId="77777777" w:rsidR="006E20D4" w:rsidRDefault="006E20D4" w:rsidP="006E20D4">
      <w:pPr>
        <w:pStyle w:val="ListParagraph"/>
        <w:numPr>
          <w:ilvl w:val="1"/>
          <w:numId w:val="1"/>
        </w:numPr>
        <w:rPr>
          <w:rFonts w:ascii="Times New Roman" w:hAnsi="Times New Roman" w:cs="Times New Roman"/>
        </w:rPr>
      </w:pPr>
      <w:r w:rsidRPr="006E20D4">
        <w:rPr>
          <w:rFonts w:ascii="Times New Roman" w:hAnsi="Times New Roman" w:cs="Times New Roman"/>
        </w:rPr>
        <w:t>Random Forest (RF)</w:t>
      </w:r>
    </w:p>
    <w:p w14:paraId="5BC82264" w14:textId="77777777" w:rsidR="006E20D4" w:rsidRDefault="006E20D4" w:rsidP="006E20D4">
      <w:pPr>
        <w:pStyle w:val="ListParagraph"/>
        <w:numPr>
          <w:ilvl w:val="1"/>
          <w:numId w:val="1"/>
        </w:numPr>
        <w:rPr>
          <w:rFonts w:ascii="Times New Roman" w:hAnsi="Times New Roman" w:cs="Times New Roman"/>
        </w:rPr>
      </w:pPr>
      <w:r w:rsidRPr="006E20D4">
        <w:rPr>
          <w:rFonts w:ascii="Times New Roman" w:hAnsi="Times New Roman" w:cs="Times New Roman"/>
        </w:rPr>
        <w:t>Support Vector Machine (SVM)</w:t>
      </w:r>
    </w:p>
    <w:p w14:paraId="1B03A079" w14:textId="77777777" w:rsidR="006E20D4" w:rsidRDefault="006E20D4" w:rsidP="006E20D4">
      <w:pPr>
        <w:pStyle w:val="ListParagraph"/>
        <w:numPr>
          <w:ilvl w:val="1"/>
          <w:numId w:val="1"/>
        </w:numPr>
        <w:rPr>
          <w:rFonts w:ascii="Times New Roman" w:hAnsi="Times New Roman" w:cs="Times New Roman"/>
        </w:rPr>
      </w:pPr>
      <w:r w:rsidRPr="006E20D4">
        <w:rPr>
          <w:rFonts w:ascii="Times New Roman" w:hAnsi="Times New Roman" w:cs="Times New Roman"/>
        </w:rPr>
        <w:t>Decision Tree (DT)</w:t>
      </w:r>
    </w:p>
    <w:p w14:paraId="067D4D17" w14:textId="77777777" w:rsidR="006E20D4" w:rsidRDefault="006E20D4" w:rsidP="006E20D4">
      <w:pPr>
        <w:pStyle w:val="ListParagraph"/>
        <w:numPr>
          <w:ilvl w:val="1"/>
          <w:numId w:val="1"/>
        </w:numPr>
        <w:rPr>
          <w:rFonts w:ascii="Times New Roman" w:hAnsi="Times New Roman" w:cs="Times New Roman"/>
        </w:rPr>
      </w:pPr>
      <w:r w:rsidRPr="006E20D4">
        <w:rPr>
          <w:rFonts w:ascii="Times New Roman" w:hAnsi="Times New Roman" w:cs="Times New Roman"/>
        </w:rPr>
        <w:t>K-Nearest Neighbors (KNN)</w:t>
      </w:r>
    </w:p>
    <w:p w14:paraId="07429EC6" w14:textId="1BBB50E9" w:rsidR="006E20D4" w:rsidRDefault="006E20D4" w:rsidP="006E20D4">
      <w:pPr>
        <w:pStyle w:val="ListParagraph"/>
        <w:numPr>
          <w:ilvl w:val="0"/>
          <w:numId w:val="1"/>
        </w:numPr>
        <w:rPr>
          <w:rFonts w:ascii="Times New Roman" w:hAnsi="Times New Roman" w:cs="Times New Roman"/>
        </w:rPr>
      </w:pPr>
      <w:r w:rsidRPr="006E20D4">
        <w:rPr>
          <w:rFonts w:ascii="Times New Roman" w:hAnsi="Times New Roman" w:cs="Times New Roman"/>
        </w:rPr>
        <w:t>Unsupervised Learning and Statistical Models</w:t>
      </w:r>
    </w:p>
    <w:p w14:paraId="7725D4AC" w14:textId="77777777" w:rsidR="006E20D4" w:rsidRDefault="006E20D4" w:rsidP="006E20D4">
      <w:pPr>
        <w:pStyle w:val="ListParagraph"/>
        <w:numPr>
          <w:ilvl w:val="1"/>
          <w:numId w:val="1"/>
        </w:numPr>
        <w:rPr>
          <w:rFonts w:ascii="Times New Roman" w:hAnsi="Times New Roman" w:cs="Times New Roman"/>
        </w:rPr>
      </w:pPr>
      <w:r w:rsidRPr="006E20D4">
        <w:rPr>
          <w:rFonts w:ascii="Times New Roman" w:hAnsi="Times New Roman" w:cs="Times New Roman"/>
        </w:rPr>
        <w:t>K-Means Clustering (K-Means)</w:t>
      </w:r>
    </w:p>
    <w:p w14:paraId="36962195" w14:textId="77777777" w:rsidR="006E20D4" w:rsidRDefault="006E20D4" w:rsidP="006E20D4">
      <w:pPr>
        <w:pStyle w:val="ListParagraph"/>
        <w:numPr>
          <w:ilvl w:val="1"/>
          <w:numId w:val="1"/>
        </w:numPr>
        <w:rPr>
          <w:rFonts w:ascii="Times New Roman" w:hAnsi="Times New Roman" w:cs="Times New Roman"/>
        </w:rPr>
      </w:pPr>
      <w:r w:rsidRPr="006E20D4">
        <w:rPr>
          <w:rFonts w:ascii="Times New Roman" w:hAnsi="Times New Roman" w:cs="Times New Roman"/>
        </w:rPr>
        <w:t>Gaussian Mixture Model (GMM)</w:t>
      </w:r>
    </w:p>
    <w:p w14:paraId="23062B80" w14:textId="5CE77591" w:rsidR="006E20D4" w:rsidRPr="006E20D4" w:rsidRDefault="006E20D4" w:rsidP="006E20D4">
      <w:pPr>
        <w:pStyle w:val="ListParagraph"/>
        <w:numPr>
          <w:ilvl w:val="1"/>
          <w:numId w:val="1"/>
        </w:numPr>
        <w:rPr>
          <w:rFonts w:ascii="Times New Roman" w:hAnsi="Times New Roman" w:cs="Times New Roman"/>
        </w:rPr>
      </w:pPr>
      <w:r w:rsidRPr="006E20D4">
        <w:rPr>
          <w:rFonts w:ascii="Times New Roman" w:hAnsi="Times New Roman" w:cs="Times New Roman"/>
        </w:rPr>
        <w:t>Kernel Density Estimator (KDE)</w:t>
      </w:r>
    </w:p>
    <w:p w14:paraId="6F9DDB12" w14:textId="7C1BB4C9" w:rsidR="006E20D4" w:rsidRDefault="006E20D4" w:rsidP="006E20D4">
      <w:pPr>
        <w:pStyle w:val="ListParagraph"/>
        <w:numPr>
          <w:ilvl w:val="0"/>
          <w:numId w:val="1"/>
        </w:numPr>
        <w:rPr>
          <w:rFonts w:ascii="Times New Roman" w:hAnsi="Times New Roman" w:cs="Times New Roman"/>
        </w:rPr>
      </w:pPr>
      <w:r w:rsidRPr="006E20D4">
        <w:rPr>
          <w:rFonts w:ascii="Times New Roman" w:hAnsi="Times New Roman" w:cs="Times New Roman"/>
        </w:rPr>
        <w:t>Deep Learning</w:t>
      </w:r>
    </w:p>
    <w:p w14:paraId="2882F185" w14:textId="77777777" w:rsidR="006E20D4" w:rsidRDefault="006E20D4" w:rsidP="006E20D4">
      <w:pPr>
        <w:pStyle w:val="ListParagraph"/>
        <w:numPr>
          <w:ilvl w:val="1"/>
          <w:numId w:val="1"/>
        </w:numPr>
        <w:rPr>
          <w:rFonts w:ascii="Times New Roman" w:hAnsi="Times New Roman" w:cs="Times New Roman"/>
        </w:rPr>
      </w:pPr>
      <w:r w:rsidRPr="006E20D4">
        <w:rPr>
          <w:rFonts w:ascii="Times New Roman" w:hAnsi="Times New Roman" w:cs="Times New Roman"/>
        </w:rPr>
        <w:t>Deep Neural Networks (DNN)</w:t>
      </w:r>
    </w:p>
    <w:p w14:paraId="42803734" w14:textId="77777777" w:rsidR="006E20D4" w:rsidRDefault="006E20D4" w:rsidP="006E20D4">
      <w:pPr>
        <w:pStyle w:val="ListParagraph"/>
        <w:numPr>
          <w:ilvl w:val="1"/>
          <w:numId w:val="1"/>
        </w:numPr>
        <w:rPr>
          <w:rFonts w:ascii="Times New Roman" w:hAnsi="Times New Roman" w:cs="Times New Roman"/>
        </w:rPr>
      </w:pPr>
      <w:r w:rsidRPr="006E20D4">
        <w:rPr>
          <w:rFonts w:ascii="Times New Roman" w:hAnsi="Times New Roman" w:cs="Times New Roman"/>
        </w:rPr>
        <w:t>Long Short-Term Memory (LSTM)</w:t>
      </w:r>
    </w:p>
    <w:p w14:paraId="1B467288" w14:textId="254BA694" w:rsidR="00F56890" w:rsidRDefault="006E20D4" w:rsidP="00F56890">
      <w:pPr>
        <w:pStyle w:val="ListParagraph"/>
        <w:numPr>
          <w:ilvl w:val="1"/>
          <w:numId w:val="1"/>
        </w:numPr>
        <w:rPr>
          <w:rFonts w:ascii="Times New Roman" w:hAnsi="Times New Roman" w:cs="Times New Roman"/>
        </w:rPr>
      </w:pPr>
      <w:r w:rsidRPr="006E20D4">
        <w:rPr>
          <w:rFonts w:ascii="Times New Roman" w:hAnsi="Times New Roman" w:cs="Times New Roman"/>
        </w:rPr>
        <w:t>Recurrent Neural Networks (RNN)</w:t>
      </w:r>
    </w:p>
    <w:p w14:paraId="668CC97D" w14:textId="77777777" w:rsidR="00F56890" w:rsidRDefault="00F56890" w:rsidP="00F56890">
      <w:pPr>
        <w:rPr>
          <w:rFonts w:ascii="Times New Roman" w:hAnsi="Times New Roman" w:cs="Times New Roman"/>
        </w:rPr>
      </w:pPr>
    </w:p>
    <w:p w14:paraId="4B63072C" w14:textId="178F800F" w:rsidR="00F56890" w:rsidRDefault="006F56BF" w:rsidP="00F56890">
      <w:pPr>
        <w:rPr>
          <w:rFonts w:ascii="Times New Roman" w:hAnsi="Times New Roman" w:cs="Times New Roman"/>
        </w:rPr>
      </w:pPr>
      <w:r>
        <w:rPr>
          <w:rFonts w:ascii="Times New Roman" w:hAnsi="Times New Roman" w:cs="Times New Roman" w:hint="eastAsia"/>
        </w:rPr>
        <w:t xml:space="preserve">EV charging has different </w:t>
      </w:r>
      <w:r>
        <w:rPr>
          <w:rFonts w:ascii="Times New Roman" w:hAnsi="Times New Roman" w:cs="Times New Roman"/>
        </w:rPr>
        <w:t>patterns</w:t>
      </w:r>
      <w:r>
        <w:rPr>
          <w:rFonts w:ascii="Times New Roman" w:hAnsi="Times New Roman" w:cs="Times New Roman" w:hint="eastAsia"/>
        </w:rPr>
        <w:t>. On the one hand, d</w:t>
      </w:r>
      <w:r w:rsidRPr="006F56BF">
        <w:rPr>
          <w:rFonts w:ascii="Times New Roman" w:hAnsi="Times New Roman" w:cs="Times New Roman"/>
        </w:rPr>
        <w:t xml:space="preserve">ifferent charging levels provide different </w:t>
      </w:r>
      <w:r>
        <w:rPr>
          <w:rFonts w:ascii="Times New Roman" w:hAnsi="Times New Roman" w:cs="Times New Roman" w:hint="eastAsia"/>
        </w:rPr>
        <w:t xml:space="preserve">charging </w:t>
      </w:r>
      <w:r w:rsidR="003B4505">
        <w:rPr>
          <w:rFonts w:ascii="Times New Roman" w:hAnsi="Times New Roman" w:cs="Times New Roman"/>
        </w:rPr>
        <w:t>rates</w:t>
      </w:r>
      <w:r w:rsidRPr="006F56BF">
        <w:rPr>
          <w:rFonts w:ascii="Times New Roman" w:hAnsi="Times New Roman" w:cs="Times New Roman"/>
        </w:rPr>
        <w:t xml:space="preserve"> by varying the voltage or current</w:t>
      </w:r>
      <w:r>
        <w:rPr>
          <w:rFonts w:ascii="Times New Roman" w:hAnsi="Times New Roman" w:cs="Times New Roman" w:hint="eastAsia"/>
        </w:rPr>
        <w:t>. On the other hand, c</w:t>
      </w:r>
      <w:r w:rsidRPr="006F56BF">
        <w:rPr>
          <w:rFonts w:ascii="Times New Roman" w:hAnsi="Times New Roman" w:cs="Times New Roman"/>
        </w:rPr>
        <w:t>harg</w:t>
      </w:r>
      <w:r>
        <w:rPr>
          <w:rFonts w:ascii="Times New Roman" w:hAnsi="Times New Roman" w:cs="Times New Roman" w:hint="eastAsia"/>
        </w:rPr>
        <w:t xml:space="preserve">ing duration </w:t>
      </w:r>
      <w:r w:rsidRPr="006F56BF">
        <w:rPr>
          <w:rFonts w:ascii="Times New Roman" w:hAnsi="Times New Roman" w:cs="Times New Roman"/>
        </w:rPr>
        <w:t>varies from user to user, due to</w:t>
      </w:r>
      <w:r w:rsidR="003B4505">
        <w:rPr>
          <w:rFonts w:ascii="Times New Roman" w:hAnsi="Times New Roman" w:cs="Times New Roman" w:hint="eastAsia"/>
        </w:rPr>
        <w:t xml:space="preserve"> </w:t>
      </w:r>
      <w:r>
        <w:rPr>
          <w:rFonts w:ascii="Times New Roman" w:hAnsi="Times New Roman" w:cs="Times New Roman" w:hint="eastAsia"/>
        </w:rPr>
        <w:t>v</w:t>
      </w:r>
      <w:r w:rsidRPr="006F56BF">
        <w:rPr>
          <w:rFonts w:ascii="Times New Roman" w:hAnsi="Times New Roman" w:cs="Times New Roman"/>
        </w:rPr>
        <w:t>ehicle</w:t>
      </w:r>
      <w:r w:rsidR="003B4505">
        <w:rPr>
          <w:rFonts w:ascii="Times New Roman" w:hAnsi="Times New Roman" w:cs="Times New Roman" w:hint="eastAsia"/>
        </w:rPr>
        <w:t xml:space="preserve"> model</w:t>
      </w:r>
      <w:r w:rsidRPr="006F56BF">
        <w:rPr>
          <w:rFonts w:ascii="Times New Roman" w:hAnsi="Times New Roman" w:cs="Times New Roman"/>
        </w:rPr>
        <w:t>,</w:t>
      </w:r>
      <w:r w:rsidR="003B4505">
        <w:rPr>
          <w:rFonts w:ascii="Times New Roman" w:hAnsi="Times New Roman" w:cs="Times New Roman" w:hint="eastAsia"/>
        </w:rPr>
        <w:t xml:space="preserve"> charging position, </w:t>
      </w:r>
      <w:proofErr w:type="gramStart"/>
      <w:r w:rsidR="003B4505">
        <w:rPr>
          <w:rFonts w:ascii="Times New Roman" w:hAnsi="Times New Roman" w:cs="Times New Roman" w:hint="eastAsia"/>
        </w:rPr>
        <w:t xml:space="preserve">time </w:t>
      </w:r>
      <w:r w:rsidR="003B4505" w:rsidRPr="003B4505">
        <w:rPr>
          <w:rFonts w:ascii="Times New Roman" w:hAnsi="Times New Roman" w:cs="Times New Roman"/>
        </w:rPr>
        <w:t>period</w:t>
      </w:r>
      <w:proofErr w:type="gramEnd"/>
      <w:r w:rsidR="003B4505">
        <w:rPr>
          <w:rFonts w:ascii="Times New Roman" w:hAnsi="Times New Roman" w:cs="Times New Roman" w:hint="eastAsia"/>
        </w:rPr>
        <w:t>,</w:t>
      </w:r>
      <w:r w:rsidRPr="006F56BF">
        <w:rPr>
          <w:rFonts w:ascii="Times New Roman" w:hAnsi="Times New Roman" w:cs="Times New Roman"/>
        </w:rPr>
        <w:t xml:space="preserve"> etc.</w:t>
      </w:r>
      <w:r w:rsidR="003B4505">
        <w:rPr>
          <w:rFonts w:ascii="Times New Roman" w:hAnsi="Times New Roman" w:cs="Times New Roman" w:hint="eastAsia"/>
        </w:rPr>
        <w:t xml:space="preserve"> Therefore, </w:t>
      </w:r>
      <w:r w:rsidR="003B4505" w:rsidRPr="003B4505">
        <w:rPr>
          <w:rFonts w:ascii="Times New Roman" w:hAnsi="Times New Roman" w:cs="Times New Roman"/>
        </w:rPr>
        <w:t xml:space="preserve">it may be important to understand the charging behavior </w:t>
      </w:r>
      <w:proofErr w:type="gramStart"/>
      <w:r w:rsidR="003B4505" w:rsidRPr="003B4505">
        <w:rPr>
          <w:rFonts w:ascii="Times New Roman" w:hAnsi="Times New Roman" w:cs="Times New Roman"/>
        </w:rPr>
        <w:t>in order to</w:t>
      </w:r>
      <w:proofErr w:type="gramEnd"/>
      <w:r w:rsidR="003B4505" w:rsidRPr="003B4505">
        <w:rPr>
          <w:rFonts w:ascii="Times New Roman" w:hAnsi="Times New Roman" w:cs="Times New Roman"/>
        </w:rPr>
        <w:t xml:space="preserve"> enable more precise scheduling.</w:t>
      </w:r>
    </w:p>
    <w:p w14:paraId="57F091C2" w14:textId="77777777" w:rsidR="00B4406A" w:rsidRPr="003B4505" w:rsidRDefault="00B4406A" w:rsidP="00F56890">
      <w:pPr>
        <w:rPr>
          <w:rFonts w:ascii="Times New Roman" w:hAnsi="Times New Roman" w:cs="Times New Roman" w:hint="eastAsia"/>
        </w:rPr>
      </w:pPr>
    </w:p>
    <w:p w14:paraId="71509F35" w14:textId="5E12E6AE" w:rsidR="004F04EE" w:rsidRPr="00CD405F" w:rsidRDefault="004F04EE" w:rsidP="00CD405F">
      <w:pPr>
        <w:pStyle w:val="Heading2"/>
        <w:rPr>
          <w:rFonts w:ascii="Times New Roman" w:hAnsi="Times New Roman" w:cs="Times New Roman"/>
        </w:rPr>
      </w:pPr>
      <w:r w:rsidRPr="00CD405F">
        <w:rPr>
          <w:rFonts w:ascii="Times New Roman" w:hAnsi="Times New Roman" w:cs="Times New Roman"/>
        </w:rPr>
        <w:t>Conclusion</w:t>
      </w:r>
    </w:p>
    <w:p w14:paraId="3F3EE623" w14:textId="2F198370" w:rsidR="00CD405F" w:rsidRPr="00CD405F" w:rsidRDefault="00CD405F" w:rsidP="00CD405F">
      <w:pPr>
        <w:ind w:firstLineChars="200" w:firstLine="420"/>
        <w:rPr>
          <w:rFonts w:ascii="Times New Roman" w:hAnsi="Times New Roman" w:cs="Times New Roman"/>
        </w:rPr>
      </w:pPr>
      <w:r w:rsidRPr="00CD405F">
        <w:rPr>
          <w:rFonts w:ascii="Times New Roman" w:hAnsi="Times New Roman" w:cs="Times New Roman"/>
        </w:rPr>
        <w:t>This article provided a comprehensive survey on the use of machine learning for EV charging behavior analysis and prediction. The common supervised and unsupervised ML algorithms used for prediction of EV charging behavior were defined. The survey provided a comparative analysis of various works using supervised, unsupervised, and deep learning methods for EV charging prediction. The key challenges were also discussed which include the lack of public charging datasets and the lack of high dimensional data. Recommendations for future work based on the existing work were also provided. The research directions that this article provide include the need for a comprehensive cluster analysis and the use of reinforcement learning for EV scheduling.</w:t>
      </w:r>
    </w:p>
    <w:p w14:paraId="17F82406" w14:textId="14D441B7" w:rsidR="002B7B6B" w:rsidRPr="007B4655" w:rsidRDefault="002B7B6B" w:rsidP="002B7B6B">
      <w:pPr>
        <w:pStyle w:val="Heading2"/>
        <w:rPr>
          <w:rFonts w:ascii="Times New Roman" w:hAnsi="Times New Roman" w:cs="Times New Roman"/>
        </w:rPr>
      </w:pPr>
      <w:r w:rsidRPr="007B4655">
        <w:rPr>
          <w:rFonts w:ascii="Times New Roman" w:hAnsi="Times New Roman" w:cs="Times New Roman"/>
        </w:rPr>
        <w:t>Reference</w:t>
      </w:r>
    </w:p>
    <w:p w14:paraId="3BFBF1CD" w14:textId="77777777" w:rsidR="0060461B" w:rsidRPr="007B4655" w:rsidRDefault="002B7B6B" w:rsidP="0060461B">
      <w:pPr>
        <w:pStyle w:val="Bibliography"/>
        <w:rPr>
          <w:rFonts w:ascii="Times New Roman" w:eastAsia="等线" w:hAnsi="Times New Roman" w:cs="Times New Roman"/>
        </w:rPr>
      </w:pPr>
      <w:r w:rsidRPr="007B4655">
        <w:rPr>
          <w:rFonts w:ascii="Times New Roman" w:hAnsi="Times New Roman" w:cs="Times New Roman"/>
        </w:rPr>
        <w:fldChar w:fldCharType="begin"/>
      </w:r>
      <w:r w:rsidR="0060461B" w:rsidRPr="007B4655">
        <w:rPr>
          <w:rFonts w:ascii="Times New Roman" w:hAnsi="Times New Roman" w:cs="Times New Roman"/>
        </w:rPr>
        <w:instrText xml:space="preserve"> ADDIN ZOTERO_BIBL {"uncited":[],"omitted":[],"custom":[]} CSL_BIBLIOGRAPHY </w:instrText>
      </w:r>
      <w:r w:rsidRPr="007B4655">
        <w:rPr>
          <w:rFonts w:ascii="Times New Roman" w:hAnsi="Times New Roman" w:cs="Times New Roman"/>
        </w:rPr>
        <w:fldChar w:fldCharType="separate"/>
      </w:r>
      <w:r w:rsidR="0060461B" w:rsidRPr="007B4655">
        <w:rPr>
          <w:rFonts w:ascii="Times New Roman" w:eastAsia="等线" w:hAnsi="Times New Roman" w:cs="Times New Roman"/>
        </w:rPr>
        <w:t>[1]</w:t>
      </w:r>
      <w:r w:rsidR="0060461B" w:rsidRPr="007B4655">
        <w:rPr>
          <w:rFonts w:ascii="Times New Roman" w:eastAsia="等线" w:hAnsi="Times New Roman" w:cs="Times New Roman"/>
        </w:rPr>
        <w:tab/>
        <w:t>IEA, “Global EV Outlook 2022.” [Online]. Available: https://www.iea.org/reports/global-ev-outlook-2022</w:t>
      </w:r>
    </w:p>
    <w:p w14:paraId="4B781A24" w14:textId="77777777" w:rsidR="0060461B" w:rsidRPr="007B4655" w:rsidRDefault="0060461B" w:rsidP="0060461B">
      <w:pPr>
        <w:pStyle w:val="Bibliography"/>
        <w:rPr>
          <w:rFonts w:ascii="Times New Roman" w:eastAsia="等线" w:hAnsi="Times New Roman" w:cs="Times New Roman"/>
        </w:rPr>
      </w:pPr>
      <w:r w:rsidRPr="007B4655">
        <w:rPr>
          <w:rFonts w:ascii="Times New Roman" w:eastAsia="等线" w:hAnsi="Times New Roman" w:cs="Times New Roman"/>
        </w:rPr>
        <w:t>[2]</w:t>
      </w:r>
      <w:r w:rsidRPr="007B4655">
        <w:rPr>
          <w:rFonts w:ascii="Times New Roman" w:eastAsia="等线" w:hAnsi="Times New Roman" w:cs="Times New Roman"/>
        </w:rPr>
        <w:tab/>
        <w:t xml:space="preserve">X. Zhang, F. Gao, X. Gong, Z. Wang, and Y. Liu, “Comparison of climate change impact between power system of electric vehicles and internal combustion engine vehicles,” in </w:t>
      </w:r>
      <w:r w:rsidRPr="007B4655">
        <w:rPr>
          <w:rFonts w:ascii="Times New Roman" w:eastAsia="等线" w:hAnsi="Times New Roman" w:cs="Times New Roman"/>
          <w:i/>
          <w:iCs/>
        </w:rPr>
        <w:t>Advances in Energy and Environmental Materials: Proceedings of Chinese Materials Conference 2017 18th</w:t>
      </w:r>
      <w:r w:rsidRPr="007B4655">
        <w:rPr>
          <w:rFonts w:ascii="Times New Roman" w:eastAsia="等线" w:hAnsi="Times New Roman" w:cs="Times New Roman"/>
        </w:rPr>
        <w:t>, Springer, 2018, pp. 739–747.</w:t>
      </w:r>
    </w:p>
    <w:p w14:paraId="598FBAA8" w14:textId="77777777" w:rsidR="0060461B" w:rsidRPr="007B4655" w:rsidRDefault="0060461B" w:rsidP="0060461B">
      <w:pPr>
        <w:pStyle w:val="Bibliography"/>
        <w:rPr>
          <w:rFonts w:ascii="Times New Roman" w:eastAsia="等线" w:hAnsi="Times New Roman" w:cs="Times New Roman"/>
        </w:rPr>
      </w:pPr>
      <w:r w:rsidRPr="007B4655">
        <w:rPr>
          <w:rFonts w:ascii="Times New Roman" w:eastAsia="等线" w:hAnsi="Times New Roman" w:cs="Times New Roman"/>
        </w:rPr>
        <w:t>[3]</w:t>
      </w:r>
      <w:r w:rsidRPr="007B4655">
        <w:rPr>
          <w:rFonts w:ascii="Times New Roman" w:eastAsia="等线" w:hAnsi="Times New Roman" w:cs="Times New Roman"/>
        </w:rPr>
        <w:tab/>
        <w:t xml:space="preserve">A. Ramanujam, P. Sankaranarayanan, A. Vasan, R. Jayaprakash, V. Sarangan, and A. Sivasubramaniam, “Qantifying the impact of electric vehicles on the electric grid: A simulation based case-study,” in </w:t>
      </w:r>
      <w:r w:rsidRPr="007B4655">
        <w:rPr>
          <w:rFonts w:ascii="Times New Roman" w:eastAsia="等线" w:hAnsi="Times New Roman" w:cs="Times New Roman"/>
          <w:i/>
          <w:iCs/>
        </w:rPr>
        <w:t xml:space="preserve">Proceedings of the Eighth International Conference on Future Energy </w:t>
      </w:r>
      <w:r w:rsidRPr="007B4655">
        <w:rPr>
          <w:rFonts w:ascii="Times New Roman" w:eastAsia="等线" w:hAnsi="Times New Roman" w:cs="Times New Roman"/>
          <w:i/>
          <w:iCs/>
        </w:rPr>
        <w:lastRenderedPageBreak/>
        <w:t>Systems</w:t>
      </w:r>
      <w:r w:rsidRPr="007B4655">
        <w:rPr>
          <w:rFonts w:ascii="Times New Roman" w:eastAsia="等线" w:hAnsi="Times New Roman" w:cs="Times New Roman"/>
        </w:rPr>
        <w:t>, 2017, pp. 228–233.</w:t>
      </w:r>
    </w:p>
    <w:p w14:paraId="79F8A83A" w14:textId="77777777" w:rsidR="0060461B" w:rsidRPr="007B4655" w:rsidRDefault="0060461B" w:rsidP="0060461B">
      <w:pPr>
        <w:pStyle w:val="Bibliography"/>
        <w:rPr>
          <w:rFonts w:ascii="Times New Roman" w:eastAsia="等线" w:hAnsi="Times New Roman" w:cs="Times New Roman"/>
        </w:rPr>
      </w:pPr>
      <w:r w:rsidRPr="007B4655">
        <w:rPr>
          <w:rFonts w:ascii="Times New Roman" w:eastAsia="等线" w:hAnsi="Times New Roman" w:cs="Times New Roman"/>
        </w:rPr>
        <w:t>[4]</w:t>
      </w:r>
      <w:r w:rsidRPr="007B4655">
        <w:rPr>
          <w:rFonts w:ascii="Times New Roman" w:eastAsia="等线" w:hAnsi="Times New Roman" w:cs="Times New Roman"/>
        </w:rPr>
        <w:tab/>
        <w:t xml:space="preserve">K. Clement-Nyns, E. Haesen, and J. Driesen, “The impact of charging plug-in hybrid electric vehicles on a residential distribution grid,” </w:t>
      </w:r>
      <w:r w:rsidRPr="007B4655">
        <w:rPr>
          <w:rFonts w:ascii="Times New Roman" w:eastAsia="等线" w:hAnsi="Times New Roman" w:cs="Times New Roman"/>
          <w:i/>
          <w:iCs/>
        </w:rPr>
        <w:t>IEEE Trans. Power Syst.</w:t>
      </w:r>
      <w:r w:rsidRPr="007B4655">
        <w:rPr>
          <w:rFonts w:ascii="Times New Roman" w:eastAsia="等线" w:hAnsi="Times New Roman" w:cs="Times New Roman"/>
        </w:rPr>
        <w:t>, vol. 25, no. 1, pp. 371–380, 2009.</w:t>
      </w:r>
    </w:p>
    <w:p w14:paraId="535ABA2C" w14:textId="77777777" w:rsidR="0060461B" w:rsidRPr="007B4655" w:rsidRDefault="0060461B" w:rsidP="0060461B">
      <w:pPr>
        <w:pStyle w:val="Bibliography"/>
        <w:rPr>
          <w:rFonts w:ascii="Times New Roman" w:eastAsia="等线" w:hAnsi="Times New Roman" w:cs="Times New Roman"/>
        </w:rPr>
      </w:pPr>
      <w:r w:rsidRPr="007B4655">
        <w:rPr>
          <w:rFonts w:ascii="Times New Roman" w:eastAsia="等线" w:hAnsi="Times New Roman" w:cs="Times New Roman"/>
        </w:rPr>
        <w:t>[5]</w:t>
      </w:r>
      <w:r w:rsidRPr="007B4655">
        <w:rPr>
          <w:rFonts w:ascii="Times New Roman" w:eastAsia="等线" w:hAnsi="Times New Roman" w:cs="Times New Roman"/>
        </w:rPr>
        <w:tab/>
        <w:t xml:space="preserve">M. D. Galus, M. Zima, and G. Andersson, “On integration of plug-in hybrid electric vehicles into existing power system structures,” </w:t>
      </w:r>
      <w:r w:rsidRPr="007B4655">
        <w:rPr>
          <w:rFonts w:ascii="Times New Roman" w:eastAsia="等线" w:hAnsi="Times New Roman" w:cs="Times New Roman"/>
          <w:i/>
          <w:iCs/>
        </w:rPr>
        <w:t>Energy Policy</w:t>
      </w:r>
      <w:r w:rsidRPr="007B4655">
        <w:rPr>
          <w:rFonts w:ascii="Times New Roman" w:eastAsia="等线" w:hAnsi="Times New Roman" w:cs="Times New Roman"/>
        </w:rPr>
        <w:t>, vol. 38, no. 11, pp. 6736–6745, 2010.</w:t>
      </w:r>
    </w:p>
    <w:p w14:paraId="5AA502A0" w14:textId="77777777" w:rsidR="0060461B" w:rsidRPr="007B4655" w:rsidRDefault="0060461B" w:rsidP="0060461B">
      <w:pPr>
        <w:pStyle w:val="Bibliography"/>
        <w:rPr>
          <w:rFonts w:ascii="Times New Roman" w:eastAsia="等线" w:hAnsi="Times New Roman" w:cs="Times New Roman"/>
        </w:rPr>
      </w:pPr>
      <w:r w:rsidRPr="007B4655">
        <w:rPr>
          <w:rFonts w:ascii="Times New Roman" w:eastAsia="等线" w:hAnsi="Times New Roman" w:cs="Times New Roman"/>
        </w:rPr>
        <w:t>[6]</w:t>
      </w:r>
      <w:r w:rsidRPr="007B4655">
        <w:rPr>
          <w:rFonts w:ascii="Times New Roman" w:eastAsia="等线" w:hAnsi="Times New Roman" w:cs="Times New Roman"/>
        </w:rPr>
        <w:tab/>
        <w:t xml:space="preserve">M. B. Arias and S. Bae, “Electric vehicle charging demand forecasting model based on big data technologies,” </w:t>
      </w:r>
      <w:r w:rsidRPr="007B4655">
        <w:rPr>
          <w:rFonts w:ascii="Times New Roman" w:eastAsia="等线" w:hAnsi="Times New Roman" w:cs="Times New Roman"/>
          <w:i/>
          <w:iCs/>
        </w:rPr>
        <w:t>Appl. Energy</w:t>
      </w:r>
      <w:r w:rsidRPr="007B4655">
        <w:rPr>
          <w:rFonts w:ascii="Times New Roman" w:eastAsia="等线" w:hAnsi="Times New Roman" w:cs="Times New Roman"/>
        </w:rPr>
        <w:t>, vol. 183, pp. 327–339, 2016.</w:t>
      </w:r>
    </w:p>
    <w:p w14:paraId="07628966" w14:textId="77777777" w:rsidR="0060461B" w:rsidRPr="007B4655" w:rsidRDefault="0060461B" w:rsidP="0060461B">
      <w:pPr>
        <w:pStyle w:val="Bibliography"/>
        <w:rPr>
          <w:rFonts w:ascii="Times New Roman" w:eastAsia="等线" w:hAnsi="Times New Roman" w:cs="Times New Roman"/>
        </w:rPr>
      </w:pPr>
      <w:r w:rsidRPr="007B4655">
        <w:rPr>
          <w:rFonts w:ascii="Times New Roman" w:eastAsia="等线" w:hAnsi="Times New Roman" w:cs="Times New Roman"/>
        </w:rPr>
        <w:t>[7]</w:t>
      </w:r>
      <w:r w:rsidRPr="007B4655">
        <w:rPr>
          <w:rFonts w:ascii="Times New Roman" w:eastAsia="等线" w:hAnsi="Times New Roman" w:cs="Times New Roman"/>
        </w:rPr>
        <w:tab/>
        <w:t xml:space="preserve">Y. Cao </w:t>
      </w:r>
      <w:r w:rsidRPr="007B4655">
        <w:rPr>
          <w:rFonts w:ascii="Times New Roman" w:eastAsia="等线" w:hAnsi="Times New Roman" w:cs="Times New Roman"/>
          <w:i/>
          <w:iCs/>
        </w:rPr>
        <w:t>et al.</w:t>
      </w:r>
      <w:r w:rsidRPr="007B4655">
        <w:rPr>
          <w:rFonts w:ascii="Times New Roman" w:eastAsia="等线" w:hAnsi="Times New Roman" w:cs="Times New Roman"/>
        </w:rPr>
        <w:t xml:space="preserve">, “Mobile edge computing for big-data-enabled electric vehicle charging,” </w:t>
      </w:r>
      <w:r w:rsidRPr="007B4655">
        <w:rPr>
          <w:rFonts w:ascii="Times New Roman" w:eastAsia="等线" w:hAnsi="Times New Roman" w:cs="Times New Roman"/>
          <w:i/>
          <w:iCs/>
        </w:rPr>
        <w:t>IEEE Commun. Mag.</w:t>
      </w:r>
      <w:r w:rsidRPr="007B4655">
        <w:rPr>
          <w:rFonts w:ascii="Times New Roman" w:eastAsia="等线" w:hAnsi="Times New Roman" w:cs="Times New Roman"/>
        </w:rPr>
        <w:t>, vol. 56, no. 3, pp. 150–156, 2018.</w:t>
      </w:r>
    </w:p>
    <w:p w14:paraId="6A3DB64A" w14:textId="77777777" w:rsidR="0060461B" w:rsidRPr="007B4655" w:rsidRDefault="0060461B" w:rsidP="0060461B">
      <w:pPr>
        <w:pStyle w:val="Bibliography"/>
        <w:rPr>
          <w:rFonts w:ascii="Times New Roman" w:eastAsia="等线" w:hAnsi="Times New Roman" w:cs="Times New Roman"/>
        </w:rPr>
      </w:pPr>
      <w:r w:rsidRPr="007B4655">
        <w:rPr>
          <w:rFonts w:ascii="Times New Roman" w:eastAsia="等线" w:hAnsi="Times New Roman" w:cs="Times New Roman"/>
        </w:rPr>
        <w:t>[8]</w:t>
      </w:r>
      <w:r w:rsidRPr="007B4655">
        <w:rPr>
          <w:rFonts w:ascii="Times New Roman" w:eastAsia="等线" w:hAnsi="Times New Roman" w:cs="Times New Roman"/>
        </w:rPr>
        <w:tab/>
        <w:t xml:space="preserve">J. Lee, G.-L. Park, Y. Han, and S. Yoo, “Big data analysis for an electric vehicle charging infrastructure using open data and software,” in </w:t>
      </w:r>
      <w:r w:rsidRPr="007B4655">
        <w:rPr>
          <w:rFonts w:ascii="Times New Roman" w:eastAsia="等线" w:hAnsi="Times New Roman" w:cs="Times New Roman"/>
          <w:i/>
          <w:iCs/>
        </w:rPr>
        <w:t>Proceedings of the eighth international conference on future energy systems</w:t>
      </w:r>
      <w:r w:rsidRPr="007B4655">
        <w:rPr>
          <w:rFonts w:ascii="Times New Roman" w:eastAsia="等线" w:hAnsi="Times New Roman" w:cs="Times New Roman"/>
        </w:rPr>
        <w:t>, 2017, pp. 252–253.</w:t>
      </w:r>
    </w:p>
    <w:p w14:paraId="5C87237A" w14:textId="77777777" w:rsidR="0060461B" w:rsidRPr="007B4655" w:rsidRDefault="0060461B" w:rsidP="0060461B">
      <w:pPr>
        <w:pStyle w:val="Bibliography"/>
        <w:rPr>
          <w:rFonts w:ascii="Times New Roman" w:eastAsia="等线" w:hAnsi="Times New Roman" w:cs="Times New Roman"/>
        </w:rPr>
      </w:pPr>
      <w:r w:rsidRPr="007B4655">
        <w:rPr>
          <w:rFonts w:ascii="Times New Roman" w:eastAsia="等线" w:hAnsi="Times New Roman" w:cs="Times New Roman"/>
        </w:rPr>
        <w:t>[9]</w:t>
      </w:r>
      <w:r w:rsidRPr="007B4655">
        <w:rPr>
          <w:rFonts w:ascii="Times New Roman" w:eastAsia="等线" w:hAnsi="Times New Roman" w:cs="Times New Roman"/>
        </w:rPr>
        <w:tab/>
        <w:t xml:space="preserve">N. K. Ahmed, A. F. Atiya, N. E. Gayar, and H. El-Shishiny, “An empirical comparison of machine learning models for time series forecasting,” </w:t>
      </w:r>
      <w:r w:rsidRPr="007B4655">
        <w:rPr>
          <w:rFonts w:ascii="Times New Roman" w:eastAsia="等线" w:hAnsi="Times New Roman" w:cs="Times New Roman"/>
          <w:i/>
          <w:iCs/>
        </w:rPr>
        <w:t>Econom. Rev.</w:t>
      </w:r>
      <w:r w:rsidRPr="007B4655">
        <w:rPr>
          <w:rFonts w:ascii="Times New Roman" w:eastAsia="等线" w:hAnsi="Times New Roman" w:cs="Times New Roman"/>
        </w:rPr>
        <w:t>, vol. 29, no. 5–6, pp. 594–621, 2010.</w:t>
      </w:r>
    </w:p>
    <w:p w14:paraId="6D7233D7" w14:textId="085ED562" w:rsidR="002B7B6B" w:rsidRDefault="002B7B6B" w:rsidP="00DB413E">
      <w:r w:rsidRPr="007B4655">
        <w:rPr>
          <w:rFonts w:ascii="Times New Roman" w:hAnsi="Times New Roman" w:cs="Times New Roman"/>
        </w:rPr>
        <w:fldChar w:fldCharType="end"/>
      </w:r>
    </w:p>
    <w:sectPr w:rsidR="002B7B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D0FE7"/>
    <w:multiLevelType w:val="hybridMultilevel"/>
    <w:tmpl w:val="DC6E21C0"/>
    <w:lvl w:ilvl="0" w:tplc="4DF63926">
      <w:numFmt w:val="bullet"/>
      <w:lvlText w:val=""/>
      <w:lvlJc w:val="left"/>
      <w:pPr>
        <w:ind w:left="360" w:hanging="360"/>
      </w:pPr>
      <w:rPr>
        <w:rFonts w:ascii="Wingdings" w:eastAsiaTheme="minorEastAsia" w:hAnsi="Wingdings" w:cs="Times New Roman"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16749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A4"/>
    <w:rsid w:val="00102F8B"/>
    <w:rsid w:val="001A3913"/>
    <w:rsid w:val="001B6A00"/>
    <w:rsid w:val="001C65B4"/>
    <w:rsid w:val="002B7B6B"/>
    <w:rsid w:val="003955A4"/>
    <w:rsid w:val="003B4505"/>
    <w:rsid w:val="004F04EE"/>
    <w:rsid w:val="005B7DD2"/>
    <w:rsid w:val="0060461B"/>
    <w:rsid w:val="006E20D4"/>
    <w:rsid w:val="006F2383"/>
    <w:rsid w:val="006F56BF"/>
    <w:rsid w:val="0077178B"/>
    <w:rsid w:val="007B4655"/>
    <w:rsid w:val="008F2FF2"/>
    <w:rsid w:val="009700EE"/>
    <w:rsid w:val="00B4406A"/>
    <w:rsid w:val="00C32691"/>
    <w:rsid w:val="00CD405F"/>
    <w:rsid w:val="00DB413E"/>
    <w:rsid w:val="00F5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9AF1"/>
  <w15:chartTrackingRefBased/>
  <w15:docId w15:val="{8940AE19-47B4-403C-BE31-CC95928D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955A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3955A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3955A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3955A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3955A4"/>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3955A4"/>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3955A4"/>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3955A4"/>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3955A4"/>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5A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3955A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3955A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3955A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3955A4"/>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3955A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3955A4"/>
    <w:rPr>
      <w:rFonts w:cstheme="majorBidi"/>
      <w:b/>
      <w:bCs/>
      <w:color w:val="595959" w:themeColor="text1" w:themeTint="A6"/>
    </w:rPr>
  </w:style>
  <w:style w:type="character" w:customStyle="1" w:styleId="Heading8Char">
    <w:name w:val="Heading 8 Char"/>
    <w:basedOn w:val="DefaultParagraphFont"/>
    <w:link w:val="Heading8"/>
    <w:uiPriority w:val="9"/>
    <w:semiHidden/>
    <w:rsid w:val="003955A4"/>
    <w:rPr>
      <w:rFonts w:cstheme="majorBidi"/>
      <w:color w:val="595959" w:themeColor="text1" w:themeTint="A6"/>
    </w:rPr>
  </w:style>
  <w:style w:type="character" w:customStyle="1" w:styleId="Heading9Char">
    <w:name w:val="Heading 9 Char"/>
    <w:basedOn w:val="DefaultParagraphFont"/>
    <w:link w:val="Heading9"/>
    <w:uiPriority w:val="9"/>
    <w:semiHidden/>
    <w:rsid w:val="003955A4"/>
    <w:rPr>
      <w:rFonts w:eastAsiaTheme="majorEastAsia" w:cstheme="majorBidi"/>
      <w:color w:val="595959" w:themeColor="text1" w:themeTint="A6"/>
    </w:rPr>
  </w:style>
  <w:style w:type="paragraph" w:styleId="Title">
    <w:name w:val="Title"/>
    <w:basedOn w:val="Normal"/>
    <w:next w:val="Normal"/>
    <w:link w:val="TitleChar"/>
    <w:uiPriority w:val="10"/>
    <w:qFormat/>
    <w:rsid w:val="003955A4"/>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5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5A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3955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55A4"/>
    <w:rPr>
      <w:i/>
      <w:iCs/>
      <w:color w:val="404040" w:themeColor="text1" w:themeTint="BF"/>
    </w:rPr>
  </w:style>
  <w:style w:type="paragraph" w:styleId="ListParagraph">
    <w:name w:val="List Paragraph"/>
    <w:basedOn w:val="Normal"/>
    <w:uiPriority w:val="34"/>
    <w:qFormat/>
    <w:rsid w:val="003955A4"/>
    <w:pPr>
      <w:ind w:left="720"/>
      <w:contextualSpacing/>
    </w:pPr>
  </w:style>
  <w:style w:type="character" w:styleId="IntenseEmphasis">
    <w:name w:val="Intense Emphasis"/>
    <w:basedOn w:val="DefaultParagraphFont"/>
    <w:uiPriority w:val="21"/>
    <w:qFormat/>
    <w:rsid w:val="003955A4"/>
    <w:rPr>
      <w:i/>
      <w:iCs/>
      <w:color w:val="0F4761" w:themeColor="accent1" w:themeShade="BF"/>
    </w:rPr>
  </w:style>
  <w:style w:type="paragraph" w:styleId="IntenseQuote">
    <w:name w:val="Intense Quote"/>
    <w:basedOn w:val="Normal"/>
    <w:next w:val="Normal"/>
    <w:link w:val="IntenseQuoteChar"/>
    <w:uiPriority w:val="30"/>
    <w:qFormat/>
    <w:rsid w:val="00395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5A4"/>
    <w:rPr>
      <w:i/>
      <w:iCs/>
      <w:color w:val="0F4761" w:themeColor="accent1" w:themeShade="BF"/>
    </w:rPr>
  </w:style>
  <w:style w:type="character" w:styleId="IntenseReference">
    <w:name w:val="Intense Reference"/>
    <w:basedOn w:val="DefaultParagraphFont"/>
    <w:uiPriority w:val="32"/>
    <w:qFormat/>
    <w:rsid w:val="003955A4"/>
    <w:rPr>
      <w:b/>
      <w:bCs/>
      <w:smallCaps/>
      <w:color w:val="0F4761" w:themeColor="accent1" w:themeShade="BF"/>
      <w:spacing w:val="5"/>
    </w:rPr>
  </w:style>
  <w:style w:type="paragraph" w:styleId="Bibliography">
    <w:name w:val="Bibliography"/>
    <w:basedOn w:val="Normal"/>
    <w:next w:val="Normal"/>
    <w:uiPriority w:val="37"/>
    <w:unhideWhenUsed/>
    <w:rsid w:val="002B7B6B"/>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79323">
      <w:bodyDiv w:val="1"/>
      <w:marLeft w:val="0"/>
      <w:marRight w:val="0"/>
      <w:marTop w:val="0"/>
      <w:marBottom w:val="0"/>
      <w:divBdr>
        <w:top w:val="none" w:sz="0" w:space="0" w:color="auto"/>
        <w:left w:val="none" w:sz="0" w:space="0" w:color="auto"/>
        <w:bottom w:val="none" w:sz="0" w:space="0" w:color="auto"/>
        <w:right w:val="none" w:sz="0" w:space="0" w:color="auto"/>
      </w:divBdr>
    </w:div>
    <w:div w:id="1736968098">
      <w:bodyDiv w:val="1"/>
      <w:marLeft w:val="0"/>
      <w:marRight w:val="0"/>
      <w:marTop w:val="0"/>
      <w:marBottom w:val="0"/>
      <w:divBdr>
        <w:top w:val="none" w:sz="0" w:space="0" w:color="auto"/>
        <w:left w:val="none" w:sz="0" w:space="0" w:color="auto"/>
        <w:bottom w:val="none" w:sz="0" w:space="0" w:color="auto"/>
        <w:right w:val="none" w:sz="0" w:space="0" w:color="auto"/>
      </w:divBdr>
    </w:div>
    <w:div w:id="1964652766">
      <w:bodyDiv w:val="1"/>
      <w:marLeft w:val="0"/>
      <w:marRight w:val="0"/>
      <w:marTop w:val="0"/>
      <w:marBottom w:val="0"/>
      <w:divBdr>
        <w:top w:val="none" w:sz="0" w:space="0" w:color="auto"/>
        <w:left w:val="none" w:sz="0" w:space="0" w:color="auto"/>
        <w:bottom w:val="none" w:sz="0" w:space="0" w:color="auto"/>
        <w:right w:val="none" w:sz="0" w:space="0" w:color="auto"/>
      </w:divBdr>
    </w:div>
    <w:div w:id="20189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Kaixin</dc:creator>
  <cp:keywords/>
  <dc:description/>
  <cp:lastModifiedBy>ZHENG Kaixin</cp:lastModifiedBy>
  <cp:revision>7</cp:revision>
  <dcterms:created xsi:type="dcterms:W3CDTF">2024-04-17T11:43:00Z</dcterms:created>
  <dcterms:modified xsi:type="dcterms:W3CDTF">2024-05-11T09:22:00Z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id="YRKn5ZMX"/&gt;&lt;style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